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7E283" w14:textId="3B759791" w:rsidR="00FB1B8B" w:rsidRDefault="00FB1B8B" w:rsidP="00FB1B8B">
      <w:pPr>
        <w:ind w:left="-720" w:right="-360"/>
        <w:rPr>
          <w:b/>
          <w:bCs/>
          <w:color w:val="113F64"/>
        </w:rPr>
      </w:pPr>
      <w:bookmarkStart w:id="0" w:name="_Toc208503124"/>
      <w:bookmarkStart w:id="1" w:name="_Toc208503141"/>
      <w:r>
        <w:rPr>
          <w:b/>
          <w:bCs/>
          <w:noProof/>
          <w:color w:val="113F64"/>
        </w:rPr>
        <w:drawing>
          <wp:inline distT="0" distB="0" distL="0" distR="0" wp14:anchorId="3EA5A7D6" wp14:editId="29447CA1">
            <wp:extent cx="6889141" cy="8915400"/>
            <wp:effectExtent l="0" t="0" r="0" b="0"/>
            <wp:docPr id="1598412192" name="Picture 2" descr="Illustrated cover titled 'Seaweed Food Safety Guidance' by New York Sea Grant. The image shows different packaged seaweed products including jars, plastic bags, folded sheets, and bowls of dried and fresh seaweed, with kelp leav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12192" name="Picture 2" descr="Illustrated cover titled 'Seaweed Food Safety Guidance' by New York Sea Grant. The image shows different packaged seaweed products including jars, plastic bags, folded sheets, and bowls of dried and fresh seaweed, with kelp leaves in the backgroun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17395" cy="8951964"/>
                    </a:xfrm>
                    <a:prstGeom prst="rect">
                      <a:avLst/>
                    </a:prstGeom>
                  </pic:spPr>
                </pic:pic>
              </a:graphicData>
            </a:graphic>
          </wp:inline>
        </w:drawing>
      </w:r>
    </w:p>
    <w:p w14:paraId="0B2D0F04" w14:textId="77777777" w:rsidR="00FB1B8B" w:rsidRDefault="00FB1B8B" w:rsidP="00441BE0">
      <w:pPr>
        <w:rPr>
          <w:b/>
          <w:bCs/>
          <w:color w:val="113F64"/>
        </w:rPr>
        <w:sectPr w:rsidR="00FB1B8B" w:rsidSect="00FB1B8B">
          <w:footerReference w:type="even" r:id="rId9"/>
          <w:footerReference w:type="default" r:id="rId10"/>
          <w:pgSz w:w="12240" w:h="15840"/>
          <w:pgMar w:top="387" w:right="1440" w:bottom="1440" w:left="1440" w:header="720" w:footer="720" w:gutter="0"/>
          <w:pgNumType w:chapStyle="1"/>
          <w:cols w:space="720"/>
          <w:titlePg/>
          <w:docGrid w:linePitch="360"/>
        </w:sectPr>
      </w:pPr>
    </w:p>
    <w:p w14:paraId="7D12E2AC" w14:textId="30B61337" w:rsidR="004E0DD9" w:rsidRPr="00FB1B8B" w:rsidRDefault="004E0DD9" w:rsidP="004E0DD9">
      <w:pPr>
        <w:rPr>
          <w:i/>
          <w:iCs/>
          <w:color w:val="113F64"/>
        </w:rPr>
      </w:pPr>
      <w:r>
        <w:rPr>
          <w:i/>
          <w:iCs/>
          <w:noProof/>
          <w:color w:val="113F64"/>
        </w:rPr>
        <w:lastRenderedPageBreak/>
        <w:drawing>
          <wp:anchor distT="0" distB="0" distL="114300" distR="114300" simplePos="0" relativeHeight="251660288" behindDoc="0" locked="0" layoutInCell="1" allowOverlap="1" wp14:anchorId="540BDFB9" wp14:editId="752FC95D">
            <wp:simplePos x="0" y="0"/>
            <wp:positionH relativeFrom="margin">
              <wp:align>left</wp:align>
            </wp:positionH>
            <wp:positionV relativeFrom="paragraph">
              <wp:posOffset>0</wp:posOffset>
            </wp:positionV>
            <wp:extent cx="1000125" cy="685165"/>
            <wp:effectExtent l="0" t="0" r="9525" b="635"/>
            <wp:wrapSquare wrapText="bothSides"/>
            <wp:docPr id="6183899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89938" name="Picture 6183899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0125" cy="685165"/>
                    </a:xfrm>
                    <a:prstGeom prst="rect">
                      <a:avLst/>
                    </a:prstGeom>
                  </pic:spPr>
                </pic:pic>
              </a:graphicData>
            </a:graphic>
            <wp14:sizeRelH relativeFrom="margin">
              <wp14:pctWidth>0</wp14:pctWidth>
            </wp14:sizeRelH>
            <wp14:sizeRelV relativeFrom="margin">
              <wp14:pctHeight>0</wp14:pctHeight>
            </wp14:sizeRelV>
          </wp:anchor>
        </w:drawing>
      </w:r>
      <w:r w:rsidRPr="00FB1B8B">
        <w:rPr>
          <w:i/>
          <w:iCs/>
          <w:color w:val="113F64"/>
        </w:rPr>
        <w:t>This work is supported by the 2023 Food Safety Outreach Program, project award no. 2023-70020-40630, from the U.S. Department of Agriculture’s National Institute of Food and Agriculture.</w:t>
      </w:r>
    </w:p>
    <w:p w14:paraId="7FC3C7E6" w14:textId="77777777" w:rsidR="00441BE0" w:rsidRDefault="00441BE0" w:rsidP="00441BE0">
      <w:pPr>
        <w:rPr>
          <w:i/>
          <w:iCs/>
          <w:color w:val="113F64"/>
        </w:rPr>
      </w:pPr>
      <w:r w:rsidRPr="00441BE0">
        <w:rPr>
          <w:b/>
          <w:bCs/>
          <w:color w:val="113F64"/>
        </w:rPr>
        <w:t xml:space="preserve">NOTE: </w:t>
      </w:r>
      <w:r w:rsidRPr="00441BE0">
        <w:rPr>
          <w:i/>
          <w:iCs/>
          <w:color w:val="113F64"/>
        </w:rPr>
        <w:t>Any opinions, findings, conclusions, or recommendations expressed in this publication are those of the author(s) and should not be construed to represent any official USDA or U.S. Government determination or policy.</w:t>
      </w:r>
    </w:p>
    <w:p w14:paraId="28D978E7" w14:textId="07D6F048" w:rsidR="00C919A7" w:rsidRPr="00C919A7" w:rsidRDefault="00C919A7" w:rsidP="00441BE0">
      <w:pPr>
        <w:rPr>
          <w:b/>
          <w:bCs/>
          <w:color w:val="113F64"/>
          <w:sz w:val="28"/>
          <w:szCs w:val="28"/>
        </w:rPr>
      </w:pPr>
      <w:r>
        <w:rPr>
          <w:b/>
          <w:bCs/>
          <w:color w:val="113F64"/>
          <w:sz w:val="28"/>
          <w:szCs w:val="28"/>
        </w:rPr>
        <w:t xml:space="preserve">Version 1.0 </w:t>
      </w:r>
      <w:r w:rsidRPr="00C919A7">
        <w:rPr>
          <w:b/>
          <w:bCs/>
          <w:color w:val="113F64"/>
          <w:sz w:val="28"/>
          <w:szCs w:val="28"/>
        </w:rPr>
        <w:t>Published September 30, 2025</w:t>
      </w:r>
      <w:r>
        <w:rPr>
          <w:b/>
          <w:bCs/>
          <w:color w:val="113F64"/>
          <w:sz w:val="28"/>
          <w:szCs w:val="28"/>
        </w:rPr>
        <w:t xml:space="preserve"> </w:t>
      </w:r>
    </w:p>
    <w:p w14:paraId="647609F5" w14:textId="37D87AE5" w:rsidR="004E0DD9" w:rsidRDefault="004E0DD9">
      <w:pPr>
        <w:rPr>
          <w:rFonts w:ascii="Arial" w:hAnsi="Arial" w:cs="Arial"/>
          <w:b/>
          <w:bCs/>
          <w:color w:val="113F64"/>
          <w:sz w:val="36"/>
          <w:szCs w:val="36"/>
        </w:rPr>
      </w:pPr>
    </w:p>
    <w:p w14:paraId="2F43F8D5" w14:textId="77777777" w:rsidR="00C919A7" w:rsidRDefault="00C919A7">
      <w:pPr>
        <w:rPr>
          <w:rFonts w:ascii="Arial" w:hAnsi="Arial" w:cs="Arial"/>
          <w:b/>
          <w:bCs/>
          <w:color w:val="113F64"/>
          <w:sz w:val="36"/>
          <w:szCs w:val="36"/>
        </w:rPr>
      </w:pPr>
      <w:r>
        <w:rPr>
          <w:rFonts w:ascii="Arial" w:hAnsi="Arial" w:cs="Arial"/>
          <w:b/>
          <w:bCs/>
          <w:color w:val="113F64"/>
          <w:sz w:val="36"/>
          <w:szCs w:val="36"/>
        </w:rPr>
        <w:br w:type="page"/>
      </w:r>
    </w:p>
    <w:p w14:paraId="5CEAA4AB" w14:textId="3A000EC9" w:rsidR="00441BE0" w:rsidRPr="00441BE0" w:rsidRDefault="00441BE0" w:rsidP="00441BE0">
      <w:pPr>
        <w:rPr>
          <w:rStyle w:val="Strong"/>
          <w:sz w:val="36"/>
          <w:szCs w:val="36"/>
        </w:rPr>
        <w:sectPr w:rsidR="00441BE0" w:rsidRPr="00441BE0" w:rsidSect="00441BE0">
          <w:pgSz w:w="12240" w:h="15840"/>
          <w:pgMar w:top="1440" w:right="1440" w:bottom="1440" w:left="1440" w:header="720" w:footer="720" w:gutter="0"/>
          <w:pgNumType w:chapStyle="1"/>
          <w:cols w:space="720"/>
          <w:titlePg/>
          <w:docGrid w:linePitch="360"/>
        </w:sectPr>
      </w:pPr>
      <w:r w:rsidRPr="00441BE0">
        <w:rPr>
          <w:rFonts w:ascii="Arial" w:hAnsi="Arial" w:cs="Arial"/>
          <w:b/>
          <w:bCs/>
          <w:color w:val="113F64"/>
          <w:sz w:val="36"/>
          <w:szCs w:val="36"/>
        </w:rPr>
        <w:lastRenderedPageBreak/>
        <w:t>Seaweed Food Safety Guidance Authors</w:t>
      </w:r>
      <w:bookmarkEnd w:id="0"/>
    </w:p>
    <w:p w14:paraId="30BC2DA8" w14:textId="77777777" w:rsidR="00441BE0" w:rsidRPr="00504657" w:rsidRDefault="00441BE0" w:rsidP="00441BE0">
      <w:pPr>
        <w:spacing w:before="240" w:after="0" w:line="276" w:lineRule="auto"/>
        <w:rPr>
          <w:rStyle w:val="Strong"/>
        </w:rPr>
      </w:pPr>
      <w:r w:rsidRPr="00504657">
        <w:rPr>
          <w:rStyle w:val="Strong"/>
        </w:rPr>
        <w:t>Dr. Michael Ciaramella</w:t>
      </w:r>
    </w:p>
    <w:p w14:paraId="3E305156" w14:textId="77777777" w:rsidR="00441BE0" w:rsidRDefault="00441BE0" w:rsidP="00441BE0">
      <w:pPr>
        <w:spacing w:after="0" w:line="276" w:lineRule="auto"/>
      </w:pPr>
      <w:r>
        <w:t>Seafood Safety and Technology Specialist</w:t>
      </w:r>
    </w:p>
    <w:p w14:paraId="5EAD18C5" w14:textId="77777777" w:rsidR="00441BE0" w:rsidRDefault="00441BE0" w:rsidP="004E0DD9">
      <w:pPr>
        <w:spacing w:after="0" w:line="276" w:lineRule="auto"/>
        <w:rPr>
          <w:rFonts w:cs="Calibri"/>
          <w:color w:val="000000"/>
          <w:bdr w:val="none" w:sz="0" w:space="0" w:color="auto" w:frame="1"/>
        </w:rPr>
      </w:pPr>
      <w:r>
        <w:t>New York Sea Grant, Cornell University</w:t>
      </w:r>
      <w:r w:rsidRPr="009327AC">
        <w:rPr>
          <w:rFonts w:cs="Calibri"/>
          <w:color w:val="000000"/>
          <w:bdr w:val="none" w:sz="0" w:space="0" w:color="auto" w:frame="1"/>
        </w:rPr>
        <w:t xml:space="preserve"> </w:t>
      </w:r>
    </w:p>
    <w:p w14:paraId="319C372D" w14:textId="639D7E80" w:rsidR="00441BE0" w:rsidRDefault="00441BE0" w:rsidP="00441BE0">
      <w:pPr>
        <w:spacing w:line="276" w:lineRule="auto"/>
      </w:pPr>
      <w:r>
        <w:rPr>
          <w:rFonts w:cs="Calibri"/>
          <w:noProof/>
          <w:color w:val="000000"/>
          <w:bdr w:val="none" w:sz="0" w:space="0" w:color="auto" w:frame="1"/>
        </w:rPr>
        <w:t xml:space="preserve"> </w:t>
      </w:r>
      <w:r w:rsidR="000B1F22">
        <w:rPr>
          <w:noProof/>
        </w:rPr>
        <w:drawing>
          <wp:inline distT="0" distB="0" distL="0" distR="0" wp14:anchorId="2C0AECC3" wp14:editId="180AE63F">
            <wp:extent cx="925975" cy="457200"/>
            <wp:effectExtent l="0" t="0" r="7620" b="0"/>
            <wp:docPr id="955378237" name="Picture 2" descr="A blue bird and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78237" name="Picture 2" descr="A blue bird and a black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5975" cy="457200"/>
                    </a:xfrm>
                    <a:prstGeom prst="rect">
                      <a:avLst/>
                    </a:prstGeom>
                  </pic:spPr>
                </pic:pic>
              </a:graphicData>
            </a:graphic>
          </wp:inline>
        </w:drawing>
      </w:r>
    </w:p>
    <w:p w14:paraId="50FD8B9E" w14:textId="77777777" w:rsidR="00441BE0" w:rsidRPr="00504657" w:rsidRDefault="00441BE0" w:rsidP="00441BE0">
      <w:pPr>
        <w:spacing w:after="0" w:line="276" w:lineRule="auto"/>
        <w:rPr>
          <w:rStyle w:val="Strong"/>
        </w:rPr>
      </w:pPr>
      <w:r w:rsidRPr="00504657">
        <w:rPr>
          <w:rStyle w:val="Strong"/>
        </w:rPr>
        <w:t>Dr. Jennifer Perry</w:t>
      </w:r>
    </w:p>
    <w:p w14:paraId="29E2172C" w14:textId="77777777" w:rsidR="00441BE0" w:rsidRDefault="00441BE0" w:rsidP="00441BE0">
      <w:pPr>
        <w:spacing w:after="0" w:line="276" w:lineRule="auto"/>
      </w:pPr>
      <w:r>
        <w:t>Associate Professor of Food Microbiology</w:t>
      </w:r>
    </w:p>
    <w:p w14:paraId="619FC69A" w14:textId="77777777" w:rsidR="00441BE0" w:rsidRDefault="00441BE0" w:rsidP="004E0DD9">
      <w:pPr>
        <w:spacing w:after="0" w:line="276" w:lineRule="auto"/>
        <w:rPr>
          <w:rFonts w:cs="Calibri"/>
          <w:color w:val="000000"/>
          <w:bdr w:val="none" w:sz="0" w:space="0" w:color="auto" w:frame="1"/>
        </w:rPr>
      </w:pPr>
      <w:r>
        <w:t>University of Maine</w:t>
      </w:r>
      <w:r w:rsidRPr="009327AC">
        <w:rPr>
          <w:rFonts w:cs="Calibri"/>
          <w:color w:val="000000"/>
          <w:bdr w:val="none" w:sz="0" w:space="0" w:color="auto" w:frame="1"/>
        </w:rPr>
        <w:t xml:space="preserve"> </w:t>
      </w:r>
    </w:p>
    <w:p w14:paraId="4992F70F" w14:textId="4F01C65B" w:rsidR="00441BE0" w:rsidRDefault="000B1F22" w:rsidP="00441BE0">
      <w:pPr>
        <w:spacing w:line="276" w:lineRule="auto"/>
      </w:pPr>
      <w:r>
        <w:rPr>
          <w:noProof/>
        </w:rPr>
        <w:drawing>
          <wp:inline distT="0" distB="0" distL="0" distR="0" wp14:anchorId="12236043" wp14:editId="38B9DA5A">
            <wp:extent cx="1536193" cy="457200"/>
            <wp:effectExtent l="0" t="0" r="6985" b="0"/>
            <wp:docPr id="1339209959" name="Picture 3"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09959" name="Picture 3" descr="Blue text on a black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536193" cy="457200"/>
                    </a:xfrm>
                    <a:prstGeom prst="rect">
                      <a:avLst/>
                    </a:prstGeom>
                  </pic:spPr>
                </pic:pic>
              </a:graphicData>
            </a:graphic>
          </wp:inline>
        </w:drawing>
      </w:r>
    </w:p>
    <w:p w14:paraId="261CD09E" w14:textId="77777777" w:rsidR="00441BE0" w:rsidRPr="00504657" w:rsidRDefault="00441BE0" w:rsidP="00441BE0">
      <w:pPr>
        <w:spacing w:after="0" w:line="276" w:lineRule="auto"/>
        <w:rPr>
          <w:rStyle w:val="Strong"/>
        </w:rPr>
      </w:pPr>
      <w:r w:rsidRPr="00504657">
        <w:rPr>
          <w:rStyle w:val="Strong"/>
        </w:rPr>
        <w:t>Dr. Amanda Shore</w:t>
      </w:r>
    </w:p>
    <w:p w14:paraId="3A7C12E4" w14:textId="77777777" w:rsidR="00441BE0" w:rsidRDefault="00441BE0" w:rsidP="00441BE0">
      <w:pPr>
        <w:spacing w:after="0" w:line="276" w:lineRule="auto"/>
      </w:pPr>
      <w:r>
        <w:t>Assistant Professor of Microbiology</w:t>
      </w:r>
    </w:p>
    <w:p w14:paraId="44ED9855" w14:textId="77777777" w:rsidR="00441BE0" w:rsidRDefault="00441BE0" w:rsidP="004E0DD9">
      <w:pPr>
        <w:spacing w:after="0" w:line="276" w:lineRule="auto"/>
      </w:pPr>
      <w:r>
        <w:t>Farmingdale State College</w:t>
      </w:r>
    </w:p>
    <w:p w14:paraId="69F9D71C" w14:textId="04348CED" w:rsidR="00441BE0" w:rsidRDefault="000B1F22" w:rsidP="004E0DD9">
      <w:pPr>
        <w:spacing w:line="276" w:lineRule="auto"/>
        <w:rPr>
          <w:rStyle w:val="Strong"/>
        </w:rPr>
      </w:pPr>
      <w:r>
        <w:rPr>
          <w:rFonts w:ascii="Arial" w:hAnsi="Arial"/>
          <w:b/>
          <w:bCs/>
          <w:noProof/>
          <w:color w:val="28666E"/>
        </w:rPr>
        <w:drawing>
          <wp:inline distT="0" distB="0" distL="0" distR="0" wp14:anchorId="6F0F002B" wp14:editId="19B447F8">
            <wp:extent cx="731520" cy="731520"/>
            <wp:effectExtent l="0" t="0" r="0" b="0"/>
            <wp:docPr id="226042833" name="Picture 4"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42833" name="Picture 4" descr="A logo of a university&#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30BE2C08" w14:textId="77777777" w:rsidR="00441BE0" w:rsidRPr="00504657" w:rsidRDefault="00441BE0" w:rsidP="00441BE0">
      <w:pPr>
        <w:spacing w:after="0" w:line="276" w:lineRule="auto"/>
        <w:rPr>
          <w:rStyle w:val="Strong"/>
        </w:rPr>
      </w:pPr>
      <w:r w:rsidRPr="00504657">
        <w:rPr>
          <w:rStyle w:val="Strong"/>
        </w:rPr>
        <w:t>Anoushka Concepcion</w:t>
      </w:r>
    </w:p>
    <w:p w14:paraId="0AAC071A" w14:textId="77777777" w:rsidR="00441BE0" w:rsidRDefault="00441BE0" w:rsidP="00441BE0">
      <w:pPr>
        <w:spacing w:after="0" w:line="276" w:lineRule="auto"/>
      </w:pPr>
      <w:r>
        <w:t>Associate Extension Educator (Former)</w:t>
      </w:r>
    </w:p>
    <w:p w14:paraId="04991BE8" w14:textId="77777777" w:rsidR="00441BE0" w:rsidRDefault="00441BE0" w:rsidP="004E0DD9">
      <w:pPr>
        <w:spacing w:after="0" w:line="276" w:lineRule="auto"/>
      </w:pPr>
      <w:r>
        <w:t>Connecticut Sea Grant, University of Connecticut Extension</w:t>
      </w:r>
    </w:p>
    <w:p w14:paraId="00D05440" w14:textId="136469D9" w:rsidR="00441BE0" w:rsidRDefault="000B1F22" w:rsidP="00441BE0">
      <w:pPr>
        <w:spacing w:line="276" w:lineRule="auto"/>
      </w:pPr>
      <w:r>
        <w:rPr>
          <w:noProof/>
        </w:rPr>
        <w:drawing>
          <wp:inline distT="0" distB="0" distL="0" distR="0" wp14:anchorId="0E3D6A33" wp14:editId="41B0E8D0">
            <wp:extent cx="914400" cy="457200"/>
            <wp:effectExtent l="0" t="0" r="0" b="0"/>
            <wp:docPr id="18811525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26894" name="Picture 1250426894"/>
                    <pic:cNvPicPr/>
                  </pic:nvPicPr>
                  <pic:blipFill>
                    <a:blip r:embed="rId15">
                      <a:extLst>
                        <a:ext uri="{28A0092B-C50C-407E-A947-70E740481C1C}">
                          <a14:useLocalDpi xmlns:a14="http://schemas.microsoft.com/office/drawing/2010/main" val="0"/>
                        </a:ext>
                      </a:extLst>
                    </a:blip>
                    <a:stretch>
                      <a:fillRect/>
                    </a:stretch>
                  </pic:blipFill>
                  <pic:spPr>
                    <a:xfrm>
                      <a:off x="0" y="0"/>
                      <a:ext cx="914400" cy="457200"/>
                    </a:xfrm>
                    <a:prstGeom prst="rect">
                      <a:avLst/>
                    </a:prstGeom>
                  </pic:spPr>
                </pic:pic>
              </a:graphicData>
            </a:graphic>
          </wp:inline>
        </w:drawing>
      </w:r>
      <w:r w:rsidR="00441BE0" w:rsidRPr="009327AC">
        <w:rPr>
          <w:rFonts w:cs="Calibri"/>
          <w:color w:val="000000"/>
          <w:bdr w:val="none" w:sz="0" w:space="0" w:color="auto" w:frame="1"/>
        </w:rPr>
        <w:t xml:space="preserve"> </w:t>
      </w:r>
      <w:r>
        <w:rPr>
          <w:noProof/>
        </w:rPr>
        <w:drawing>
          <wp:inline distT="0" distB="0" distL="0" distR="0" wp14:anchorId="671A4E88" wp14:editId="331DACFE">
            <wp:extent cx="1070609" cy="365760"/>
            <wp:effectExtent l="0" t="0" r="0" b="0"/>
            <wp:docPr id="220143155" name="Picture 5"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43155" name="Picture 5" descr="A blue text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0609" cy="365760"/>
                    </a:xfrm>
                    <a:prstGeom prst="rect">
                      <a:avLst/>
                    </a:prstGeom>
                  </pic:spPr>
                </pic:pic>
              </a:graphicData>
            </a:graphic>
          </wp:inline>
        </w:drawing>
      </w:r>
    </w:p>
    <w:p w14:paraId="533CBADE" w14:textId="77777777" w:rsidR="00441BE0" w:rsidRPr="00504657" w:rsidRDefault="00441BE0" w:rsidP="00441BE0">
      <w:pPr>
        <w:spacing w:after="0" w:line="276" w:lineRule="auto"/>
        <w:rPr>
          <w:rStyle w:val="Strong"/>
        </w:rPr>
      </w:pPr>
      <w:r w:rsidRPr="00504657">
        <w:rPr>
          <w:rStyle w:val="Strong"/>
        </w:rPr>
        <w:t>Dr. Indu Upadhyaya</w:t>
      </w:r>
    </w:p>
    <w:p w14:paraId="5BD9C983" w14:textId="77777777" w:rsidR="00441BE0" w:rsidRDefault="00441BE0" w:rsidP="00441BE0">
      <w:pPr>
        <w:spacing w:after="0" w:line="276" w:lineRule="auto"/>
      </w:pPr>
      <w:r>
        <w:t>Associate Extension Professor-Food Safety</w:t>
      </w:r>
    </w:p>
    <w:p w14:paraId="4D149D5A" w14:textId="77777777" w:rsidR="00441BE0" w:rsidRDefault="00441BE0" w:rsidP="004E0DD9">
      <w:pPr>
        <w:spacing w:after="0" w:line="276" w:lineRule="auto"/>
        <w:rPr>
          <w:rFonts w:cs="Calibri"/>
          <w:color w:val="000000"/>
          <w:bdr w:val="none" w:sz="0" w:space="0" w:color="auto" w:frame="1"/>
        </w:rPr>
      </w:pPr>
      <w:r>
        <w:t>University of Connecticut Extension</w:t>
      </w:r>
      <w:r w:rsidRPr="009327AC">
        <w:rPr>
          <w:rFonts w:cs="Calibri"/>
          <w:color w:val="000000"/>
          <w:bdr w:val="none" w:sz="0" w:space="0" w:color="auto" w:frame="1"/>
        </w:rPr>
        <w:t xml:space="preserve"> </w:t>
      </w:r>
    </w:p>
    <w:p w14:paraId="3BFC430A" w14:textId="725024EB" w:rsidR="00441BE0" w:rsidRPr="000B1F22" w:rsidRDefault="000B1F22" w:rsidP="004E0DD9">
      <w:pPr>
        <w:spacing w:line="276" w:lineRule="auto"/>
        <w:rPr>
          <w:rStyle w:val="Strong"/>
          <w:rFonts w:ascii="Calibri" w:hAnsi="Calibri"/>
          <w:b w:val="0"/>
          <w:bCs w:val="0"/>
          <w:color w:val="auto"/>
        </w:rPr>
      </w:pPr>
      <w:r>
        <w:rPr>
          <w:noProof/>
        </w:rPr>
        <w:drawing>
          <wp:inline distT="0" distB="0" distL="0" distR="0" wp14:anchorId="5266766F" wp14:editId="13D37AE0">
            <wp:extent cx="1070609" cy="365760"/>
            <wp:effectExtent l="0" t="0" r="0" b="0"/>
            <wp:docPr id="172242465" name="Picture 5"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43155" name="Picture 5" descr="A blue text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0609" cy="365760"/>
                    </a:xfrm>
                    <a:prstGeom prst="rect">
                      <a:avLst/>
                    </a:prstGeom>
                  </pic:spPr>
                </pic:pic>
              </a:graphicData>
            </a:graphic>
          </wp:inline>
        </w:drawing>
      </w:r>
    </w:p>
    <w:p w14:paraId="57A49C04" w14:textId="092EC0FF" w:rsidR="00441BE0" w:rsidRPr="00504657" w:rsidRDefault="004E0DD9" w:rsidP="00441BE0">
      <w:pPr>
        <w:spacing w:after="0" w:line="276" w:lineRule="auto"/>
        <w:rPr>
          <w:rStyle w:val="Strong"/>
        </w:rPr>
      </w:pPr>
      <w:r>
        <w:rPr>
          <w:rStyle w:val="Strong"/>
        </w:rPr>
        <w:br w:type="column"/>
      </w:r>
      <w:r w:rsidR="00441BE0" w:rsidRPr="00504657">
        <w:rPr>
          <w:rStyle w:val="Strong"/>
        </w:rPr>
        <w:t>Zachary Gordon</w:t>
      </w:r>
    </w:p>
    <w:p w14:paraId="610226EF" w14:textId="77777777" w:rsidR="00441BE0" w:rsidRDefault="00441BE0" w:rsidP="00441BE0">
      <w:pPr>
        <w:spacing w:after="0" w:line="276" w:lineRule="auto"/>
      </w:pPr>
      <w:r>
        <w:t>Assistant Extension Educator</w:t>
      </w:r>
    </w:p>
    <w:p w14:paraId="2A9C84BA" w14:textId="77777777" w:rsidR="00441BE0" w:rsidRDefault="00441BE0" w:rsidP="004E0DD9">
      <w:pPr>
        <w:spacing w:after="0" w:line="276" w:lineRule="auto"/>
      </w:pPr>
      <w:r>
        <w:t>Connecticut Sea Grant, University of Connecticut Extension</w:t>
      </w:r>
    </w:p>
    <w:p w14:paraId="519CAE9C" w14:textId="6D37CF37" w:rsidR="00441BE0" w:rsidRDefault="000B1F22" w:rsidP="00441BE0">
      <w:pPr>
        <w:spacing w:line="276" w:lineRule="auto"/>
      </w:pPr>
      <w:r>
        <w:rPr>
          <w:noProof/>
        </w:rPr>
        <w:drawing>
          <wp:inline distT="0" distB="0" distL="0" distR="0" wp14:anchorId="11156B0B" wp14:editId="79A506E5">
            <wp:extent cx="914400" cy="457200"/>
            <wp:effectExtent l="0" t="0" r="0" b="0"/>
            <wp:docPr id="12504268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26894" name="Picture 1250426894"/>
                    <pic:cNvPicPr/>
                  </pic:nvPicPr>
                  <pic:blipFill>
                    <a:blip r:embed="rId15">
                      <a:extLst>
                        <a:ext uri="{28A0092B-C50C-407E-A947-70E740481C1C}">
                          <a14:useLocalDpi xmlns:a14="http://schemas.microsoft.com/office/drawing/2010/main" val="0"/>
                        </a:ext>
                      </a:extLst>
                    </a:blip>
                    <a:stretch>
                      <a:fillRect/>
                    </a:stretch>
                  </pic:blipFill>
                  <pic:spPr>
                    <a:xfrm>
                      <a:off x="0" y="0"/>
                      <a:ext cx="914400" cy="457200"/>
                    </a:xfrm>
                    <a:prstGeom prst="rect">
                      <a:avLst/>
                    </a:prstGeom>
                  </pic:spPr>
                </pic:pic>
              </a:graphicData>
            </a:graphic>
          </wp:inline>
        </w:drawing>
      </w:r>
      <w:r>
        <w:rPr>
          <w:noProof/>
        </w:rPr>
        <w:drawing>
          <wp:inline distT="0" distB="0" distL="0" distR="0" wp14:anchorId="6A6B227E" wp14:editId="29433EF8">
            <wp:extent cx="1070609" cy="365760"/>
            <wp:effectExtent l="0" t="0" r="0" b="0"/>
            <wp:docPr id="407570847" name="Picture 5"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43155" name="Picture 5" descr="A blue text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0609" cy="365760"/>
                    </a:xfrm>
                    <a:prstGeom prst="rect">
                      <a:avLst/>
                    </a:prstGeom>
                  </pic:spPr>
                </pic:pic>
              </a:graphicData>
            </a:graphic>
          </wp:inline>
        </w:drawing>
      </w:r>
    </w:p>
    <w:p w14:paraId="02E364C0" w14:textId="77777777" w:rsidR="00441BE0" w:rsidRPr="00504657" w:rsidRDefault="00441BE0" w:rsidP="00441BE0">
      <w:pPr>
        <w:spacing w:after="0" w:line="276" w:lineRule="auto"/>
        <w:rPr>
          <w:rStyle w:val="Strong"/>
        </w:rPr>
      </w:pPr>
      <w:r w:rsidRPr="00504657">
        <w:rPr>
          <w:rStyle w:val="Strong"/>
        </w:rPr>
        <w:t>Cat</w:t>
      </w:r>
      <w:r>
        <w:rPr>
          <w:rStyle w:val="Strong"/>
        </w:rPr>
        <w:t>h</w:t>
      </w:r>
      <w:r w:rsidRPr="00504657">
        <w:rPr>
          <w:rStyle w:val="Strong"/>
        </w:rPr>
        <w:t>erine Janasie, J.D., LL.M.</w:t>
      </w:r>
    </w:p>
    <w:p w14:paraId="689CD790" w14:textId="77777777" w:rsidR="00441BE0" w:rsidRDefault="00441BE0" w:rsidP="00441BE0">
      <w:pPr>
        <w:spacing w:after="0" w:line="276" w:lineRule="auto"/>
      </w:pPr>
      <w:r>
        <w:t>Research Counsel for the National Sea Grant Law Center</w:t>
      </w:r>
    </w:p>
    <w:p w14:paraId="6406A9E5" w14:textId="77777777" w:rsidR="00441BE0" w:rsidRDefault="00441BE0" w:rsidP="004E0DD9">
      <w:pPr>
        <w:spacing w:after="0" w:line="276" w:lineRule="auto"/>
      </w:pPr>
      <w:r>
        <w:t>The University of Mississippi School of Law</w:t>
      </w:r>
    </w:p>
    <w:p w14:paraId="18671D19" w14:textId="4E63633D" w:rsidR="000B1F22" w:rsidRDefault="000B1F22" w:rsidP="00441BE0">
      <w:pPr>
        <w:spacing w:line="276" w:lineRule="auto"/>
      </w:pPr>
      <w:r>
        <w:rPr>
          <w:noProof/>
        </w:rPr>
        <w:drawing>
          <wp:inline distT="0" distB="0" distL="0" distR="0" wp14:anchorId="55E30987" wp14:editId="528320C0">
            <wp:extent cx="961853" cy="457200"/>
            <wp:effectExtent l="0" t="0" r="0" b="0"/>
            <wp:docPr id="5357473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47381" name="Picture 535747381"/>
                    <pic:cNvPicPr/>
                  </pic:nvPicPr>
                  <pic:blipFill rotWithShape="1">
                    <a:blip r:embed="rId17">
                      <a:extLst>
                        <a:ext uri="{28A0092B-C50C-407E-A947-70E740481C1C}">
                          <a14:useLocalDpi xmlns:a14="http://schemas.microsoft.com/office/drawing/2010/main" val="0"/>
                        </a:ext>
                      </a:extLst>
                    </a:blip>
                    <a:srcRect t="23439" b="30487"/>
                    <a:stretch>
                      <a:fillRect/>
                    </a:stretch>
                  </pic:blipFill>
                  <pic:spPr bwMode="auto">
                    <a:xfrm>
                      <a:off x="0" y="0"/>
                      <a:ext cx="961853" cy="457200"/>
                    </a:xfrm>
                    <a:prstGeom prst="rect">
                      <a:avLst/>
                    </a:prstGeom>
                    <a:ln>
                      <a:noFill/>
                    </a:ln>
                    <a:extLst>
                      <a:ext uri="{53640926-AAD7-44D8-BBD7-CCE9431645EC}">
                        <a14:shadowObscured xmlns:a14="http://schemas.microsoft.com/office/drawing/2010/main"/>
                      </a:ext>
                    </a:extLst>
                  </pic:spPr>
                </pic:pic>
              </a:graphicData>
            </a:graphic>
          </wp:inline>
        </w:drawing>
      </w:r>
    </w:p>
    <w:p w14:paraId="6EB0AD53" w14:textId="77777777" w:rsidR="00441BE0" w:rsidRPr="00504657" w:rsidRDefault="00441BE0" w:rsidP="00441BE0">
      <w:pPr>
        <w:spacing w:after="0" w:line="276" w:lineRule="auto"/>
        <w:rPr>
          <w:rStyle w:val="Strong"/>
        </w:rPr>
      </w:pPr>
      <w:r w:rsidRPr="00504657">
        <w:rPr>
          <w:rStyle w:val="Strong"/>
        </w:rPr>
        <w:t>Dr. Christina DeWitt</w:t>
      </w:r>
    </w:p>
    <w:p w14:paraId="0AF64204" w14:textId="77777777" w:rsidR="00441BE0" w:rsidRDefault="00441BE0" w:rsidP="00441BE0">
      <w:pPr>
        <w:spacing w:after="0" w:line="276" w:lineRule="auto"/>
      </w:pPr>
      <w:r>
        <w:t>Professor, Seafood Research &amp; Education Center</w:t>
      </w:r>
    </w:p>
    <w:p w14:paraId="244F467B" w14:textId="77777777" w:rsidR="00441BE0" w:rsidRDefault="00441BE0" w:rsidP="004E0DD9">
      <w:pPr>
        <w:spacing w:after="0" w:line="276" w:lineRule="auto"/>
      </w:pPr>
      <w:r>
        <w:t>Oregon State University</w:t>
      </w:r>
    </w:p>
    <w:p w14:paraId="104FAAE9" w14:textId="0FA4C10E" w:rsidR="00441BE0" w:rsidRDefault="004E0DD9" w:rsidP="00441BE0">
      <w:pPr>
        <w:spacing w:line="276" w:lineRule="auto"/>
      </w:pPr>
      <w:r>
        <w:rPr>
          <w:noProof/>
        </w:rPr>
        <w:drawing>
          <wp:inline distT="0" distB="0" distL="0" distR="0" wp14:anchorId="3E8EDD20" wp14:editId="5F854DEA">
            <wp:extent cx="1435395" cy="457200"/>
            <wp:effectExtent l="0" t="0" r="0" b="0"/>
            <wp:docPr id="468789411" name="Picture 8" descr="A black background with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89411" name="Picture 8" descr="A black background with orange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5395" cy="457200"/>
                    </a:xfrm>
                    <a:prstGeom prst="rect">
                      <a:avLst/>
                    </a:prstGeom>
                  </pic:spPr>
                </pic:pic>
              </a:graphicData>
            </a:graphic>
          </wp:inline>
        </w:drawing>
      </w:r>
    </w:p>
    <w:p w14:paraId="5B5C7865" w14:textId="77777777" w:rsidR="00441BE0" w:rsidRPr="00504657" w:rsidRDefault="00441BE0" w:rsidP="00441BE0">
      <w:pPr>
        <w:spacing w:after="0" w:line="276" w:lineRule="auto"/>
        <w:rPr>
          <w:rStyle w:val="Strong"/>
        </w:rPr>
      </w:pPr>
      <w:r w:rsidRPr="00504657">
        <w:rPr>
          <w:rStyle w:val="Strong"/>
        </w:rPr>
        <w:t>Dr. Razieh Farzad</w:t>
      </w:r>
    </w:p>
    <w:p w14:paraId="0583AD09" w14:textId="77777777" w:rsidR="00441BE0" w:rsidRDefault="00441BE0" w:rsidP="00441BE0">
      <w:pPr>
        <w:spacing w:after="0" w:line="276" w:lineRule="auto"/>
      </w:pPr>
      <w:r>
        <w:t>Assistant Professor and Seafood Safety Extension Specialist</w:t>
      </w:r>
    </w:p>
    <w:p w14:paraId="2791ECCA" w14:textId="77777777" w:rsidR="00441BE0" w:rsidRDefault="00441BE0" w:rsidP="004E0DD9">
      <w:pPr>
        <w:spacing w:after="0" w:line="276" w:lineRule="auto"/>
      </w:pPr>
      <w:r>
        <w:t>Florida Sea Grant, University of Florida</w:t>
      </w:r>
    </w:p>
    <w:p w14:paraId="2435D5E7" w14:textId="46E8B282" w:rsidR="00441BE0" w:rsidRDefault="004E0DD9" w:rsidP="00441BE0">
      <w:pPr>
        <w:spacing w:line="276" w:lineRule="auto"/>
      </w:pPr>
      <w:r>
        <w:rPr>
          <w:noProof/>
        </w:rPr>
        <w:drawing>
          <wp:inline distT="0" distB="0" distL="0" distR="0" wp14:anchorId="68150DAD" wp14:editId="6C1E3FDF">
            <wp:extent cx="977290" cy="457200"/>
            <wp:effectExtent l="0" t="0" r="0" b="0"/>
            <wp:docPr id="1878126913" name="Picture 9" descr="A blue bi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26913" name="Picture 9" descr="A blue bird with a black backgroun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7290" cy="457200"/>
                    </a:xfrm>
                    <a:prstGeom prst="rect">
                      <a:avLst/>
                    </a:prstGeom>
                  </pic:spPr>
                </pic:pic>
              </a:graphicData>
            </a:graphic>
          </wp:inline>
        </w:drawing>
      </w:r>
    </w:p>
    <w:p w14:paraId="405BD490" w14:textId="77777777" w:rsidR="00441BE0" w:rsidRPr="00504657" w:rsidRDefault="00441BE0" w:rsidP="00441BE0">
      <w:pPr>
        <w:spacing w:after="0" w:line="276" w:lineRule="auto"/>
        <w:rPr>
          <w:rStyle w:val="Strong"/>
        </w:rPr>
      </w:pPr>
      <w:r w:rsidRPr="00504657">
        <w:rPr>
          <w:rStyle w:val="Strong"/>
        </w:rPr>
        <w:t>Dr. Brian Himelbloom, CFS</w:t>
      </w:r>
    </w:p>
    <w:p w14:paraId="1DF66365" w14:textId="77777777" w:rsidR="00441BE0" w:rsidRDefault="00441BE0" w:rsidP="00441BE0">
      <w:pPr>
        <w:spacing w:after="0" w:line="276" w:lineRule="auto"/>
      </w:pPr>
      <w:r>
        <w:t>Associate Professor of Seafood Microbiology (retired)</w:t>
      </w:r>
    </w:p>
    <w:p w14:paraId="104FCD52" w14:textId="77777777" w:rsidR="00441BE0" w:rsidRDefault="00441BE0" w:rsidP="00441BE0">
      <w:pPr>
        <w:spacing w:after="0" w:line="276" w:lineRule="auto"/>
      </w:pPr>
      <w:r>
        <w:t>University of Alaska Fairbanks - Kodiak</w:t>
      </w:r>
    </w:p>
    <w:p w14:paraId="60847C08" w14:textId="61E21F81" w:rsidR="004E0DD9" w:rsidRDefault="004E0DD9" w:rsidP="00441BE0">
      <w:pPr>
        <w:sectPr w:rsidR="004E0DD9" w:rsidSect="00441BE0">
          <w:type w:val="continuous"/>
          <w:pgSz w:w="12240" w:h="15840"/>
          <w:pgMar w:top="1440" w:right="1440" w:bottom="1440" w:left="1440" w:header="720" w:footer="720" w:gutter="0"/>
          <w:pgNumType w:chapStyle="1"/>
          <w:cols w:num="2" w:space="720"/>
          <w:docGrid w:linePitch="360"/>
        </w:sectPr>
      </w:pPr>
      <w:r>
        <w:rPr>
          <w:noProof/>
        </w:rPr>
        <w:drawing>
          <wp:inline distT="0" distB="0" distL="0" distR="0" wp14:anchorId="3ADF8E40" wp14:editId="1FD93DA2">
            <wp:extent cx="1617281" cy="365760"/>
            <wp:effectExtent l="0" t="0" r="2540" b="0"/>
            <wp:docPr id="546871053" name="Picture 10"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71053" name="Picture 10" descr="A blue and white log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7281" cy="365760"/>
                    </a:xfrm>
                    <a:prstGeom prst="rect">
                      <a:avLst/>
                    </a:prstGeom>
                  </pic:spPr>
                </pic:pic>
              </a:graphicData>
            </a:graphic>
          </wp:inline>
        </w:drawing>
      </w:r>
    </w:p>
    <w:p w14:paraId="250F75D9" w14:textId="77777777" w:rsidR="00441BE0" w:rsidRPr="00441BE0" w:rsidRDefault="00441BE0" w:rsidP="00441BE0">
      <w:pPr>
        <w:rPr>
          <w:rFonts w:ascii="Arial" w:hAnsi="Arial" w:cs="Arial"/>
          <w:b/>
          <w:bCs/>
          <w:color w:val="113F64"/>
          <w:sz w:val="36"/>
          <w:szCs w:val="36"/>
        </w:rPr>
      </w:pPr>
      <w:bookmarkStart w:id="2" w:name="_Toc208503125"/>
      <w:r w:rsidRPr="00441BE0">
        <w:rPr>
          <w:rFonts w:ascii="Arial" w:hAnsi="Arial" w:cs="Arial"/>
          <w:b/>
          <w:bCs/>
          <w:color w:val="113F64"/>
          <w:sz w:val="36"/>
          <w:szCs w:val="36"/>
        </w:rPr>
        <w:lastRenderedPageBreak/>
        <w:t>Seaweed Food Safety Guidance Copy Editors</w:t>
      </w:r>
      <w:bookmarkEnd w:id="2"/>
    </w:p>
    <w:p w14:paraId="5D28CA8A" w14:textId="77777777" w:rsidR="00441BE0" w:rsidRDefault="00441BE0" w:rsidP="00441BE0">
      <w:pPr>
        <w:rPr>
          <w:rStyle w:val="Strong"/>
        </w:rPr>
        <w:sectPr w:rsidR="00441BE0" w:rsidSect="00441BE0">
          <w:pgSz w:w="12240" w:h="15840"/>
          <w:pgMar w:top="1440" w:right="1440" w:bottom="1440" w:left="1440" w:header="720" w:footer="720" w:gutter="0"/>
          <w:pgNumType w:chapStyle="1"/>
          <w:cols w:space="720"/>
          <w:docGrid w:linePitch="360"/>
        </w:sectPr>
      </w:pPr>
    </w:p>
    <w:p w14:paraId="00EEFFA1" w14:textId="77777777" w:rsidR="00441BE0" w:rsidRPr="00F22037" w:rsidRDefault="00441BE0" w:rsidP="00441BE0">
      <w:pPr>
        <w:spacing w:before="240"/>
        <w:rPr>
          <w:rStyle w:val="Strong"/>
        </w:rPr>
      </w:pPr>
      <w:r w:rsidRPr="00F22037">
        <w:rPr>
          <w:rStyle w:val="Strong"/>
        </w:rPr>
        <w:t>Anoushka Concepcion</w:t>
      </w:r>
    </w:p>
    <w:p w14:paraId="6BD181C0" w14:textId="77777777" w:rsidR="00441BE0" w:rsidRDefault="00441BE0" w:rsidP="00441BE0">
      <w:pPr>
        <w:spacing w:after="0"/>
      </w:pPr>
      <w:r>
        <w:t>Associate Extension Educator (Former)</w:t>
      </w:r>
    </w:p>
    <w:p w14:paraId="4EF4653B" w14:textId="77777777" w:rsidR="00A6492C" w:rsidRDefault="00441BE0" w:rsidP="00A6492C">
      <w:pPr>
        <w:spacing w:after="0"/>
      </w:pPr>
      <w:r>
        <w:t>Connecticut Sea Grant, University of Connecticut Extension</w:t>
      </w:r>
    </w:p>
    <w:p w14:paraId="0068A7A7" w14:textId="75F4E4A4" w:rsidR="00441BE0" w:rsidRPr="00A6492C" w:rsidRDefault="00441BE0" w:rsidP="00A6492C">
      <w:pPr>
        <w:spacing w:after="0"/>
        <w:rPr>
          <w:rStyle w:val="Strong"/>
          <w:rFonts w:ascii="Calibri" w:hAnsi="Calibri"/>
          <w:b w:val="0"/>
          <w:bCs w:val="0"/>
          <w:color w:val="auto"/>
        </w:rPr>
      </w:pPr>
      <w:r w:rsidRPr="00F22037">
        <w:rPr>
          <w:rStyle w:val="Strong"/>
        </w:rPr>
        <w:t>Dr. Brianna Shaughnessy</w:t>
      </w:r>
    </w:p>
    <w:p w14:paraId="49F45D6D" w14:textId="77777777" w:rsidR="00441BE0" w:rsidRDefault="00441BE0" w:rsidP="00441BE0">
      <w:pPr>
        <w:spacing w:after="0"/>
      </w:pPr>
      <w:r>
        <w:t>Post-Doctoral Affiliate</w:t>
      </w:r>
    </w:p>
    <w:p w14:paraId="3EB0FB70" w14:textId="77777777" w:rsidR="00441BE0" w:rsidRPr="00F22037" w:rsidRDefault="00441BE0" w:rsidP="00441BE0">
      <w:pPr>
        <w:spacing w:after="0"/>
      </w:pPr>
      <w:r>
        <w:t>University of Massachusetts Boston</w:t>
      </w:r>
    </w:p>
    <w:p w14:paraId="26AABB93" w14:textId="134DE274" w:rsidR="00441BE0" w:rsidRDefault="00441BE0" w:rsidP="00441BE0">
      <w:pPr>
        <w:jc w:val="center"/>
        <w:sectPr w:rsidR="00441BE0" w:rsidSect="00441BE0">
          <w:type w:val="continuous"/>
          <w:pgSz w:w="12240" w:h="15840"/>
          <w:pgMar w:top="1440" w:right="1440" w:bottom="1440" w:left="1440" w:header="720" w:footer="720" w:gutter="0"/>
          <w:pgNumType w:chapStyle="1"/>
          <w:cols w:num="2" w:space="720"/>
          <w:docGrid w:linePitch="360"/>
        </w:sectPr>
      </w:pPr>
    </w:p>
    <w:p w14:paraId="7EEABF9B" w14:textId="77777777" w:rsidR="00441BE0" w:rsidRDefault="00441BE0" w:rsidP="00441BE0">
      <w:pPr>
        <w:sectPr w:rsidR="00441BE0" w:rsidSect="00441BE0">
          <w:type w:val="continuous"/>
          <w:pgSz w:w="12240" w:h="15840"/>
          <w:pgMar w:top="1440" w:right="1440" w:bottom="1440" w:left="1440" w:header="720" w:footer="720" w:gutter="0"/>
          <w:pgNumType w:chapStyle="1"/>
          <w:cols w:space="720"/>
          <w:docGrid w:linePitch="360"/>
        </w:sectPr>
      </w:pPr>
    </w:p>
    <w:p w14:paraId="0EC588E9" w14:textId="77777777" w:rsidR="00441BE0" w:rsidRPr="00441BE0" w:rsidRDefault="00441BE0" w:rsidP="00441BE0">
      <w:pPr>
        <w:rPr>
          <w:rFonts w:ascii="Arial" w:hAnsi="Arial" w:cs="Arial"/>
          <w:b/>
          <w:bCs/>
          <w:color w:val="113F64"/>
          <w:sz w:val="36"/>
          <w:szCs w:val="36"/>
        </w:rPr>
      </w:pPr>
      <w:bookmarkStart w:id="3" w:name="_Toc208503126"/>
      <w:r w:rsidRPr="00441BE0">
        <w:rPr>
          <w:rFonts w:ascii="Arial" w:hAnsi="Arial" w:cs="Arial"/>
          <w:b/>
          <w:bCs/>
          <w:color w:val="113F64"/>
          <w:sz w:val="36"/>
          <w:szCs w:val="36"/>
        </w:rPr>
        <w:lastRenderedPageBreak/>
        <w:t>A Note to Users</w:t>
      </w:r>
      <w:bookmarkEnd w:id="3"/>
    </w:p>
    <w:p w14:paraId="4B21FFD3" w14:textId="0A920BBE" w:rsidR="00441BE0" w:rsidRDefault="00441BE0" w:rsidP="00441BE0">
      <w:r>
        <w:t xml:space="preserve">This document was developed by a team of food safety experts from across the United States. It provides recommended </w:t>
      </w:r>
      <w:r w:rsidRPr="00F22037">
        <w:rPr>
          <w:b/>
          <w:bCs/>
          <w:u w:val="single"/>
        </w:rPr>
        <w:t>guidelines</w:t>
      </w:r>
      <w:r>
        <w:t xml:space="preserve"> for food safety practices aimed at minimizing biological, chemical, and physical hazards associated with </w:t>
      </w:r>
      <w:r w:rsidR="004E0DD9">
        <w:t>production</w:t>
      </w:r>
      <w:r>
        <w:t>, storage, handling, processing, and transportation of seaweed intended for human consumption.</w:t>
      </w:r>
    </w:p>
    <w:p w14:paraId="72602FCB" w14:textId="77777777" w:rsidR="00441BE0" w:rsidRDefault="00441BE0" w:rsidP="00441BE0">
      <w:r>
        <w:t xml:space="preserve">Please note that </w:t>
      </w:r>
      <w:r w:rsidRPr="00F22037">
        <w:rPr>
          <w:b/>
          <w:bCs/>
          <w:u w:val="single"/>
        </w:rPr>
        <w:t>this is not a regulatory document</w:t>
      </w:r>
      <w:r>
        <w:t>. The authors do not assume responsibility for ensuring regulatory compliance or legal protection. Adherence to the recommendations provided does not guarantee compliance with local, state, or federal laws and regulations. It is the sole responsibility of the user to determine the applicability of these guidelines to their specific operations and to ensure that their procedures meet all current regulatory requirements.</w:t>
      </w:r>
    </w:p>
    <w:p w14:paraId="6F167F65" w14:textId="77777777" w:rsidR="00441BE0" w:rsidRDefault="00441BE0" w:rsidP="00441BE0">
      <w:r>
        <w:t>While this guide offers examples and general guidance on how various hazards may be controlled, it is not exhaustive. Users can develop their own control methods based on scientific literature, in-house research, or historical experience. Compliance with the recommendations in this document is not required, and users may choose alternative approaches that are appropriate for their operations and meet applicable regulatory standards.</w:t>
      </w:r>
    </w:p>
    <w:p w14:paraId="4D22413F" w14:textId="77777777" w:rsidR="00441BE0" w:rsidRDefault="00441BE0" w:rsidP="00441BE0">
      <w:r w:rsidRPr="00F22037">
        <w:rPr>
          <w:b/>
          <w:bCs/>
        </w:rPr>
        <w:t>Recommended citation</w:t>
      </w:r>
      <w:r>
        <w:t>: Ciaramella, M., Perry, J., Shore, A., Concepcion, A., Upadhyaya, I., Gordon, Z., Janasie, C., DeWitt, C., Farzad, R., Himelbloom, B. Editors: Concepcion, A. and Shaughnessy, B. (2025) Seaweed food safety guidance. New York Sea Grant.</w:t>
      </w:r>
    </w:p>
    <w:p w14:paraId="56B5F488" w14:textId="77777777" w:rsidR="00FC0931" w:rsidRDefault="00FC0931" w:rsidP="00441BE0">
      <w:pPr>
        <w:rPr>
          <w:rFonts w:ascii="Arial" w:hAnsi="Arial" w:cs="Arial"/>
          <w:b/>
          <w:bCs/>
          <w:color w:val="113F64"/>
          <w:sz w:val="36"/>
          <w:szCs w:val="36"/>
        </w:rPr>
        <w:sectPr w:rsidR="00FC0931" w:rsidSect="00441BE0">
          <w:footerReference w:type="even" r:id="rId21"/>
          <w:footerReference w:type="default" r:id="rId22"/>
          <w:pgSz w:w="12240" w:h="15840"/>
          <w:pgMar w:top="1440" w:right="1440" w:bottom="1440" w:left="1440" w:header="720" w:footer="720" w:gutter="0"/>
          <w:pgNumType w:chapStyle="1"/>
          <w:cols w:space="720"/>
          <w:docGrid w:linePitch="360"/>
        </w:sectPr>
      </w:pPr>
      <w:bookmarkStart w:id="4" w:name="_Toc208503127"/>
    </w:p>
    <w:p w14:paraId="362DFBF5" w14:textId="77777777" w:rsidR="00441BE0" w:rsidRPr="00441BE0" w:rsidRDefault="00441BE0" w:rsidP="00441BE0">
      <w:pPr>
        <w:rPr>
          <w:rFonts w:ascii="Arial" w:hAnsi="Arial" w:cs="Arial"/>
          <w:b/>
          <w:bCs/>
          <w:color w:val="113F64"/>
          <w:sz w:val="36"/>
          <w:szCs w:val="36"/>
        </w:rPr>
      </w:pPr>
      <w:r w:rsidRPr="00441BE0">
        <w:rPr>
          <w:rFonts w:ascii="Arial" w:hAnsi="Arial" w:cs="Arial"/>
          <w:b/>
          <w:bCs/>
          <w:color w:val="113F64"/>
          <w:sz w:val="36"/>
          <w:szCs w:val="36"/>
        </w:rPr>
        <w:lastRenderedPageBreak/>
        <w:t>Author Biographies</w:t>
      </w:r>
      <w:bookmarkEnd w:id="4"/>
    </w:p>
    <w:p w14:paraId="1D27B954" w14:textId="77777777" w:rsidR="00441BE0" w:rsidRDefault="00441BE0" w:rsidP="00441BE0">
      <w:pPr>
        <w:pStyle w:val="Heading3"/>
      </w:pPr>
      <w:bookmarkStart w:id="5" w:name="_Toc208503128"/>
      <w:r>
        <w:t>Dr. Michael Ciaramella</w:t>
      </w:r>
      <w:bookmarkEnd w:id="5"/>
    </w:p>
    <w:p w14:paraId="17FD7E65" w14:textId="760D221A" w:rsidR="00441BE0" w:rsidRDefault="00441BE0" w:rsidP="00441BE0">
      <w:r>
        <w:t>Dr. Michael Ciaramella is the Seafood Safety and Technology Specialist with New York Sea Grant and Cornell Cooperative Extension, a position he has held since 2015. He earned his Bachelor of Science in Biology from Rider University, Master of Science in Aquatic Health Sciences from the University of Prince Edward Island, and Ph.D. in Food Science and Technology from Mississippi State University. Dr. Ciaramella provides technical expertise in seafood and seaweed safety, working with industry, regulators, and food professionals to support safe production and processing practices. He manages components of a national seafood safety training program, facilitates statewide cross-sector collaboration, and develops science-based resources to advance domestic seaweed production and food safety.</w:t>
      </w:r>
    </w:p>
    <w:p w14:paraId="72E6A8FA" w14:textId="77777777" w:rsidR="00441BE0" w:rsidRDefault="00441BE0" w:rsidP="00441BE0">
      <w:pPr>
        <w:pStyle w:val="Heading3"/>
      </w:pPr>
      <w:bookmarkStart w:id="6" w:name="_Toc208503129"/>
      <w:r>
        <w:t>Dr. Jennifer Perry</w:t>
      </w:r>
      <w:bookmarkEnd w:id="6"/>
    </w:p>
    <w:p w14:paraId="15ED792E" w14:textId="77777777" w:rsidR="00441BE0" w:rsidRDefault="00441BE0" w:rsidP="00441BE0">
      <w:r>
        <w:t>Dr. Jennifer Perry specializes in microbial food safety and processing, with research focused on identifying sources of contamination and developing intervention strategies to reduce spoilage and foodborne illness. Her work includes evaluating non-thermal technologies, biocontrol methods, and fermentation processes to enhance food safety. Dr. Perry has contributed to advancing understanding of microbial risks in seaweed and other raw foods, supporting the development of science-based safety practices for emerging food sectors.</w:t>
      </w:r>
    </w:p>
    <w:p w14:paraId="524EA503" w14:textId="77777777" w:rsidR="00441BE0" w:rsidRDefault="00441BE0" w:rsidP="00441BE0">
      <w:pPr>
        <w:pStyle w:val="Heading3"/>
      </w:pPr>
      <w:bookmarkStart w:id="7" w:name="_Toc208503130"/>
      <w:r>
        <w:t>Dr. Amanda Shore</w:t>
      </w:r>
      <w:bookmarkEnd w:id="7"/>
    </w:p>
    <w:p w14:paraId="2E1D52FC" w14:textId="77777777" w:rsidR="00441BE0" w:rsidRDefault="00441BE0" w:rsidP="00441BE0">
      <w:r>
        <w:t>Dr. Amanda Shore is a microbiologist specializing in marine systems and microbial ecology. Her research explores host-pathogen interactions, microbial community dynamics, and environmental stressors in aquatic ecosystems. With a background in marine microbiology and coral disease ecology, Dr. Shore brings valuable expertise to understanding microbial risks and safety considerations in seaweed production and processing. Dr. Shore holds a Bachelor of Science in Microbiology from the University of Florida and a Ph.D. in Microbiology with a specialization in Marine Biology from the University of Hawai’i at Manoa.</w:t>
      </w:r>
    </w:p>
    <w:p w14:paraId="360560CB" w14:textId="77777777" w:rsidR="00441BE0" w:rsidRDefault="00441BE0" w:rsidP="00441BE0">
      <w:pPr>
        <w:pStyle w:val="Heading3"/>
      </w:pPr>
      <w:bookmarkStart w:id="8" w:name="_Toc208503131"/>
      <w:r>
        <w:t>Anoushka Concepcion</w:t>
      </w:r>
      <w:bookmarkEnd w:id="8"/>
    </w:p>
    <w:p w14:paraId="075F1E05" w14:textId="0E0D6196" w:rsidR="00441BE0" w:rsidRDefault="00441BE0" w:rsidP="00441BE0">
      <w:r>
        <w:t xml:space="preserve">Anoushka Concepcion served as an Associate Extension Educator with Connecticut Sea Grant and UConn’s Department of Extension, where she led programming to support marine aquaculture stakeholders, including the emerging seaweed industry. Her work focused on developing guidance for seaweed safety, facilitating industry-regulator collaboration, and addressing human health hazards in seaweed production and processing. She also led the National Seaweed Hub and contributed to global initiatives like the Global Seaweed Coalition. Anoushka holds a Bachelor of Science degree in Marine Biology from UNC Wilmington, and a Master of Science degree from the University of Rhode Island. </w:t>
      </w:r>
    </w:p>
    <w:p w14:paraId="670F6A39" w14:textId="77777777" w:rsidR="00441BE0" w:rsidRDefault="00441BE0" w:rsidP="00441BE0">
      <w:pPr>
        <w:pStyle w:val="Heading3"/>
      </w:pPr>
      <w:bookmarkStart w:id="9" w:name="_Toc208503132"/>
      <w:r>
        <w:lastRenderedPageBreak/>
        <w:t>Dr. Indu Upadhyaya</w:t>
      </w:r>
      <w:bookmarkEnd w:id="9"/>
    </w:p>
    <w:p w14:paraId="556B06B0" w14:textId="622D20B8" w:rsidR="00441BE0" w:rsidRDefault="00441BE0" w:rsidP="00441BE0">
      <w:r>
        <w:t>Dr. Indu Upadhyaya is a food safety extension specialist with expertise in microbiology, poultry health, and produce safety. She leads outreach and applied research programs at the University of Connecticut, focusing on HACCP training, biosecurity, and product safety. With a background in veterinary science and a Ph.D. in Animal Science (Food Microbiology concentration) from UConn, Dr. Upadhyaya contributes to national efforts to improve food safety practices, including emerging sectors like seaweed production.</w:t>
      </w:r>
    </w:p>
    <w:p w14:paraId="05EC830E" w14:textId="77777777" w:rsidR="00441BE0" w:rsidRDefault="00441BE0" w:rsidP="00441BE0">
      <w:pPr>
        <w:pStyle w:val="Heading3"/>
      </w:pPr>
      <w:bookmarkStart w:id="10" w:name="_Toc208503133"/>
      <w:r>
        <w:t>Zachary Gordon</w:t>
      </w:r>
      <w:bookmarkEnd w:id="10"/>
    </w:p>
    <w:p w14:paraId="5D6C5FE4" w14:textId="0150B2A0" w:rsidR="00441BE0" w:rsidRDefault="00441BE0" w:rsidP="00441BE0">
      <w:r>
        <w:t>Zachary Gordon is an aquaculture extension educator with Connecticut Sea Grant, specializing in seaweed aquaculture. Since joining the program in 2021, he has led initiatives to support the growth and safety of the seaweed industry, including organizing the annual seaweed aquaculture meeting, serving as a Seafood HACCP trainer, and managing the seaweed mobile laboratory. Zachary holds a Bachelor of Arts in Environmental Science from Skidmore College and a Professional Science Master’s in Ocean Food Systems from the University of New England.</w:t>
      </w:r>
    </w:p>
    <w:p w14:paraId="21A78353" w14:textId="77777777" w:rsidR="00441BE0" w:rsidRDefault="00441BE0" w:rsidP="00441BE0">
      <w:pPr>
        <w:pStyle w:val="Heading3"/>
      </w:pPr>
      <w:bookmarkStart w:id="11" w:name="_Toc208503134"/>
      <w:r>
        <w:t>Catherine Janasie, J.D., LL.M.</w:t>
      </w:r>
      <w:bookmarkEnd w:id="11"/>
    </w:p>
    <w:p w14:paraId="3265C44C" w14:textId="38A61E11" w:rsidR="00441BE0" w:rsidRDefault="00441BE0" w:rsidP="00441BE0">
      <w:r>
        <w:t xml:space="preserve">Catherine Janasie is Senior Research Counsel at the National Sea Grant Law Center, where she provides legal and policy analysis on ocean, coastal, and natural resource issues. She teaches environmental law and supports regulatory understanding for emerging sectors such as seaweed aquaculture. Catherine holds a Juris Doctor and Bachelor of Arts from Rutgers University, and a </w:t>
      </w:r>
      <w:r w:rsidRPr="00441BE0">
        <w:t>Master of Laws</w:t>
      </w:r>
      <w:r>
        <w:t xml:space="preserve"> (L.L.M.) in Environmental &amp; Natural Resources Law from Lewis &amp; Clark Law School.</w:t>
      </w:r>
    </w:p>
    <w:p w14:paraId="0528537B" w14:textId="77777777" w:rsidR="00441BE0" w:rsidRDefault="00441BE0" w:rsidP="00441BE0">
      <w:pPr>
        <w:pStyle w:val="Heading3"/>
      </w:pPr>
      <w:bookmarkStart w:id="12" w:name="_Toc208503135"/>
      <w:r>
        <w:t>Dr. Christina DeWitt</w:t>
      </w:r>
      <w:bookmarkEnd w:id="12"/>
    </w:p>
    <w:p w14:paraId="77174E2D" w14:textId="77777777" w:rsidR="00441BE0" w:rsidRDefault="00441BE0" w:rsidP="00441BE0">
      <w:r>
        <w:t>Dr. Christina DeWitt is a professor in the Department of Food Science &amp; Technology at Oregon State University and Director of the OSU Seafood Research &amp; Education Center. Her research focuses on improving seafood quality, safety, and utilization, with expertise in high-pressure processing, protein recovery, and co-product utilization. She also serves as a Seafood HACCP Trainer and contributes to national and international food safety training programs, including those supporting aquaculture and seaweed sectors.</w:t>
      </w:r>
    </w:p>
    <w:p w14:paraId="541F12E7" w14:textId="77777777" w:rsidR="00441BE0" w:rsidRDefault="00441BE0" w:rsidP="00441BE0">
      <w:pPr>
        <w:pStyle w:val="Heading3"/>
      </w:pPr>
      <w:bookmarkStart w:id="13" w:name="_Toc208503136"/>
      <w:r>
        <w:t>Dr. Razieh Farzad</w:t>
      </w:r>
      <w:bookmarkEnd w:id="13"/>
    </w:p>
    <w:p w14:paraId="4724F9D1" w14:textId="77777777" w:rsidR="00441BE0" w:rsidRDefault="00441BE0" w:rsidP="00441BE0">
      <w:r>
        <w:t xml:space="preserve">Dr. Razieh Farzad is an assistant professor and seafood safety extension specialist at University of Florida and Florida Sea Grant. Through these roles she provides technical leadership in seafood safety, aquaculture nutrition, and cellular agriculture. She holds a Ph.D. in Food Science and Technology from Virginia Tech and has extensive experience in developing sustainable aquafeeds and evaluating food safety systems. As a qualified HACCP trainer, she delivers training </w:t>
      </w:r>
      <w:r>
        <w:lastRenderedPageBreak/>
        <w:t>and outreach to support safe and high-quality seafood production, including emerging sectors such as seaweed aquaculture.</w:t>
      </w:r>
    </w:p>
    <w:p w14:paraId="70908EDB" w14:textId="2D6936EE" w:rsidR="00441BE0" w:rsidRDefault="00441BE0" w:rsidP="00441BE0">
      <w:pPr>
        <w:pStyle w:val="Heading3"/>
      </w:pPr>
      <w:bookmarkStart w:id="14" w:name="_Toc208503137"/>
      <w:r>
        <w:t>Dr. Brian Himelbloom, C.F.S</w:t>
      </w:r>
      <w:bookmarkEnd w:id="14"/>
      <w:r>
        <w:t>.</w:t>
      </w:r>
    </w:p>
    <w:p w14:paraId="74C54FC8" w14:textId="6003EA70" w:rsidR="00441BE0" w:rsidRDefault="00441BE0" w:rsidP="00441BE0">
      <w:r>
        <w:t xml:space="preserve">Dr. Brian Himelbloom is a retired seafood microbiologist with over three decades of experience in food safety research and education. He earned a Master of Science in Food Science from Louisiana State University, a Ph.D. in Food Science (Microbiology minor) from North Carolina State University, a post doctorate in the Department of Microbiology at the University of Massachusetts Amherst, and a faculty sabbatical in the Department of Seafood Research at the Technical University of Denmark, in Lyngby. At the University of Alaska Fairbanks’ Kodiak Seafood and Marine Science Center (1987-2017), he focused on microbial contamination, spoilage prevention, pathogen control, and seafood quality assurance. In 2014, he earned the Certified Food Scientist (C.F.S.) credential and has maintained it. For the past ten years and currently, he is one of two </w:t>
      </w:r>
      <w:hyperlink r:id="rId23" w:history="1">
        <w:r w:rsidRPr="00441BE0">
          <w:rPr>
            <w:rStyle w:val="Hyperlink"/>
          </w:rPr>
          <w:t>Alaska food processing authorities</w:t>
        </w:r>
      </w:hyperlink>
      <w:r>
        <w:t>. His work supported Alaska’s seafood industry through applied research, HACCP training, and outreach, and he continues to contribute to mariculture initiatives including seaweed safety. Last November, he began service on the Seafood Technical Committee for the Alaska Seafood Marketing Institute.</w:t>
      </w:r>
    </w:p>
    <w:p w14:paraId="50929EF8" w14:textId="77777777" w:rsidR="00441BE0" w:rsidRPr="00441BE0" w:rsidRDefault="00441BE0" w:rsidP="00441BE0">
      <w:pPr>
        <w:rPr>
          <w:rFonts w:ascii="Arial" w:hAnsi="Arial" w:cs="Arial"/>
          <w:b/>
          <w:bCs/>
          <w:color w:val="113F64"/>
          <w:sz w:val="36"/>
          <w:szCs w:val="36"/>
        </w:rPr>
      </w:pPr>
      <w:bookmarkStart w:id="15" w:name="_Toc208503138"/>
      <w:r w:rsidRPr="00441BE0">
        <w:rPr>
          <w:rFonts w:ascii="Arial" w:hAnsi="Arial" w:cs="Arial"/>
          <w:b/>
          <w:bCs/>
          <w:color w:val="113F64"/>
          <w:sz w:val="36"/>
          <w:szCs w:val="36"/>
        </w:rPr>
        <w:t>Seaweed Food Safety Guidance Reviewers</w:t>
      </w:r>
      <w:bookmarkEnd w:id="15"/>
    </w:p>
    <w:p w14:paraId="23E97EEA" w14:textId="77777777" w:rsidR="00441BE0" w:rsidRDefault="00441BE0" w:rsidP="00441BE0">
      <w:r>
        <w:t>We extend our sincere gratitude to everyone who took the time to review and provide thoughtful feedback on the seaweed food safety guidance document. Your expertise, insights, and careful attention to detail were instrumental in refining this extensive resource. Your contributions have helped ensure that the guidance is both scientifically sound and practically useful for stakeholders across the seaweed industry. Thank you for your commitment to advancing food safety and supporting the development of this important work.</w:t>
      </w:r>
    </w:p>
    <w:p w14:paraId="4FB6A349" w14:textId="5BD05A32" w:rsidR="00441BE0" w:rsidRPr="00F22037" w:rsidRDefault="00441BE0" w:rsidP="00441BE0">
      <w:pPr>
        <w:rPr>
          <w:i/>
          <w:iCs/>
        </w:rPr>
      </w:pPr>
      <w:r w:rsidRPr="00F22037">
        <w:rPr>
          <w:i/>
          <w:iCs/>
        </w:rPr>
        <w:t>Dr. Carrie Byron, Eugene Evans, Dr. Evelyn Watts, Samantha Garwin, Kim Hoffmann, Melissa Good, Nicole Richard, Virginia Ng, Dr. Katheryn Parraga-Estrada, Dr. Brianna Shaughnessy</w:t>
      </w:r>
      <w:r w:rsidR="00F85DE5">
        <w:rPr>
          <w:i/>
          <w:iCs/>
        </w:rPr>
        <w:t xml:space="preserve">, </w:t>
      </w:r>
      <w:r w:rsidR="00F85DE5" w:rsidRPr="00F85DE5">
        <w:t>and</w:t>
      </w:r>
      <w:r w:rsidR="00F85DE5">
        <w:rPr>
          <w:i/>
          <w:iCs/>
        </w:rPr>
        <w:t xml:space="preserve"> Steve Eddy</w:t>
      </w:r>
    </w:p>
    <w:p w14:paraId="2A9F8982" w14:textId="77777777" w:rsidR="00441BE0" w:rsidRDefault="00441BE0" w:rsidP="00441BE0">
      <w:pPr>
        <w:sectPr w:rsidR="00441BE0" w:rsidSect="00441BE0">
          <w:pgSz w:w="12240" w:h="15840"/>
          <w:pgMar w:top="1440" w:right="1440" w:bottom="1440" w:left="1440" w:header="720" w:footer="720" w:gutter="0"/>
          <w:pgNumType w:chapStyle="1"/>
          <w:cols w:space="720"/>
          <w:docGrid w:linePitch="360"/>
        </w:sectPr>
      </w:pPr>
      <w:r>
        <w:t xml:space="preserve">We also extend our sincere gratitude to the editors who generously contributed their </w:t>
      </w:r>
      <w:permStart w:id="55712899" w:ed="mc2544@cornell.edu"/>
      <w:permEnd w:id="55712899"/>
      <w:r>
        <w:t>expertise to this work but preferred to remain unnamed.</w:t>
      </w:r>
    </w:p>
    <w:p w14:paraId="7B6AD15F" w14:textId="24BFC020" w:rsidR="00441BE0" w:rsidRDefault="00441BE0" w:rsidP="00441BE0">
      <w:pPr>
        <w:rPr>
          <w:rFonts w:ascii="Arial" w:hAnsi="Arial" w:cs="Arial"/>
          <w:b/>
          <w:bCs/>
          <w:color w:val="113F64"/>
          <w:sz w:val="36"/>
          <w:szCs w:val="36"/>
        </w:rPr>
      </w:pPr>
      <w:r>
        <w:rPr>
          <w:rFonts w:ascii="Arial" w:hAnsi="Arial" w:cs="Arial"/>
          <w:b/>
          <w:bCs/>
          <w:color w:val="113F64"/>
          <w:sz w:val="36"/>
          <w:szCs w:val="36"/>
        </w:rPr>
        <w:lastRenderedPageBreak/>
        <w:t>Guide Purpose</w:t>
      </w:r>
    </w:p>
    <w:p w14:paraId="0EF4C4CD" w14:textId="77777777" w:rsidR="00441BE0" w:rsidRDefault="00441BE0" w:rsidP="00441BE0">
      <w:r>
        <w:t>Individuals involved in the sale of seaweed should familiarize themselves with the potential hazards linked to seaweed and seaweed products. This ensures they can identify risks that may impact their products and implement adequate practices and controls to mitigate these hazards effectively.</w:t>
      </w:r>
    </w:p>
    <w:p w14:paraId="35A1CDF6" w14:textId="5F2E93F5" w:rsidR="00441BE0" w:rsidRDefault="00441BE0" w:rsidP="00441BE0">
      <w:r>
        <w:t>This guide serves as a resource for individuals involved in seaweed processing, particularly those who are responsible for developing and implementing preventive controls for food safety or HACCP plans. It is intended primarily for processors engaged in wholesale sale and distribution, who must comply with current food safety regulations, including preventive controls for human foods and seafood HACCP.</w:t>
      </w:r>
    </w:p>
    <w:p w14:paraId="5DFEE21F" w14:textId="246FA764" w:rsidR="00FC0931" w:rsidRPr="00441BE0" w:rsidRDefault="00FC0931" w:rsidP="00FC0931">
      <w:pPr>
        <w:ind w:left="-450"/>
      </w:pPr>
      <w:r>
        <w:rPr>
          <w:noProof/>
        </w:rPr>
        <w:drawing>
          <wp:inline distT="0" distB="0" distL="0" distR="0" wp14:anchorId="6A756D3C" wp14:editId="465E1E09">
            <wp:extent cx="6750402" cy="4764947"/>
            <wp:effectExtent l="0" t="0" r="0" b="0"/>
            <wp:docPr id="428046334" name="Picture 1" descr="Infographic showing different seafood supply chain roles. Title: ‘This guide was developed for:’ Three categories are highlighted. 1) Retail and Foodservice: typically regulated under the Food Code and exempt from preventive controls and HACCP regulations; examples include grocery stores, farmers markets, and restaurants. Illustrated with a diner and market storefront. 2) Processors/distributors (wholesale): considered commercial processors, subject to food safety regulations such as preventive controls for human foods or seafood HACCP. Illustrated with seaweed drying on racks and processing equipment. This is highlighted as the main audience for this guidance document. 3) Producers (farmers and harvesters): typically exempt from food safety plan regulations but play a key role in ensuring food safety and supporting buyers’ compliance. Illustrated with a boat harvesting sea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46334" name="Picture 1" descr="Infographic showing different seafood supply chain roles. Title: ‘This guide was developed for:’ Three categories are highlighted. 1) Retail and Foodservice: typically regulated under the Food Code and exempt from preventive controls and HACCP regulations; examples include grocery stores, farmers markets, and restaurants. Illustrated with a diner and market storefront. 2) Processors/distributors (wholesale): considered commercial processors, subject to food safety regulations such as preventive controls for human foods or seafood HACCP. Illustrated with seaweed drying on racks and processing equipment. This is highlighted as the main audience for this guidance document. 3) Producers (farmers and harvesters): typically exempt from food safety plan regulations but play a key role in ensuring food safety and supporting buyers’ compliance. Illustrated with a boat harvesting seawe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75833" cy="4782898"/>
                    </a:xfrm>
                    <a:prstGeom prst="rect">
                      <a:avLst/>
                    </a:prstGeom>
                  </pic:spPr>
                </pic:pic>
              </a:graphicData>
            </a:graphic>
          </wp:inline>
        </w:drawing>
      </w:r>
      <w:permStart w:id="1296061460" w:ed="mc2544@cornell.edu"/>
      <w:permEnd w:id="1296061460"/>
    </w:p>
    <w:p w14:paraId="2F685717" w14:textId="77777777" w:rsidR="00441BE0" w:rsidRDefault="00441BE0" w:rsidP="003D051E"/>
    <w:p w14:paraId="1E6759E8" w14:textId="77777777" w:rsidR="004511D9" w:rsidRDefault="004511D9" w:rsidP="003D051E">
      <w:pPr>
        <w:sectPr w:rsidR="004511D9" w:rsidSect="00441BE0">
          <w:pgSz w:w="12240" w:h="15840"/>
          <w:pgMar w:top="1440" w:right="1440" w:bottom="1440" w:left="1440" w:header="720" w:footer="720" w:gutter="0"/>
          <w:pgNumType w:chapStyle="1"/>
          <w:cols w:space="720"/>
          <w:docGrid w:linePitch="360"/>
        </w:sectPr>
      </w:pPr>
    </w:p>
    <w:p w14:paraId="00F33FD9" w14:textId="77777777" w:rsidR="00441BE0" w:rsidRDefault="00441BE0" w:rsidP="003D051E"/>
    <w:p w14:paraId="053BC40D" w14:textId="77777777" w:rsidR="004511D9" w:rsidRDefault="004511D9" w:rsidP="003D051E"/>
    <w:sdt>
      <w:sdtPr>
        <w:rPr>
          <w:rFonts w:ascii="Calibri" w:eastAsiaTheme="minorHAnsi" w:hAnsi="Calibri" w:cstheme="minorBidi"/>
          <w:b w:val="0"/>
          <w:bCs w:val="0"/>
          <w:color w:val="auto"/>
          <w:kern w:val="2"/>
          <w:sz w:val="24"/>
          <w:szCs w:val="24"/>
          <w14:ligatures w14:val="standardContextual"/>
        </w:rPr>
        <w:id w:val="-844087261"/>
        <w:docPartObj>
          <w:docPartGallery w:val="Table of Contents"/>
          <w:docPartUnique/>
        </w:docPartObj>
      </w:sdtPr>
      <w:sdtEndPr>
        <w:rPr>
          <w:noProof/>
        </w:rPr>
      </w:sdtEndPr>
      <w:sdtContent>
        <w:bookmarkStart w:id="16" w:name="TableofContents" w:displacedByCustomXml="prev"/>
        <w:bookmarkEnd w:id="16" w:displacedByCustomXml="prev"/>
        <w:p w14:paraId="3D411120" w14:textId="5DCEEFF6" w:rsidR="00972ACD" w:rsidRDefault="00972ACD">
          <w:pPr>
            <w:pStyle w:val="TOCHeading"/>
          </w:pPr>
          <w:r>
            <w:t>Table of Contents</w:t>
          </w:r>
        </w:p>
        <w:p w14:paraId="20EA166B" w14:textId="5AE664E4" w:rsidR="00E125EA" w:rsidRDefault="00E125EA">
          <w:pPr>
            <w:pStyle w:val="TOC1"/>
            <w:tabs>
              <w:tab w:val="right" w:leader="dot" w:pos="9350"/>
            </w:tabs>
            <w:rPr>
              <w:rFonts w:eastAsiaTheme="minorEastAsia"/>
              <w:b w:val="0"/>
              <w:bCs w:val="0"/>
              <w:noProof/>
              <w:sz w:val="24"/>
              <w:szCs w:val="24"/>
            </w:rPr>
          </w:pPr>
          <w:r>
            <w:fldChar w:fldCharType="begin"/>
          </w:r>
          <w:r>
            <w:instrText xml:space="preserve"> TOC \o "1-1" \h \z \u \t "Heading 6,1" </w:instrText>
          </w:r>
          <w:r>
            <w:fldChar w:fldCharType="separate"/>
          </w:r>
          <w:hyperlink w:anchor="_Toc210042850" w:history="1">
            <w:r w:rsidRPr="00053E26">
              <w:rPr>
                <w:rStyle w:val="Hyperlink"/>
                <w:noProof/>
              </w:rPr>
              <w:t>Chapter 1 Introduction and Background</w:t>
            </w:r>
            <w:r>
              <w:rPr>
                <w:noProof/>
                <w:webHidden/>
              </w:rPr>
              <w:tab/>
            </w:r>
            <w:r>
              <w:rPr>
                <w:noProof/>
                <w:webHidden/>
              </w:rPr>
              <w:fldChar w:fldCharType="begin"/>
            </w:r>
            <w:r>
              <w:rPr>
                <w:noProof/>
                <w:webHidden/>
              </w:rPr>
              <w:instrText xml:space="preserve"> PAGEREF _Toc210042850 \h </w:instrText>
            </w:r>
            <w:r>
              <w:rPr>
                <w:noProof/>
                <w:webHidden/>
              </w:rPr>
            </w:r>
            <w:r>
              <w:rPr>
                <w:noProof/>
                <w:webHidden/>
              </w:rPr>
              <w:fldChar w:fldCharType="separate"/>
            </w:r>
            <w:r>
              <w:rPr>
                <w:noProof/>
                <w:webHidden/>
              </w:rPr>
              <w:t>1-1</w:t>
            </w:r>
            <w:r>
              <w:rPr>
                <w:noProof/>
                <w:webHidden/>
              </w:rPr>
              <w:fldChar w:fldCharType="end"/>
            </w:r>
          </w:hyperlink>
        </w:p>
        <w:p w14:paraId="4F6AD685" w14:textId="07E4B14C" w:rsidR="00E125EA" w:rsidRDefault="00E125EA">
          <w:pPr>
            <w:pStyle w:val="TOC1"/>
            <w:tabs>
              <w:tab w:val="right" w:leader="dot" w:pos="9350"/>
            </w:tabs>
            <w:rPr>
              <w:rFonts w:eastAsiaTheme="minorEastAsia"/>
              <w:b w:val="0"/>
              <w:bCs w:val="0"/>
              <w:noProof/>
              <w:sz w:val="24"/>
              <w:szCs w:val="24"/>
            </w:rPr>
          </w:pPr>
          <w:hyperlink w:anchor="_Toc210042851" w:history="1">
            <w:r w:rsidRPr="00053E26">
              <w:rPr>
                <w:rStyle w:val="Hyperlink"/>
                <w:noProof/>
              </w:rPr>
              <w:t>Chapter 2 Seaweed Regulations and General Guidance</w:t>
            </w:r>
            <w:r>
              <w:rPr>
                <w:noProof/>
                <w:webHidden/>
              </w:rPr>
              <w:tab/>
            </w:r>
            <w:r>
              <w:rPr>
                <w:noProof/>
                <w:webHidden/>
              </w:rPr>
              <w:fldChar w:fldCharType="begin"/>
            </w:r>
            <w:r>
              <w:rPr>
                <w:noProof/>
                <w:webHidden/>
              </w:rPr>
              <w:instrText xml:space="preserve"> PAGEREF _Toc210042851 \h </w:instrText>
            </w:r>
            <w:r>
              <w:rPr>
                <w:noProof/>
                <w:webHidden/>
              </w:rPr>
            </w:r>
            <w:r>
              <w:rPr>
                <w:noProof/>
                <w:webHidden/>
              </w:rPr>
              <w:fldChar w:fldCharType="separate"/>
            </w:r>
            <w:r>
              <w:rPr>
                <w:noProof/>
                <w:webHidden/>
              </w:rPr>
              <w:t>2-1</w:t>
            </w:r>
            <w:r>
              <w:rPr>
                <w:noProof/>
                <w:webHidden/>
              </w:rPr>
              <w:fldChar w:fldCharType="end"/>
            </w:r>
          </w:hyperlink>
        </w:p>
        <w:p w14:paraId="50B48960" w14:textId="1FB8632F" w:rsidR="00E125EA" w:rsidRDefault="00E125EA">
          <w:pPr>
            <w:pStyle w:val="TOC1"/>
            <w:tabs>
              <w:tab w:val="right" w:leader="dot" w:pos="9350"/>
            </w:tabs>
            <w:rPr>
              <w:rFonts w:eastAsiaTheme="minorEastAsia"/>
              <w:b w:val="0"/>
              <w:bCs w:val="0"/>
              <w:noProof/>
              <w:sz w:val="24"/>
              <w:szCs w:val="24"/>
            </w:rPr>
          </w:pPr>
          <w:hyperlink w:anchor="_Toc210042852" w:history="1">
            <w:r w:rsidRPr="00053E26">
              <w:rPr>
                <w:rStyle w:val="Hyperlink"/>
                <w:noProof/>
              </w:rPr>
              <w:t>Chapter 3 Prerequisite Programs</w:t>
            </w:r>
            <w:r>
              <w:rPr>
                <w:noProof/>
                <w:webHidden/>
              </w:rPr>
              <w:tab/>
            </w:r>
            <w:r>
              <w:rPr>
                <w:noProof/>
                <w:webHidden/>
              </w:rPr>
              <w:fldChar w:fldCharType="begin"/>
            </w:r>
            <w:r>
              <w:rPr>
                <w:noProof/>
                <w:webHidden/>
              </w:rPr>
              <w:instrText xml:space="preserve"> PAGEREF _Toc210042852 \h </w:instrText>
            </w:r>
            <w:r>
              <w:rPr>
                <w:noProof/>
                <w:webHidden/>
              </w:rPr>
            </w:r>
            <w:r>
              <w:rPr>
                <w:noProof/>
                <w:webHidden/>
              </w:rPr>
              <w:fldChar w:fldCharType="separate"/>
            </w:r>
            <w:r>
              <w:rPr>
                <w:noProof/>
                <w:webHidden/>
              </w:rPr>
              <w:t>3-1</w:t>
            </w:r>
            <w:r>
              <w:rPr>
                <w:noProof/>
                <w:webHidden/>
              </w:rPr>
              <w:fldChar w:fldCharType="end"/>
            </w:r>
          </w:hyperlink>
        </w:p>
        <w:p w14:paraId="390718A5" w14:textId="4525367B" w:rsidR="00E125EA" w:rsidRDefault="00E125EA">
          <w:pPr>
            <w:pStyle w:val="TOC1"/>
            <w:tabs>
              <w:tab w:val="right" w:leader="dot" w:pos="9350"/>
            </w:tabs>
            <w:rPr>
              <w:rFonts w:eastAsiaTheme="minorEastAsia"/>
              <w:b w:val="0"/>
              <w:bCs w:val="0"/>
              <w:noProof/>
              <w:sz w:val="24"/>
              <w:szCs w:val="24"/>
            </w:rPr>
          </w:pPr>
          <w:hyperlink w:anchor="_Toc210042853" w:history="1">
            <w:r w:rsidRPr="00053E26">
              <w:rPr>
                <w:rStyle w:val="Hyperlink"/>
                <w:noProof/>
              </w:rPr>
              <w:t>Chapter 4 Seaweed Food Safety Hazards and Definitions</w:t>
            </w:r>
            <w:r>
              <w:rPr>
                <w:noProof/>
                <w:webHidden/>
              </w:rPr>
              <w:tab/>
            </w:r>
            <w:r>
              <w:rPr>
                <w:noProof/>
                <w:webHidden/>
              </w:rPr>
              <w:fldChar w:fldCharType="begin"/>
            </w:r>
            <w:r>
              <w:rPr>
                <w:noProof/>
                <w:webHidden/>
              </w:rPr>
              <w:instrText xml:space="preserve"> PAGEREF _Toc210042853 \h </w:instrText>
            </w:r>
            <w:r>
              <w:rPr>
                <w:noProof/>
                <w:webHidden/>
              </w:rPr>
            </w:r>
            <w:r>
              <w:rPr>
                <w:noProof/>
                <w:webHidden/>
              </w:rPr>
              <w:fldChar w:fldCharType="separate"/>
            </w:r>
            <w:r>
              <w:rPr>
                <w:noProof/>
                <w:webHidden/>
              </w:rPr>
              <w:t>4-1</w:t>
            </w:r>
            <w:r>
              <w:rPr>
                <w:noProof/>
                <w:webHidden/>
              </w:rPr>
              <w:fldChar w:fldCharType="end"/>
            </w:r>
          </w:hyperlink>
        </w:p>
        <w:p w14:paraId="60493394" w14:textId="28126B0B" w:rsidR="00E125EA" w:rsidRDefault="00E125EA">
          <w:pPr>
            <w:pStyle w:val="TOC1"/>
            <w:tabs>
              <w:tab w:val="right" w:leader="dot" w:pos="9350"/>
            </w:tabs>
            <w:rPr>
              <w:rFonts w:eastAsiaTheme="minorEastAsia"/>
              <w:b w:val="0"/>
              <w:bCs w:val="0"/>
              <w:noProof/>
              <w:sz w:val="24"/>
              <w:szCs w:val="24"/>
            </w:rPr>
          </w:pPr>
          <w:hyperlink w:anchor="_Toc210042854" w:history="1">
            <w:r w:rsidRPr="00053E26">
              <w:rPr>
                <w:rStyle w:val="Hyperlink"/>
                <w:noProof/>
              </w:rPr>
              <w:t>Chapter 5 Pathogens in the Harvest Area</w:t>
            </w:r>
            <w:r>
              <w:rPr>
                <w:noProof/>
                <w:webHidden/>
              </w:rPr>
              <w:tab/>
            </w:r>
            <w:r>
              <w:rPr>
                <w:noProof/>
                <w:webHidden/>
              </w:rPr>
              <w:fldChar w:fldCharType="begin"/>
            </w:r>
            <w:r>
              <w:rPr>
                <w:noProof/>
                <w:webHidden/>
              </w:rPr>
              <w:instrText xml:space="preserve"> PAGEREF _Toc210042854 \h </w:instrText>
            </w:r>
            <w:r>
              <w:rPr>
                <w:noProof/>
                <w:webHidden/>
              </w:rPr>
            </w:r>
            <w:r>
              <w:rPr>
                <w:noProof/>
                <w:webHidden/>
              </w:rPr>
              <w:fldChar w:fldCharType="separate"/>
            </w:r>
            <w:r>
              <w:rPr>
                <w:noProof/>
                <w:webHidden/>
              </w:rPr>
              <w:t>5-1</w:t>
            </w:r>
            <w:r>
              <w:rPr>
                <w:noProof/>
                <w:webHidden/>
              </w:rPr>
              <w:fldChar w:fldCharType="end"/>
            </w:r>
          </w:hyperlink>
        </w:p>
        <w:p w14:paraId="734C9319" w14:textId="7675FAD0" w:rsidR="00E125EA" w:rsidRDefault="00E125EA">
          <w:pPr>
            <w:pStyle w:val="TOC1"/>
            <w:tabs>
              <w:tab w:val="right" w:leader="dot" w:pos="9350"/>
            </w:tabs>
            <w:rPr>
              <w:rFonts w:eastAsiaTheme="minorEastAsia"/>
              <w:b w:val="0"/>
              <w:bCs w:val="0"/>
              <w:noProof/>
              <w:sz w:val="24"/>
              <w:szCs w:val="24"/>
            </w:rPr>
          </w:pPr>
          <w:hyperlink w:anchor="_Toc210042855" w:history="1">
            <w:r w:rsidRPr="00053E26">
              <w:rPr>
                <w:rStyle w:val="Hyperlink"/>
                <w:noProof/>
              </w:rPr>
              <w:t>Chapter 6 Parasites</w:t>
            </w:r>
            <w:r>
              <w:rPr>
                <w:noProof/>
                <w:webHidden/>
              </w:rPr>
              <w:tab/>
            </w:r>
            <w:r>
              <w:rPr>
                <w:noProof/>
                <w:webHidden/>
              </w:rPr>
              <w:fldChar w:fldCharType="begin"/>
            </w:r>
            <w:r>
              <w:rPr>
                <w:noProof/>
                <w:webHidden/>
              </w:rPr>
              <w:instrText xml:space="preserve"> PAGEREF _Toc210042855 \h </w:instrText>
            </w:r>
            <w:r>
              <w:rPr>
                <w:noProof/>
                <w:webHidden/>
              </w:rPr>
            </w:r>
            <w:r>
              <w:rPr>
                <w:noProof/>
                <w:webHidden/>
              </w:rPr>
              <w:fldChar w:fldCharType="separate"/>
            </w:r>
            <w:r>
              <w:rPr>
                <w:noProof/>
                <w:webHidden/>
              </w:rPr>
              <w:t>6-1</w:t>
            </w:r>
            <w:r>
              <w:rPr>
                <w:noProof/>
                <w:webHidden/>
              </w:rPr>
              <w:fldChar w:fldCharType="end"/>
            </w:r>
          </w:hyperlink>
        </w:p>
        <w:p w14:paraId="5BB41A38" w14:textId="2AED9866" w:rsidR="00E125EA" w:rsidRDefault="00E125EA">
          <w:pPr>
            <w:pStyle w:val="TOC1"/>
            <w:tabs>
              <w:tab w:val="right" w:leader="dot" w:pos="9350"/>
            </w:tabs>
            <w:rPr>
              <w:rFonts w:eastAsiaTheme="minorEastAsia"/>
              <w:b w:val="0"/>
              <w:bCs w:val="0"/>
              <w:noProof/>
              <w:sz w:val="24"/>
              <w:szCs w:val="24"/>
            </w:rPr>
          </w:pPr>
          <w:hyperlink w:anchor="_Toc210042856" w:history="1">
            <w:r w:rsidRPr="00053E26">
              <w:rPr>
                <w:rStyle w:val="Hyperlink"/>
                <w:noProof/>
              </w:rPr>
              <w:t>Chapter 7 Environmental Chemical Hazards</w:t>
            </w:r>
            <w:r>
              <w:rPr>
                <w:noProof/>
                <w:webHidden/>
              </w:rPr>
              <w:tab/>
            </w:r>
            <w:r>
              <w:rPr>
                <w:noProof/>
                <w:webHidden/>
              </w:rPr>
              <w:fldChar w:fldCharType="begin"/>
            </w:r>
            <w:r>
              <w:rPr>
                <w:noProof/>
                <w:webHidden/>
              </w:rPr>
              <w:instrText xml:space="preserve"> PAGEREF _Toc210042856 \h </w:instrText>
            </w:r>
            <w:r>
              <w:rPr>
                <w:noProof/>
                <w:webHidden/>
              </w:rPr>
            </w:r>
            <w:r>
              <w:rPr>
                <w:noProof/>
                <w:webHidden/>
              </w:rPr>
              <w:fldChar w:fldCharType="separate"/>
            </w:r>
            <w:r>
              <w:rPr>
                <w:noProof/>
                <w:webHidden/>
              </w:rPr>
              <w:t>7-5</w:t>
            </w:r>
            <w:r>
              <w:rPr>
                <w:noProof/>
                <w:webHidden/>
              </w:rPr>
              <w:fldChar w:fldCharType="end"/>
            </w:r>
          </w:hyperlink>
        </w:p>
        <w:p w14:paraId="275EC52A" w14:textId="26887CC1" w:rsidR="00E125EA" w:rsidRDefault="00E125EA">
          <w:pPr>
            <w:pStyle w:val="TOC1"/>
            <w:tabs>
              <w:tab w:val="right" w:leader="dot" w:pos="9350"/>
            </w:tabs>
            <w:rPr>
              <w:rFonts w:eastAsiaTheme="minorEastAsia"/>
              <w:b w:val="0"/>
              <w:bCs w:val="0"/>
              <w:noProof/>
              <w:sz w:val="24"/>
              <w:szCs w:val="24"/>
            </w:rPr>
          </w:pPr>
          <w:hyperlink w:anchor="_Toc210042857" w:history="1">
            <w:r w:rsidRPr="00053E26">
              <w:rPr>
                <w:rStyle w:val="Hyperlink"/>
                <w:noProof/>
              </w:rPr>
              <w:t>Chapter 8 Iodine</w:t>
            </w:r>
            <w:r>
              <w:rPr>
                <w:noProof/>
                <w:webHidden/>
              </w:rPr>
              <w:tab/>
            </w:r>
            <w:r>
              <w:rPr>
                <w:noProof/>
                <w:webHidden/>
              </w:rPr>
              <w:fldChar w:fldCharType="begin"/>
            </w:r>
            <w:r>
              <w:rPr>
                <w:noProof/>
                <w:webHidden/>
              </w:rPr>
              <w:instrText xml:space="preserve"> PAGEREF _Toc210042857 \h </w:instrText>
            </w:r>
            <w:r>
              <w:rPr>
                <w:noProof/>
                <w:webHidden/>
              </w:rPr>
            </w:r>
            <w:r>
              <w:rPr>
                <w:noProof/>
                <w:webHidden/>
              </w:rPr>
              <w:fldChar w:fldCharType="separate"/>
            </w:r>
            <w:r>
              <w:rPr>
                <w:noProof/>
                <w:webHidden/>
              </w:rPr>
              <w:t>8-1</w:t>
            </w:r>
            <w:r>
              <w:rPr>
                <w:noProof/>
                <w:webHidden/>
              </w:rPr>
              <w:fldChar w:fldCharType="end"/>
            </w:r>
          </w:hyperlink>
        </w:p>
        <w:p w14:paraId="79BEA888" w14:textId="32B0AD93" w:rsidR="00E125EA" w:rsidRDefault="00E125EA">
          <w:pPr>
            <w:pStyle w:val="TOC1"/>
            <w:tabs>
              <w:tab w:val="right" w:leader="dot" w:pos="9350"/>
            </w:tabs>
            <w:rPr>
              <w:rFonts w:eastAsiaTheme="minorEastAsia"/>
              <w:b w:val="0"/>
              <w:bCs w:val="0"/>
              <w:noProof/>
              <w:sz w:val="24"/>
              <w:szCs w:val="24"/>
            </w:rPr>
          </w:pPr>
          <w:hyperlink w:anchor="_Toc210042858" w:history="1">
            <w:r w:rsidRPr="00053E26">
              <w:rPr>
                <w:rStyle w:val="Hyperlink"/>
                <w:noProof/>
              </w:rPr>
              <w:t>Chapter 9 Natural Toxins</w:t>
            </w:r>
            <w:r>
              <w:rPr>
                <w:noProof/>
                <w:webHidden/>
              </w:rPr>
              <w:tab/>
            </w:r>
            <w:r>
              <w:rPr>
                <w:noProof/>
                <w:webHidden/>
              </w:rPr>
              <w:fldChar w:fldCharType="begin"/>
            </w:r>
            <w:r>
              <w:rPr>
                <w:noProof/>
                <w:webHidden/>
              </w:rPr>
              <w:instrText xml:space="preserve"> PAGEREF _Toc210042858 \h </w:instrText>
            </w:r>
            <w:r>
              <w:rPr>
                <w:noProof/>
                <w:webHidden/>
              </w:rPr>
            </w:r>
            <w:r>
              <w:rPr>
                <w:noProof/>
                <w:webHidden/>
              </w:rPr>
              <w:fldChar w:fldCharType="separate"/>
            </w:r>
            <w:r>
              <w:rPr>
                <w:noProof/>
                <w:webHidden/>
              </w:rPr>
              <w:t>9-1</w:t>
            </w:r>
            <w:r>
              <w:rPr>
                <w:noProof/>
                <w:webHidden/>
              </w:rPr>
              <w:fldChar w:fldCharType="end"/>
            </w:r>
          </w:hyperlink>
        </w:p>
        <w:p w14:paraId="2254662A" w14:textId="7450A5EA" w:rsidR="00E125EA" w:rsidRDefault="00E125EA">
          <w:pPr>
            <w:pStyle w:val="TOC1"/>
            <w:tabs>
              <w:tab w:val="right" w:leader="dot" w:pos="9350"/>
            </w:tabs>
            <w:rPr>
              <w:rFonts w:eastAsiaTheme="minorEastAsia"/>
              <w:b w:val="0"/>
              <w:bCs w:val="0"/>
              <w:noProof/>
              <w:sz w:val="24"/>
              <w:szCs w:val="24"/>
            </w:rPr>
          </w:pPr>
          <w:hyperlink w:anchor="_Toc210042859" w:history="1">
            <w:r w:rsidRPr="00053E26">
              <w:rPr>
                <w:rStyle w:val="Hyperlink"/>
                <w:noProof/>
              </w:rPr>
              <w:t>Chapter 10 Pathogen Growth Due to Temperature Abuse</w:t>
            </w:r>
            <w:r>
              <w:rPr>
                <w:noProof/>
                <w:webHidden/>
              </w:rPr>
              <w:tab/>
            </w:r>
            <w:r>
              <w:rPr>
                <w:noProof/>
                <w:webHidden/>
              </w:rPr>
              <w:fldChar w:fldCharType="begin"/>
            </w:r>
            <w:r>
              <w:rPr>
                <w:noProof/>
                <w:webHidden/>
              </w:rPr>
              <w:instrText xml:space="preserve"> PAGEREF _Toc210042859 \h </w:instrText>
            </w:r>
            <w:r>
              <w:rPr>
                <w:noProof/>
                <w:webHidden/>
              </w:rPr>
            </w:r>
            <w:r>
              <w:rPr>
                <w:noProof/>
                <w:webHidden/>
              </w:rPr>
              <w:fldChar w:fldCharType="separate"/>
            </w:r>
            <w:r>
              <w:rPr>
                <w:noProof/>
                <w:webHidden/>
              </w:rPr>
              <w:t>10-1</w:t>
            </w:r>
            <w:r>
              <w:rPr>
                <w:noProof/>
                <w:webHidden/>
              </w:rPr>
              <w:fldChar w:fldCharType="end"/>
            </w:r>
          </w:hyperlink>
        </w:p>
        <w:p w14:paraId="1AE01D5F" w14:textId="16DA5BDE" w:rsidR="00E125EA" w:rsidRDefault="00E125EA">
          <w:pPr>
            <w:pStyle w:val="TOC1"/>
            <w:tabs>
              <w:tab w:val="right" w:leader="dot" w:pos="9350"/>
            </w:tabs>
            <w:rPr>
              <w:rFonts w:eastAsiaTheme="minorEastAsia"/>
              <w:b w:val="0"/>
              <w:bCs w:val="0"/>
              <w:noProof/>
              <w:sz w:val="24"/>
              <w:szCs w:val="24"/>
            </w:rPr>
          </w:pPr>
          <w:hyperlink w:anchor="_Toc210042860" w:history="1">
            <w:r w:rsidRPr="00053E26">
              <w:rPr>
                <w:rStyle w:val="Hyperlink"/>
                <w:noProof/>
              </w:rPr>
              <w:t>Chapter 11 Pathogen Contamination</w:t>
            </w:r>
            <w:r>
              <w:rPr>
                <w:noProof/>
                <w:webHidden/>
              </w:rPr>
              <w:tab/>
            </w:r>
            <w:r>
              <w:rPr>
                <w:noProof/>
                <w:webHidden/>
              </w:rPr>
              <w:fldChar w:fldCharType="begin"/>
            </w:r>
            <w:r>
              <w:rPr>
                <w:noProof/>
                <w:webHidden/>
              </w:rPr>
              <w:instrText xml:space="preserve"> PAGEREF _Toc210042860 \h </w:instrText>
            </w:r>
            <w:r>
              <w:rPr>
                <w:noProof/>
                <w:webHidden/>
              </w:rPr>
            </w:r>
            <w:r>
              <w:rPr>
                <w:noProof/>
                <w:webHidden/>
              </w:rPr>
              <w:fldChar w:fldCharType="separate"/>
            </w:r>
            <w:r>
              <w:rPr>
                <w:noProof/>
                <w:webHidden/>
              </w:rPr>
              <w:t>11-1</w:t>
            </w:r>
            <w:r>
              <w:rPr>
                <w:noProof/>
                <w:webHidden/>
              </w:rPr>
              <w:fldChar w:fldCharType="end"/>
            </w:r>
          </w:hyperlink>
        </w:p>
        <w:p w14:paraId="22D37D43" w14:textId="58DC0C4E" w:rsidR="00E125EA" w:rsidRDefault="00E125EA">
          <w:pPr>
            <w:pStyle w:val="TOC1"/>
            <w:tabs>
              <w:tab w:val="right" w:leader="dot" w:pos="9350"/>
            </w:tabs>
            <w:rPr>
              <w:rFonts w:eastAsiaTheme="minorEastAsia"/>
              <w:b w:val="0"/>
              <w:bCs w:val="0"/>
              <w:noProof/>
              <w:sz w:val="24"/>
              <w:szCs w:val="24"/>
            </w:rPr>
          </w:pPr>
          <w:hyperlink w:anchor="_Toc210042861" w:history="1">
            <w:r w:rsidRPr="00053E26">
              <w:rPr>
                <w:rStyle w:val="Hyperlink"/>
                <w:noProof/>
              </w:rPr>
              <w:t>Chapter 12 Clostridium botulinum Toxin</w:t>
            </w:r>
            <w:r>
              <w:rPr>
                <w:noProof/>
                <w:webHidden/>
              </w:rPr>
              <w:tab/>
            </w:r>
            <w:r>
              <w:rPr>
                <w:noProof/>
                <w:webHidden/>
              </w:rPr>
              <w:fldChar w:fldCharType="begin"/>
            </w:r>
            <w:r>
              <w:rPr>
                <w:noProof/>
                <w:webHidden/>
              </w:rPr>
              <w:instrText xml:space="preserve"> PAGEREF _Toc210042861 \h </w:instrText>
            </w:r>
            <w:r>
              <w:rPr>
                <w:noProof/>
                <w:webHidden/>
              </w:rPr>
            </w:r>
            <w:r>
              <w:rPr>
                <w:noProof/>
                <w:webHidden/>
              </w:rPr>
              <w:fldChar w:fldCharType="separate"/>
            </w:r>
            <w:r>
              <w:rPr>
                <w:noProof/>
                <w:webHidden/>
              </w:rPr>
              <w:t>12-1</w:t>
            </w:r>
            <w:r>
              <w:rPr>
                <w:noProof/>
                <w:webHidden/>
              </w:rPr>
              <w:fldChar w:fldCharType="end"/>
            </w:r>
          </w:hyperlink>
        </w:p>
        <w:p w14:paraId="26792C36" w14:textId="46EFA8F0" w:rsidR="00E125EA" w:rsidRDefault="00E125EA">
          <w:pPr>
            <w:pStyle w:val="TOC1"/>
            <w:tabs>
              <w:tab w:val="right" w:leader="dot" w:pos="9350"/>
            </w:tabs>
            <w:rPr>
              <w:rFonts w:eastAsiaTheme="minorEastAsia"/>
              <w:b w:val="0"/>
              <w:bCs w:val="0"/>
              <w:noProof/>
              <w:sz w:val="24"/>
              <w:szCs w:val="24"/>
            </w:rPr>
          </w:pPr>
          <w:hyperlink w:anchor="_Toc210042862" w:history="1">
            <w:r w:rsidRPr="00053E26">
              <w:rPr>
                <w:rStyle w:val="Hyperlink"/>
                <w:noProof/>
              </w:rPr>
              <w:t>Chapter 13 Pathogen Survival Through Cooking or Pasteurization</w:t>
            </w:r>
            <w:r>
              <w:rPr>
                <w:noProof/>
                <w:webHidden/>
              </w:rPr>
              <w:tab/>
            </w:r>
            <w:r>
              <w:rPr>
                <w:noProof/>
                <w:webHidden/>
              </w:rPr>
              <w:fldChar w:fldCharType="begin"/>
            </w:r>
            <w:r>
              <w:rPr>
                <w:noProof/>
                <w:webHidden/>
              </w:rPr>
              <w:instrText xml:space="preserve"> PAGEREF _Toc210042862 \h </w:instrText>
            </w:r>
            <w:r>
              <w:rPr>
                <w:noProof/>
                <w:webHidden/>
              </w:rPr>
            </w:r>
            <w:r>
              <w:rPr>
                <w:noProof/>
                <w:webHidden/>
              </w:rPr>
              <w:fldChar w:fldCharType="separate"/>
            </w:r>
            <w:r>
              <w:rPr>
                <w:noProof/>
                <w:webHidden/>
              </w:rPr>
              <w:t>13-1</w:t>
            </w:r>
            <w:r>
              <w:rPr>
                <w:noProof/>
                <w:webHidden/>
              </w:rPr>
              <w:fldChar w:fldCharType="end"/>
            </w:r>
          </w:hyperlink>
        </w:p>
        <w:p w14:paraId="11A1E84A" w14:textId="36C2F388" w:rsidR="00E125EA" w:rsidRDefault="00E125EA">
          <w:pPr>
            <w:pStyle w:val="TOC1"/>
            <w:tabs>
              <w:tab w:val="right" w:leader="dot" w:pos="9350"/>
            </w:tabs>
            <w:rPr>
              <w:rFonts w:eastAsiaTheme="minorEastAsia"/>
              <w:b w:val="0"/>
              <w:bCs w:val="0"/>
              <w:noProof/>
              <w:sz w:val="24"/>
              <w:szCs w:val="24"/>
            </w:rPr>
          </w:pPr>
          <w:hyperlink w:anchor="_Toc210042863" w:history="1">
            <w:r w:rsidRPr="00053E26">
              <w:rPr>
                <w:rStyle w:val="Hyperlink"/>
                <w:noProof/>
              </w:rPr>
              <w:t>Chapter 14 Allergens and Food Intolerance Substances</w:t>
            </w:r>
            <w:r>
              <w:rPr>
                <w:noProof/>
                <w:webHidden/>
              </w:rPr>
              <w:tab/>
            </w:r>
            <w:r>
              <w:rPr>
                <w:noProof/>
                <w:webHidden/>
              </w:rPr>
              <w:fldChar w:fldCharType="begin"/>
            </w:r>
            <w:r>
              <w:rPr>
                <w:noProof/>
                <w:webHidden/>
              </w:rPr>
              <w:instrText xml:space="preserve"> PAGEREF _Toc210042863 \h </w:instrText>
            </w:r>
            <w:r>
              <w:rPr>
                <w:noProof/>
                <w:webHidden/>
              </w:rPr>
            </w:r>
            <w:r>
              <w:rPr>
                <w:noProof/>
                <w:webHidden/>
              </w:rPr>
              <w:fldChar w:fldCharType="separate"/>
            </w:r>
            <w:r>
              <w:rPr>
                <w:noProof/>
                <w:webHidden/>
              </w:rPr>
              <w:t>14-1</w:t>
            </w:r>
            <w:r>
              <w:rPr>
                <w:noProof/>
                <w:webHidden/>
              </w:rPr>
              <w:fldChar w:fldCharType="end"/>
            </w:r>
          </w:hyperlink>
        </w:p>
        <w:p w14:paraId="0B591C1A" w14:textId="1C7F924A" w:rsidR="00E125EA" w:rsidRDefault="00E125EA">
          <w:pPr>
            <w:pStyle w:val="TOC1"/>
            <w:tabs>
              <w:tab w:val="right" w:leader="dot" w:pos="9350"/>
            </w:tabs>
            <w:rPr>
              <w:rFonts w:eastAsiaTheme="minorEastAsia"/>
              <w:b w:val="0"/>
              <w:bCs w:val="0"/>
              <w:noProof/>
              <w:sz w:val="24"/>
              <w:szCs w:val="24"/>
            </w:rPr>
          </w:pPr>
          <w:hyperlink w:anchor="_Toc210042864" w:history="1">
            <w:r w:rsidRPr="00053E26">
              <w:rPr>
                <w:rStyle w:val="Hyperlink"/>
                <w:noProof/>
              </w:rPr>
              <w:t>Chapter 15 Physical Hazards</w:t>
            </w:r>
            <w:r>
              <w:rPr>
                <w:noProof/>
                <w:webHidden/>
              </w:rPr>
              <w:tab/>
            </w:r>
            <w:r>
              <w:rPr>
                <w:noProof/>
                <w:webHidden/>
              </w:rPr>
              <w:fldChar w:fldCharType="begin"/>
            </w:r>
            <w:r>
              <w:rPr>
                <w:noProof/>
                <w:webHidden/>
              </w:rPr>
              <w:instrText xml:space="preserve"> PAGEREF _Toc210042864 \h </w:instrText>
            </w:r>
            <w:r>
              <w:rPr>
                <w:noProof/>
                <w:webHidden/>
              </w:rPr>
            </w:r>
            <w:r>
              <w:rPr>
                <w:noProof/>
                <w:webHidden/>
              </w:rPr>
              <w:fldChar w:fldCharType="separate"/>
            </w:r>
            <w:r>
              <w:rPr>
                <w:noProof/>
                <w:webHidden/>
              </w:rPr>
              <w:t>15-1</w:t>
            </w:r>
            <w:r>
              <w:rPr>
                <w:noProof/>
                <w:webHidden/>
              </w:rPr>
              <w:fldChar w:fldCharType="end"/>
            </w:r>
          </w:hyperlink>
        </w:p>
        <w:p w14:paraId="7497D447" w14:textId="77E81C81" w:rsidR="00E125EA" w:rsidRDefault="00E125EA">
          <w:pPr>
            <w:pStyle w:val="TOC1"/>
            <w:tabs>
              <w:tab w:val="right" w:leader="dot" w:pos="9350"/>
            </w:tabs>
            <w:rPr>
              <w:rFonts w:eastAsiaTheme="minorEastAsia"/>
              <w:b w:val="0"/>
              <w:bCs w:val="0"/>
              <w:noProof/>
              <w:sz w:val="24"/>
              <w:szCs w:val="24"/>
            </w:rPr>
          </w:pPr>
          <w:hyperlink w:anchor="_Toc210042865" w:history="1">
            <w:r w:rsidRPr="00053E26">
              <w:rPr>
                <w:rStyle w:val="Hyperlink"/>
                <w:noProof/>
              </w:rPr>
              <w:t>Chapter 16 Knowledge Gaps and Summary</w:t>
            </w:r>
            <w:r>
              <w:rPr>
                <w:noProof/>
                <w:webHidden/>
              </w:rPr>
              <w:tab/>
            </w:r>
            <w:r>
              <w:rPr>
                <w:noProof/>
                <w:webHidden/>
              </w:rPr>
              <w:fldChar w:fldCharType="begin"/>
            </w:r>
            <w:r>
              <w:rPr>
                <w:noProof/>
                <w:webHidden/>
              </w:rPr>
              <w:instrText xml:space="preserve"> PAGEREF _Toc210042865 \h </w:instrText>
            </w:r>
            <w:r>
              <w:rPr>
                <w:noProof/>
                <w:webHidden/>
              </w:rPr>
            </w:r>
            <w:r>
              <w:rPr>
                <w:noProof/>
                <w:webHidden/>
              </w:rPr>
              <w:fldChar w:fldCharType="separate"/>
            </w:r>
            <w:r>
              <w:rPr>
                <w:noProof/>
                <w:webHidden/>
              </w:rPr>
              <w:t>16-1</w:t>
            </w:r>
            <w:r>
              <w:rPr>
                <w:noProof/>
                <w:webHidden/>
              </w:rPr>
              <w:fldChar w:fldCharType="end"/>
            </w:r>
          </w:hyperlink>
        </w:p>
        <w:p w14:paraId="7FB7A8E4" w14:textId="276A8587" w:rsidR="00E125EA" w:rsidRDefault="00E125EA">
          <w:pPr>
            <w:pStyle w:val="TOC1"/>
            <w:tabs>
              <w:tab w:val="right" w:leader="dot" w:pos="9350"/>
            </w:tabs>
            <w:rPr>
              <w:rFonts w:eastAsiaTheme="minorEastAsia"/>
              <w:b w:val="0"/>
              <w:bCs w:val="0"/>
              <w:noProof/>
              <w:sz w:val="24"/>
              <w:szCs w:val="24"/>
            </w:rPr>
          </w:pPr>
          <w:hyperlink w:anchor="_Toc210042866" w:history="1">
            <w:r w:rsidRPr="00053E26">
              <w:rPr>
                <w:rStyle w:val="Hyperlink"/>
                <w:noProof/>
              </w:rPr>
              <w:t>Appendix A Pathogens in Harvest Area Reference Table</w:t>
            </w:r>
            <w:r>
              <w:rPr>
                <w:noProof/>
                <w:webHidden/>
              </w:rPr>
              <w:tab/>
            </w:r>
            <w:r>
              <w:rPr>
                <w:noProof/>
                <w:webHidden/>
              </w:rPr>
              <w:fldChar w:fldCharType="begin"/>
            </w:r>
            <w:r>
              <w:rPr>
                <w:noProof/>
                <w:webHidden/>
              </w:rPr>
              <w:instrText xml:space="preserve"> PAGEREF _Toc210042866 \h </w:instrText>
            </w:r>
            <w:r>
              <w:rPr>
                <w:noProof/>
                <w:webHidden/>
              </w:rPr>
            </w:r>
            <w:r>
              <w:rPr>
                <w:noProof/>
                <w:webHidden/>
              </w:rPr>
              <w:fldChar w:fldCharType="separate"/>
            </w:r>
            <w:r>
              <w:rPr>
                <w:noProof/>
                <w:webHidden/>
              </w:rPr>
              <w:t>A-1</w:t>
            </w:r>
            <w:r>
              <w:rPr>
                <w:noProof/>
                <w:webHidden/>
              </w:rPr>
              <w:fldChar w:fldCharType="end"/>
            </w:r>
          </w:hyperlink>
        </w:p>
        <w:p w14:paraId="43D731D5" w14:textId="30DEC232" w:rsidR="00E125EA" w:rsidRDefault="00E125EA">
          <w:pPr>
            <w:pStyle w:val="TOC1"/>
            <w:tabs>
              <w:tab w:val="right" w:leader="dot" w:pos="9350"/>
            </w:tabs>
            <w:rPr>
              <w:rFonts w:eastAsiaTheme="minorEastAsia"/>
              <w:b w:val="0"/>
              <w:bCs w:val="0"/>
              <w:noProof/>
              <w:sz w:val="24"/>
              <w:szCs w:val="24"/>
            </w:rPr>
          </w:pPr>
          <w:hyperlink w:anchor="_Toc210042867" w:history="1">
            <w:r w:rsidRPr="00053E26">
              <w:rPr>
                <w:rStyle w:val="Hyperlink"/>
                <w:noProof/>
              </w:rPr>
              <w:t>Appendix B Environmental Chemical Contaminants Reference Tables</w:t>
            </w:r>
            <w:r>
              <w:rPr>
                <w:noProof/>
                <w:webHidden/>
              </w:rPr>
              <w:tab/>
            </w:r>
            <w:r>
              <w:rPr>
                <w:noProof/>
                <w:webHidden/>
              </w:rPr>
              <w:fldChar w:fldCharType="begin"/>
            </w:r>
            <w:r>
              <w:rPr>
                <w:noProof/>
                <w:webHidden/>
              </w:rPr>
              <w:instrText xml:space="preserve"> PAGEREF _Toc210042867 \h </w:instrText>
            </w:r>
            <w:r>
              <w:rPr>
                <w:noProof/>
                <w:webHidden/>
              </w:rPr>
            </w:r>
            <w:r>
              <w:rPr>
                <w:noProof/>
                <w:webHidden/>
              </w:rPr>
              <w:fldChar w:fldCharType="separate"/>
            </w:r>
            <w:r>
              <w:rPr>
                <w:noProof/>
                <w:webHidden/>
              </w:rPr>
              <w:t>B-1</w:t>
            </w:r>
            <w:r>
              <w:rPr>
                <w:noProof/>
                <w:webHidden/>
              </w:rPr>
              <w:fldChar w:fldCharType="end"/>
            </w:r>
          </w:hyperlink>
        </w:p>
        <w:p w14:paraId="319F8DB9" w14:textId="099B56CA" w:rsidR="00E125EA" w:rsidRDefault="00E125EA">
          <w:pPr>
            <w:pStyle w:val="TOC1"/>
            <w:tabs>
              <w:tab w:val="right" w:leader="dot" w:pos="9350"/>
            </w:tabs>
            <w:rPr>
              <w:rFonts w:eastAsiaTheme="minorEastAsia"/>
              <w:b w:val="0"/>
              <w:bCs w:val="0"/>
              <w:noProof/>
              <w:sz w:val="24"/>
              <w:szCs w:val="24"/>
            </w:rPr>
          </w:pPr>
          <w:hyperlink w:anchor="_Toc210042868" w:history="1">
            <w:r w:rsidRPr="00053E26">
              <w:rPr>
                <w:rStyle w:val="Hyperlink"/>
                <w:noProof/>
              </w:rPr>
              <w:t>Appendix C Natural Toxins Reference Tables</w:t>
            </w:r>
            <w:r>
              <w:rPr>
                <w:noProof/>
                <w:webHidden/>
              </w:rPr>
              <w:tab/>
            </w:r>
            <w:r>
              <w:rPr>
                <w:noProof/>
                <w:webHidden/>
              </w:rPr>
              <w:fldChar w:fldCharType="begin"/>
            </w:r>
            <w:r>
              <w:rPr>
                <w:noProof/>
                <w:webHidden/>
              </w:rPr>
              <w:instrText xml:space="preserve"> PAGEREF _Toc210042868 \h </w:instrText>
            </w:r>
            <w:r>
              <w:rPr>
                <w:noProof/>
                <w:webHidden/>
              </w:rPr>
            </w:r>
            <w:r>
              <w:rPr>
                <w:noProof/>
                <w:webHidden/>
              </w:rPr>
              <w:fldChar w:fldCharType="separate"/>
            </w:r>
            <w:r>
              <w:rPr>
                <w:noProof/>
                <w:webHidden/>
              </w:rPr>
              <w:t>C-1</w:t>
            </w:r>
            <w:r>
              <w:rPr>
                <w:noProof/>
                <w:webHidden/>
              </w:rPr>
              <w:fldChar w:fldCharType="end"/>
            </w:r>
          </w:hyperlink>
        </w:p>
        <w:p w14:paraId="510CC7C6" w14:textId="3C033F22" w:rsidR="00E125EA" w:rsidRDefault="00E125EA">
          <w:pPr>
            <w:pStyle w:val="TOC1"/>
            <w:tabs>
              <w:tab w:val="right" w:leader="dot" w:pos="9350"/>
            </w:tabs>
            <w:rPr>
              <w:rFonts w:eastAsiaTheme="minorEastAsia"/>
              <w:b w:val="0"/>
              <w:bCs w:val="0"/>
              <w:noProof/>
              <w:sz w:val="24"/>
              <w:szCs w:val="24"/>
            </w:rPr>
          </w:pPr>
          <w:hyperlink w:anchor="_Toc210042869" w:history="1">
            <w:r w:rsidRPr="00053E26">
              <w:rPr>
                <w:rStyle w:val="Hyperlink"/>
                <w:noProof/>
              </w:rPr>
              <w:t>Appendix D Iodine Concentrations Reference Tables</w:t>
            </w:r>
            <w:r>
              <w:rPr>
                <w:noProof/>
                <w:webHidden/>
              </w:rPr>
              <w:tab/>
            </w:r>
            <w:r>
              <w:rPr>
                <w:noProof/>
                <w:webHidden/>
              </w:rPr>
              <w:fldChar w:fldCharType="begin"/>
            </w:r>
            <w:r>
              <w:rPr>
                <w:noProof/>
                <w:webHidden/>
              </w:rPr>
              <w:instrText xml:space="preserve"> PAGEREF _Toc210042869 \h </w:instrText>
            </w:r>
            <w:r>
              <w:rPr>
                <w:noProof/>
                <w:webHidden/>
              </w:rPr>
            </w:r>
            <w:r>
              <w:rPr>
                <w:noProof/>
                <w:webHidden/>
              </w:rPr>
              <w:fldChar w:fldCharType="separate"/>
            </w:r>
            <w:r>
              <w:rPr>
                <w:noProof/>
                <w:webHidden/>
              </w:rPr>
              <w:t>D-1</w:t>
            </w:r>
            <w:r>
              <w:rPr>
                <w:noProof/>
                <w:webHidden/>
              </w:rPr>
              <w:fldChar w:fldCharType="end"/>
            </w:r>
          </w:hyperlink>
        </w:p>
        <w:p w14:paraId="7258E166" w14:textId="1CEE28FF" w:rsidR="00E125EA" w:rsidRDefault="00E125EA">
          <w:pPr>
            <w:pStyle w:val="TOC1"/>
            <w:tabs>
              <w:tab w:val="right" w:leader="dot" w:pos="9350"/>
            </w:tabs>
            <w:rPr>
              <w:rFonts w:eastAsiaTheme="minorEastAsia"/>
              <w:b w:val="0"/>
              <w:bCs w:val="0"/>
              <w:noProof/>
              <w:sz w:val="24"/>
              <w:szCs w:val="24"/>
            </w:rPr>
          </w:pPr>
          <w:hyperlink w:anchor="_Toc210042870" w:history="1">
            <w:r w:rsidRPr="00053E26">
              <w:rPr>
                <w:rStyle w:val="Hyperlink"/>
                <w:noProof/>
              </w:rPr>
              <w:t>Appendix E Foodborne Outbreaks</w:t>
            </w:r>
            <w:r>
              <w:rPr>
                <w:noProof/>
                <w:webHidden/>
              </w:rPr>
              <w:tab/>
            </w:r>
            <w:r>
              <w:rPr>
                <w:noProof/>
                <w:webHidden/>
              </w:rPr>
              <w:fldChar w:fldCharType="begin"/>
            </w:r>
            <w:r>
              <w:rPr>
                <w:noProof/>
                <w:webHidden/>
              </w:rPr>
              <w:instrText xml:space="preserve"> PAGEREF _Toc210042870 \h </w:instrText>
            </w:r>
            <w:r>
              <w:rPr>
                <w:noProof/>
                <w:webHidden/>
              </w:rPr>
            </w:r>
            <w:r>
              <w:rPr>
                <w:noProof/>
                <w:webHidden/>
              </w:rPr>
              <w:fldChar w:fldCharType="separate"/>
            </w:r>
            <w:r>
              <w:rPr>
                <w:noProof/>
                <w:webHidden/>
              </w:rPr>
              <w:t>E-1</w:t>
            </w:r>
            <w:r>
              <w:rPr>
                <w:noProof/>
                <w:webHidden/>
              </w:rPr>
              <w:fldChar w:fldCharType="end"/>
            </w:r>
          </w:hyperlink>
        </w:p>
        <w:p w14:paraId="56CC0A87" w14:textId="6FC5BDB4" w:rsidR="00E125EA" w:rsidRDefault="00E125EA">
          <w:pPr>
            <w:pStyle w:val="TOC1"/>
            <w:tabs>
              <w:tab w:val="right" w:leader="dot" w:pos="9350"/>
            </w:tabs>
            <w:rPr>
              <w:rFonts w:eastAsiaTheme="minorEastAsia"/>
              <w:b w:val="0"/>
              <w:bCs w:val="0"/>
              <w:noProof/>
              <w:sz w:val="24"/>
              <w:szCs w:val="24"/>
            </w:rPr>
          </w:pPr>
          <w:hyperlink w:anchor="_Toc210042871" w:history="1">
            <w:r w:rsidRPr="00053E26">
              <w:rPr>
                <w:rStyle w:val="Hyperlink"/>
                <w:noProof/>
              </w:rPr>
              <w:t>Appendix F Example Seaweed Threshold Calculations</w:t>
            </w:r>
            <w:r>
              <w:rPr>
                <w:noProof/>
                <w:webHidden/>
              </w:rPr>
              <w:tab/>
            </w:r>
            <w:r>
              <w:rPr>
                <w:noProof/>
                <w:webHidden/>
              </w:rPr>
              <w:fldChar w:fldCharType="begin"/>
            </w:r>
            <w:r>
              <w:rPr>
                <w:noProof/>
                <w:webHidden/>
              </w:rPr>
              <w:instrText xml:space="preserve"> PAGEREF _Toc210042871 \h </w:instrText>
            </w:r>
            <w:r>
              <w:rPr>
                <w:noProof/>
                <w:webHidden/>
              </w:rPr>
            </w:r>
            <w:r>
              <w:rPr>
                <w:noProof/>
                <w:webHidden/>
              </w:rPr>
              <w:fldChar w:fldCharType="separate"/>
            </w:r>
            <w:r>
              <w:rPr>
                <w:noProof/>
                <w:webHidden/>
              </w:rPr>
              <w:t>F-1</w:t>
            </w:r>
            <w:r>
              <w:rPr>
                <w:noProof/>
                <w:webHidden/>
              </w:rPr>
              <w:fldChar w:fldCharType="end"/>
            </w:r>
          </w:hyperlink>
        </w:p>
        <w:p w14:paraId="7F3484FC" w14:textId="100B879F" w:rsidR="004511D9" w:rsidRDefault="00E125EA" w:rsidP="003D051E">
          <w:pPr>
            <w:sectPr w:rsidR="004511D9" w:rsidSect="00972ACD">
              <w:pgSz w:w="12240" w:h="15840"/>
              <w:pgMar w:top="621" w:right="1440" w:bottom="1440" w:left="1440" w:header="720" w:footer="720" w:gutter="0"/>
              <w:pgNumType w:chapStyle="1"/>
              <w:cols w:space="720"/>
              <w:docGrid w:linePitch="360"/>
            </w:sectPr>
          </w:pPr>
          <w:r>
            <w:fldChar w:fldCharType="end"/>
          </w:r>
        </w:p>
      </w:sdtContent>
    </w:sdt>
    <w:p w14:paraId="39A47FAE" w14:textId="5F62CD1E" w:rsidR="00B24D7F" w:rsidRDefault="00B24D7F" w:rsidP="00691E23">
      <w:pPr>
        <w:pStyle w:val="Heading1"/>
      </w:pPr>
      <w:bookmarkStart w:id="17" w:name="_Introduction_and_Background"/>
      <w:bookmarkStart w:id="18" w:name="_Toc210042850"/>
      <w:bookmarkEnd w:id="17"/>
      <w:r>
        <w:lastRenderedPageBreak/>
        <w:t>Introduction and Background</w:t>
      </w:r>
      <w:bookmarkEnd w:id="1"/>
      <w:bookmarkEnd w:id="18"/>
    </w:p>
    <w:p w14:paraId="3D65BAC1" w14:textId="3CE327E7" w:rsidR="00B4025A" w:rsidRDefault="00B24D7F" w:rsidP="00B4025A">
      <w:r>
        <w:t>Macroalgae, commonly referred to as seaweeds, are a group of photosynthetic organisms found in marine and freshwater ecosystems. They are diverse in species and applications, ranging from human food and animal feed uses to non-food applications like biofuel, fertilizer, pharmaceutical products, cosmetics, and more. Seaweeds are classified into three major groups: brown, red, and green seaweeds. Most seaweed species contain a blade—or grouping of blades—that resembles leaves, a stipe that resembles a plant stem, and a holdfast that attaches the seaweed to the water bottom, or another hard surface underwater (Figure 1-1). Brown (e.g., kelp, wakame, kombu) and red (e.g., Irish moss, dulse, nori) species of seaweed account for the majority of global seaweed production. In 2019, they accounted for 47.3% and 52.6% of worldwide production, respectively, while green species (e.g., sea lettuce) accounted for about 0.05% (Cai et al.</w:t>
      </w:r>
      <w:r w:rsidR="004019A2">
        <w:t>,</w:t>
      </w:r>
      <w:r>
        <w:t xml:space="preserve"> 2021).</w:t>
      </w:r>
    </w:p>
    <w:p w14:paraId="164D6AC7" w14:textId="77777777" w:rsidR="00045395" w:rsidRDefault="004019A2" w:rsidP="00045395">
      <w:pPr>
        <w:keepNext/>
      </w:pPr>
      <w:r>
        <w:rPr>
          <w:noProof/>
        </w:rPr>
        <w:drawing>
          <wp:inline distT="0" distB="0" distL="0" distR="0" wp14:anchorId="6A8266F5" wp14:editId="65016F6D">
            <wp:extent cx="5943600" cy="4195445"/>
            <wp:effectExtent l="0" t="0" r="0" b="0"/>
            <wp:docPr id="860112044" name="Picture 1" descr="Illustration titled 'Anatomy of Seaweed' showing three types of seaweed: giant kelp, sea lettuce, and red laver. The giant kelp has a holdfast at the bottom, a long stipe, fronds with blades, and gas bladders. Sea lettuce is bright green with a leafy blade structure and a small holdfast. Red laver is red and leafy with a holdfast. Labels point out key structures including blade, stipe, frond, gas bladder, and hold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12044" name="Picture 1" descr="Illustration titled 'Anatomy of Seaweed' showing three types of seaweed: giant kelp, sea lettuce, and red laver. The giant kelp has a holdfast at the bottom, a long stipe, fronds with blades, and gas bladders. Sea lettuce is bright green with a leafy blade structure and a small holdfast. Red laver is red and leafy with a holdfast. Labels point out key structures including blade, stipe, frond, gas bladder, and holdfas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195445"/>
                    </a:xfrm>
                    <a:prstGeom prst="rect">
                      <a:avLst/>
                    </a:prstGeom>
                  </pic:spPr>
                </pic:pic>
              </a:graphicData>
            </a:graphic>
          </wp:inline>
        </w:drawing>
      </w:r>
    </w:p>
    <w:p w14:paraId="54E3A802" w14:textId="015B40B2" w:rsidR="004019A2" w:rsidRDefault="00045395" w:rsidP="00C54E07">
      <w:pPr>
        <w:pStyle w:val="Caption"/>
      </w:pPr>
      <w:r w:rsidRPr="00045395">
        <w:t xml:space="preserve">Figure </w:t>
      </w:r>
      <w:fldSimple w:instr=" STYLEREF 1 \s ">
        <w:r w:rsidR="00A042AD">
          <w:rPr>
            <w:noProof/>
          </w:rPr>
          <w:t>1</w:t>
        </w:r>
      </w:fldSimple>
      <w:r w:rsidRPr="00045395">
        <w:noBreakHyphen/>
      </w:r>
      <w:fldSimple w:instr=" SEQ Figure \* ARABIC \s 1 ">
        <w:r w:rsidR="00A042AD">
          <w:rPr>
            <w:noProof/>
          </w:rPr>
          <w:t>1</w:t>
        </w:r>
      </w:fldSimple>
      <w:r w:rsidRPr="00045395">
        <w:t>:</w:t>
      </w:r>
      <w:r>
        <w:t xml:space="preserve"> Anatomy of Seaweed</w:t>
      </w:r>
    </w:p>
    <w:p w14:paraId="487B393C" w14:textId="334602CE" w:rsidR="00B4025A" w:rsidRDefault="00B4025A" w:rsidP="00B4025A">
      <w:r>
        <w:t xml:space="preserve">Seaweeds have long been a staple food in many Asian countries and are used in a variety of dishes such as sushi, salads, and dried snacks. Seaweeds provide a wide range of nutritional and </w:t>
      </w:r>
      <w:r>
        <w:lastRenderedPageBreak/>
        <w:t>health benefits. Many seaweeds are marketed as a “superfood” because they contain dietary fiber, omega-3 fatty acids, protein, essential amino acids, antioxidants, calcium, iodine, magnesium, and vitamins A, B, C, and E (Fleurence</w:t>
      </w:r>
      <w:r w:rsidR="004019A2">
        <w:t>,</w:t>
      </w:r>
      <w:r>
        <w:t xml:space="preserve"> 1999</w:t>
      </w:r>
      <w:r w:rsidR="004019A2">
        <w:t>;</w:t>
      </w:r>
      <w:r>
        <w:t xml:space="preserve"> Fujiwara-Arasaki et al.</w:t>
      </w:r>
      <w:r w:rsidR="004019A2">
        <w:t>,</w:t>
      </w:r>
      <w:r>
        <w:t xml:space="preserve"> 1984</w:t>
      </w:r>
      <w:r w:rsidR="004019A2">
        <w:t>;</w:t>
      </w:r>
      <w:r>
        <w:t xml:space="preserve"> MacArtain et al.</w:t>
      </w:r>
      <w:r w:rsidR="004019A2">
        <w:t>,</w:t>
      </w:r>
      <w:r>
        <w:t xml:space="preserve"> 2007</w:t>
      </w:r>
      <w:r w:rsidR="004019A2">
        <w:t>;</w:t>
      </w:r>
      <w:r>
        <w:t xml:space="preserve"> Monteiro et al.</w:t>
      </w:r>
      <w:r w:rsidR="004019A2">
        <w:t>,</w:t>
      </w:r>
      <w:r>
        <w:t xml:space="preserve"> 2022</w:t>
      </w:r>
      <w:r w:rsidR="004019A2">
        <w:t>;</w:t>
      </w:r>
      <w:r>
        <w:t xml:space="preserve"> Rajapakse &amp; Kim</w:t>
      </w:r>
      <w:r w:rsidR="004019A2">
        <w:t>,</w:t>
      </w:r>
      <w:r>
        <w:t xml:space="preserve"> 2011). Because of these health benefits, there are growing efforts to add more </w:t>
      </w:r>
      <w:r w:rsidR="004019A2">
        <w:t xml:space="preserve">seaweed </w:t>
      </w:r>
      <w:r>
        <w:t>to American diets. This has led to more seaweed-based products in stores, new seaweed dishes on restaurant menus, and cookbooks focused on seaweed. The rising demand is driven by more consumer awareness of seaweed’s nutritional benefits, its environmental sustainability, and how versatile it is as a culinary ingredient. This guide was developed to inform the production of seaweed-based food products that are safe for human consumption.</w:t>
      </w:r>
    </w:p>
    <w:p w14:paraId="3A4F988D" w14:textId="67303294" w:rsidR="00B4025A" w:rsidRDefault="00B4025A" w:rsidP="00B4025A">
      <w:r>
        <w:t>Like all foods, seaweed products may carry food safety risks. But because seaweeds do not fit the defined food categories of seafood or produce, there are no consistent guidelines or standards for evaluating and controlling potential food safety hazards in seaweeds. As more U.S. consumers seek out seaweed and seaweed products, experts have raised concerns about the potential adverse health impacts and risks associated with excessive and prolonged consumption (Huang et al.</w:t>
      </w:r>
      <w:r w:rsidR="004019A2">
        <w:t>,</w:t>
      </w:r>
      <w:r>
        <w:t xml:space="preserve"> 2025). Given the growing demand for seaweeds in the U.S. and the expansion of domestic seaweed aquaculture (farming), it is important to create clear national guidance. This will help identify and mitigate significant</w:t>
      </w:r>
      <w:r w:rsidR="00173FBA" w:rsidRPr="00173FBA">
        <w:t>—either “reasonably likely to occur” (HACCP) or “hazard requiring a preventive control” (PCHF)—</w:t>
      </w:r>
      <w:r>
        <w:t>seaweed food safety hazards to ensure continued growth and access to a highly nutritious food commodity in U.S. markets.</w:t>
      </w:r>
    </w:p>
    <w:p w14:paraId="1A9C2654" w14:textId="2ED732ED" w:rsidR="00B4025A" w:rsidRDefault="00B4025A" w:rsidP="00B4025A">
      <w:r>
        <w:t>The United States imports about 95% of the seaweed it consumes (Piconi et al., 2020). While detailed data on U.S. seaweed consumption and demand is limited, the broader commercial seaweed market can provide insights. In 2023, the entire North American commercial seaweed market—including edible and non-edible seaweeds; domestic and imported—valued approximately $2.15 billion. It is projected to grow to approximately $4.30 billion by 2032 (NACS, 2025). Globally, the market for edible seaweeds is also growing—from approximately $16 billion in 2023 to a projected $29 billion by 2032 (Gupta, 2025).</w:t>
      </w:r>
    </w:p>
    <w:p w14:paraId="73771478" w14:textId="77777777" w:rsidR="00B4025A" w:rsidRDefault="00B4025A" w:rsidP="00B4025A">
      <w:r>
        <w:t>As seaweed-based foods gain popularity in North America, market demand is expected to continue rising. In the U.S., seaweed has traditionally been harvested from the wild, but this sector has remained relatively small compared to global production. With increasing demand, wild harvesting alone is no longer sufficient to meet market needs sustainably (Hanisak, 1998). As a result, seaweed farming is expanding rapidly. Currently, 99.8% of global seaweed aquaculture occurs in China, Korea, Indonesia, and Japan (FAO, 2021). Domestically, seaweed is now one of the fastest-growing aquaculture sectors.</w:t>
      </w:r>
    </w:p>
    <w:p w14:paraId="1481A284" w14:textId="3A592306" w:rsidR="00B24D7F" w:rsidRDefault="00B4025A" w:rsidP="00B4025A">
      <w:r>
        <w:t xml:space="preserve">Seaweed farming in the U.S. has seen substantial growth in recent years. In Alaska, production increased from 19,590 pounds in 2017 to 155,732 pounds in 2024, with a peak harvest of </w:t>
      </w:r>
      <w:r>
        <w:lastRenderedPageBreak/>
        <w:t>872,288 pounds in 2022 (Alaska Department of Fish &amp; Game, 2024). Maine has also experienced rapid expansion, growing from 53,500 pounds in 2018 to over 1.3 million pounds harvested by the state’s largest producer in 2024 (Global Seafood Alliance, 2024). In Connecticut, where seaweed farming began in 2012, production increased tenfold by 2024 (Getchis et al., 2024). Other states—including Washington, Oregon, Rhode Island, and New York—are also developing seaweed farming industries, contributing to the sector’s national growth.</w:t>
      </w:r>
    </w:p>
    <w:p w14:paraId="7D28454A" w14:textId="7EBE6E87" w:rsidR="00193355" w:rsidRDefault="00193355" w:rsidP="00441BE0">
      <w:pPr>
        <w:pStyle w:val="Heading2"/>
      </w:pPr>
      <w:bookmarkStart w:id="19" w:name="_Toc208503142"/>
      <w:r>
        <w:t>Seaweed Food Uses</w:t>
      </w:r>
      <w:bookmarkEnd w:id="19"/>
    </w:p>
    <w:p w14:paraId="48EBC8EB" w14:textId="08643C59" w:rsidR="00193355" w:rsidRDefault="00193355" w:rsidP="00193355">
      <w:r>
        <w:t xml:space="preserve">Seaweeds are </w:t>
      </w:r>
      <w:r w:rsidR="00A042AD" w:rsidRPr="00A042AD">
        <w:t xml:space="preserve">used in many different industries , including food and medicine (pharmaceuticals) (Kim &amp; Wijesekara, 2010; Ngo &amp; Kim, 2013), cosmetics (Khan et al., 2022; McHugh, 2003; Pangestuti &amp; Kim, 2011), bioenergy </w:t>
      </w:r>
      <w:r>
        <w:t>(Kraan, 2010), biodegradable materials (Morone et al., 2020), agriculture (Ali et al., 2021; Craigie, 2011;</w:t>
      </w:r>
      <w:r w:rsidRPr="00193355">
        <w:t xml:space="preserve"> </w:t>
      </w:r>
      <w:r>
        <w:t>Rathore et al., 2009), wastewater treatment (Chung et al., 2011; Fourest &amp; Volesky, 1997), and more. While these applications are important, this guide focuses on seaweeds used in food products or for human consumption.</w:t>
      </w:r>
    </w:p>
    <w:p w14:paraId="0F6BE93E" w14:textId="70B97F33" w:rsidR="00193355" w:rsidRDefault="00193355" w:rsidP="00193355">
      <w:r>
        <w:t>It is also important to understand that seaweed can come in many marketable forms. It can be sold fresh, dried, or processed into a wide range of value-added products and ingredients. Below are some of the most common ways seaweeds are processed and used in food products. This list is not complete, and food safety risks can vary greatly depending on the seaweed species, how it’s processed, and end use.</w:t>
      </w:r>
    </w:p>
    <w:p w14:paraId="44AAB3FB" w14:textId="1E460C5D" w:rsidR="00AE333D" w:rsidRDefault="00AE333D" w:rsidP="00846B8F">
      <w:pPr>
        <w:pStyle w:val="ListParagraph"/>
        <w:numPr>
          <w:ilvl w:val="0"/>
          <w:numId w:val="126"/>
        </w:numPr>
        <w:contextualSpacing w:val="0"/>
      </w:pPr>
      <w:r w:rsidRPr="00AE333D">
        <w:rPr>
          <w:b/>
          <w:bCs/>
        </w:rPr>
        <w:t>Fresh Raw:</w:t>
      </w:r>
      <w:r>
        <w:t xml:space="preserve"> Many seaweeds can be consumed straight from the water without processing. This is desirable for direct sale to high-end restaurants and consumers. Fresh seaweed is commonly consumed raw and unprocessed, and used in a variety of dishes (e.g., seaweed salads).</w:t>
      </w:r>
    </w:p>
    <w:p w14:paraId="63C78643" w14:textId="5471EC4A" w:rsidR="00AE333D" w:rsidRDefault="00AE333D" w:rsidP="00846B8F">
      <w:pPr>
        <w:pStyle w:val="ListParagraph"/>
        <w:numPr>
          <w:ilvl w:val="0"/>
          <w:numId w:val="126"/>
        </w:numPr>
        <w:contextualSpacing w:val="0"/>
      </w:pPr>
      <w:r w:rsidRPr="00AE333D">
        <w:rPr>
          <w:b/>
          <w:bCs/>
        </w:rPr>
        <w:t>Dried:</w:t>
      </w:r>
      <w:r>
        <w:t xml:space="preserve"> </w:t>
      </w:r>
      <w:hyperlink w:anchor="_Drying" w:tooltip="he natural (sun or air drying) or mechanical (dehydrator, oven, freeze drying, etc.) removal of water from a food or food product to reduce the water available for microbial growth (Aw). A commonly used method of food preservation." w:history="1">
        <w:r w:rsidRPr="008B17B7">
          <w:rPr>
            <w:rStyle w:val="Hyperlink"/>
          </w:rPr>
          <w:t>Drying</w:t>
        </w:r>
      </w:hyperlink>
      <w:r>
        <w:t xml:space="preserve"> seaweed increases its shelf life for easier transport and storage (Santhoshkumar et al., 2023). There are many uses for dried seaweed including seasoning mixes, soup stocks, nutritional additives, or direct consumption (e.g., seaweed snacks). Seaweeds are commonly dried with and without pretreatment (e.g., soaking, </w:t>
      </w:r>
      <w:hyperlink w:anchor="_Blanching" w:tooltip="Submersion of foods in boiling water or exposure to steam for a short period of time before rapidly cooling. Blanching is commonly done to fix color and stop enzymatic activity. " w:history="1">
        <w:r w:rsidRPr="000B284B">
          <w:rPr>
            <w:rStyle w:val="Hyperlink"/>
          </w:rPr>
          <w:t>blanching</w:t>
        </w:r>
      </w:hyperlink>
      <w:r>
        <w:t>, etc.).</w:t>
      </w:r>
    </w:p>
    <w:p w14:paraId="7876AF9F" w14:textId="77777777" w:rsidR="00AE333D" w:rsidRDefault="00AE333D" w:rsidP="00846B8F">
      <w:pPr>
        <w:pStyle w:val="ListParagraph"/>
        <w:numPr>
          <w:ilvl w:val="1"/>
          <w:numId w:val="126"/>
        </w:numPr>
      </w:pPr>
      <w:r w:rsidRPr="00AE333D">
        <w:rPr>
          <w:i/>
          <w:iCs/>
        </w:rPr>
        <w:t>Air dried:</w:t>
      </w:r>
      <w:r>
        <w:t xml:space="preserve"> Some seaweeds are dried at ambient or lower temperatures in the sun or in greenhouses to preserve nutrients and flavor.</w:t>
      </w:r>
    </w:p>
    <w:p w14:paraId="7C3C6D8E" w14:textId="77777777" w:rsidR="00AE333D" w:rsidRDefault="00AE333D" w:rsidP="00846B8F">
      <w:pPr>
        <w:pStyle w:val="ListParagraph"/>
        <w:numPr>
          <w:ilvl w:val="1"/>
          <w:numId w:val="126"/>
        </w:numPr>
      </w:pPr>
      <w:r w:rsidRPr="00AE333D">
        <w:rPr>
          <w:i/>
          <w:iCs/>
        </w:rPr>
        <w:t>Mechanically dried:</w:t>
      </w:r>
      <w:r>
        <w:t xml:space="preserve"> Some seaweeds are dried in various types of ovens, freeze dryers, or dehydrators to better control temperature, time, and consistency in the drying process.</w:t>
      </w:r>
    </w:p>
    <w:p w14:paraId="3543D819" w14:textId="704FD08B" w:rsidR="00AE333D" w:rsidRDefault="00AE333D" w:rsidP="00846B8F">
      <w:pPr>
        <w:pStyle w:val="ListParagraph"/>
        <w:numPr>
          <w:ilvl w:val="0"/>
          <w:numId w:val="126"/>
        </w:numPr>
        <w:spacing w:before="240"/>
        <w:contextualSpacing w:val="0"/>
      </w:pPr>
      <w:r w:rsidRPr="00AE333D">
        <w:rPr>
          <w:b/>
          <w:bCs/>
        </w:rPr>
        <w:t>Blanched:</w:t>
      </w:r>
      <w:r>
        <w:t xml:space="preserve"> Blanching involves boiling seaweed in water or exposing it to steam for a short period of time before rapidly cooling. Blanching can stabilize the seaweed for </w:t>
      </w:r>
      <w:r>
        <w:lastRenderedPageBreak/>
        <w:t>longer shelf life, especially when paired with other preservation methods (e.g., freezing or drying). It can also give some seaweeds a more vibrant color, reduce strong flavors, and reduce unwanted components (Akomea-Frempong et al., 2021).</w:t>
      </w:r>
    </w:p>
    <w:p w14:paraId="06C60623" w14:textId="1A86DF01" w:rsidR="00AE333D" w:rsidRDefault="00AE333D" w:rsidP="00846B8F">
      <w:pPr>
        <w:pStyle w:val="ListParagraph"/>
        <w:numPr>
          <w:ilvl w:val="0"/>
          <w:numId w:val="126"/>
        </w:numPr>
        <w:contextualSpacing w:val="0"/>
      </w:pPr>
      <w:r w:rsidRPr="00AE333D">
        <w:rPr>
          <w:b/>
          <w:bCs/>
        </w:rPr>
        <w:t>Fermented, Canned, and Pickled:</w:t>
      </w:r>
      <w:r>
        <w:t xml:space="preserve"> </w:t>
      </w:r>
      <w:hyperlink w:anchor="_Fermentation" w:tooltip="A process commonly used to preserve and/or enhance foods, which involves the chemical breakdown of molecules such as sugars by bacteria into acids. This rapidly reduces the pH of the product and is another form of pickling." w:history="1">
        <w:r w:rsidRPr="00BC7922">
          <w:rPr>
            <w:rStyle w:val="Hyperlink"/>
          </w:rPr>
          <w:t>Fermenting</w:t>
        </w:r>
      </w:hyperlink>
      <w:r>
        <w:t xml:space="preserve">, canning, or </w:t>
      </w:r>
      <w:hyperlink w:anchor="Pickling" w:tooltip="The process of preserving food by reducing its pH either by natural fermentation or acidification with vinegar." w:history="1">
        <w:r w:rsidRPr="0051253B">
          <w:rPr>
            <w:rStyle w:val="Hyperlink"/>
          </w:rPr>
          <w:t>pickling</w:t>
        </w:r>
      </w:hyperlink>
      <w:r>
        <w:t xml:space="preserve"> seaweed with other ingredients is a common practice with some species. These processes break down polysaccharides and proteins to make them more digestible, create novel flavors, and create shelf stable products (Maiorano et al., 2022; Pérez-Lloréns, 2019). Fermenting seaweed has also been investigated as a non-dairy based probiotic, and to help reduce heavy metals content in seaweed (Akomea-Frempong et al., 2021).</w:t>
      </w:r>
    </w:p>
    <w:p w14:paraId="75E61207" w14:textId="77777777" w:rsidR="00AE333D" w:rsidRDefault="00AE333D" w:rsidP="00846B8F">
      <w:pPr>
        <w:pStyle w:val="ListParagraph"/>
        <w:numPr>
          <w:ilvl w:val="0"/>
          <w:numId w:val="126"/>
        </w:numPr>
        <w:contextualSpacing w:val="0"/>
      </w:pPr>
      <w:r w:rsidRPr="00AE333D">
        <w:rPr>
          <w:b/>
          <w:bCs/>
        </w:rPr>
        <w:t>Frozen:</w:t>
      </w:r>
      <w:r>
        <w:t xml:space="preserve"> Freezing can be used as a stabilization step either before or after processing to help extend product shelf life. Freezing has been shown to preserve taste, texture, and nutritional value more effectively than other stabilization methods (Choi et al., 2012).</w:t>
      </w:r>
    </w:p>
    <w:p w14:paraId="21A3DBDE" w14:textId="164E81EB" w:rsidR="00193355" w:rsidRDefault="00AE333D" w:rsidP="00846B8F">
      <w:pPr>
        <w:pStyle w:val="ListParagraph"/>
        <w:numPr>
          <w:ilvl w:val="0"/>
          <w:numId w:val="126"/>
        </w:numPr>
        <w:contextualSpacing w:val="0"/>
      </w:pPr>
      <w:r w:rsidRPr="00AE333D">
        <w:rPr>
          <w:b/>
          <w:bCs/>
        </w:rPr>
        <w:t>Extracts:</w:t>
      </w:r>
      <w:r>
        <w:t xml:space="preserve"> Components of seaweeds can be added to foods, pharmaceuticals and biomaterials as a thickening agent or source of nutrients. One common example is Carrageenan, which is used in a wide range of food and non-food products (e.g., ice cream, sauces, plant-based milks, processed meats, toothpaste, cosmetics, and more). In 2021 the U.S. imported approximately 11,000 tons of Carrageenan valued at $115 Million (Zhang et al., 2023).</w:t>
      </w:r>
    </w:p>
    <w:p w14:paraId="0AC1B604" w14:textId="5D158F60" w:rsidR="00586411" w:rsidRDefault="00586411" w:rsidP="00441BE0">
      <w:pPr>
        <w:pStyle w:val="Heading2"/>
      </w:pPr>
      <w:bookmarkStart w:id="20" w:name="_Toc208503143"/>
      <w:r>
        <w:t>Current Regulatory Guidelines for Potential Food Safety Hazards in Seaweed</w:t>
      </w:r>
      <w:bookmarkEnd w:id="20"/>
    </w:p>
    <w:p w14:paraId="6CF3AA94" w14:textId="77777777" w:rsidR="00586411" w:rsidRDefault="00586411" w:rsidP="00586411">
      <w:r>
        <w:t>This section provides a brief overview of existing regulatory guidelines for seaweed harvest and processing:</w:t>
      </w:r>
    </w:p>
    <w:p w14:paraId="5AE3D6A4" w14:textId="131C6F97" w:rsidR="00586411" w:rsidRPr="00586411" w:rsidRDefault="00586411" w:rsidP="00691E23">
      <w:pPr>
        <w:pStyle w:val="Heading3"/>
      </w:pPr>
      <w:bookmarkStart w:id="21" w:name="_Toc208503144"/>
      <w:r w:rsidRPr="00586411">
        <w:t>International Guidelines</w:t>
      </w:r>
      <w:r>
        <w:t xml:space="preserve">: </w:t>
      </w:r>
      <w:r w:rsidRPr="00586411">
        <w:t>Food and Agriculture Organization (FAO) and World Health Organization (WHO)</w:t>
      </w:r>
      <w:bookmarkEnd w:id="21"/>
    </w:p>
    <w:p w14:paraId="71AE3A8D" w14:textId="42CE6AB2" w:rsidR="00586411" w:rsidRDefault="00586411" w:rsidP="00586411">
      <w:r>
        <w:t xml:space="preserve">The Food and Agriculture Organization (FAO) and World Health Organization (WHO) released a </w:t>
      </w:r>
      <w:r w:rsidRPr="00586411">
        <w:rPr>
          <w:i/>
          <w:iCs/>
        </w:rPr>
        <w:t>Report of the Expert Meeting on Food Safety for Seaweed</w:t>
      </w:r>
      <w:r>
        <w:t xml:space="preserve"> (FAO &amp; WHO, 2022), which offers international recommendations for managing hazards in seaweed production. These include monitoring for microbial, physical, and chemical hazards.</w:t>
      </w:r>
    </w:p>
    <w:p w14:paraId="44091F6B" w14:textId="03DFFA7F" w:rsidR="00586411" w:rsidRDefault="00586411" w:rsidP="00586411">
      <w:r>
        <w:t>However, the international community lacks consensus on the regulatory framework for seaweeds related to certain food safety concerns. For instance, maximum allowable levels for heavy metals and iodine in seaweed food products vary widely—or are not determined—in different countries and for different product types (FAO &amp; WHO, 2022; Huang et al., 2025).</w:t>
      </w:r>
    </w:p>
    <w:p w14:paraId="2D0730CD" w14:textId="5BA0509F" w:rsidR="00586411" w:rsidRDefault="00586411" w:rsidP="00691E23">
      <w:pPr>
        <w:pStyle w:val="Heading3"/>
      </w:pPr>
      <w:bookmarkStart w:id="22" w:name="_Toc208503145"/>
      <w:r>
        <w:lastRenderedPageBreak/>
        <w:t>U.S. Federal Regulatory Framework</w:t>
      </w:r>
      <w:bookmarkEnd w:id="22"/>
      <w:r>
        <w:t xml:space="preserve"> </w:t>
      </w:r>
    </w:p>
    <w:p w14:paraId="07E7F5A7" w14:textId="429986B8" w:rsidR="00586411" w:rsidRDefault="00586411" w:rsidP="00586411">
      <w:r>
        <w:t>In the United States, seaweeds intended for human consumption are regulated by the U.S. Food and Drug Administration (FDA) under the following Acts:</w:t>
      </w:r>
    </w:p>
    <w:p w14:paraId="68C7BE97" w14:textId="7FBD7254" w:rsidR="00586411" w:rsidRDefault="00FE3D26" w:rsidP="00846B8F">
      <w:pPr>
        <w:pStyle w:val="ListParagraph"/>
        <w:numPr>
          <w:ilvl w:val="0"/>
          <w:numId w:val="1"/>
        </w:numPr>
      </w:pPr>
      <w:r>
        <w:rPr>
          <w:b/>
          <w:bCs/>
        </w:rPr>
        <w:t xml:space="preserve">The </w:t>
      </w:r>
      <w:r w:rsidR="00586411" w:rsidRPr="00586411">
        <w:rPr>
          <w:b/>
          <w:bCs/>
        </w:rPr>
        <w:t>Federal Food, Drug, and Cosmetic Act (FDCA)</w:t>
      </w:r>
      <w:r>
        <w:t xml:space="preserve"> </w:t>
      </w:r>
      <w:r w:rsidR="00586411">
        <w:t>prohibits the sale of adulterated or misbranded food. Adulterated foods are any foods that are contaminated, unsafe, or produced under unsanitary conditions.</w:t>
      </w:r>
    </w:p>
    <w:p w14:paraId="51E7862A" w14:textId="27688598" w:rsidR="00586411" w:rsidRDefault="00FE3D26" w:rsidP="00846B8F">
      <w:pPr>
        <w:pStyle w:val="ListParagraph"/>
        <w:numPr>
          <w:ilvl w:val="0"/>
          <w:numId w:val="1"/>
        </w:numPr>
      </w:pPr>
      <w:r>
        <w:rPr>
          <w:b/>
          <w:bCs/>
        </w:rPr>
        <w:t xml:space="preserve">The </w:t>
      </w:r>
      <w:r w:rsidR="00586411" w:rsidRPr="00586411">
        <w:rPr>
          <w:b/>
          <w:bCs/>
        </w:rPr>
        <w:t>Food Safety Modernization Act (FSMA)</w:t>
      </w:r>
      <w:r w:rsidRPr="00FE3D26">
        <w:t>,</w:t>
      </w:r>
      <w:r>
        <w:t xml:space="preserve"> </w:t>
      </w:r>
      <w:r w:rsidR="00586411">
        <w:t xml:space="preserve">specifically the </w:t>
      </w:r>
      <w:r w:rsidR="00586411" w:rsidRPr="00D31328">
        <w:t>Preventive Controls for Human Food Rule</w:t>
      </w:r>
      <w:r w:rsidRPr="00D31328">
        <w:t xml:space="preserve"> (PCHF)</w:t>
      </w:r>
      <w:r w:rsidR="00586411">
        <w:t>, which applies to domestic and foreign facilities that manufacture, process, pack, or hold human food, including seaweed for food use.</w:t>
      </w:r>
    </w:p>
    <w:p w14:paraId="3A12D4E5" w14:textId="745D428D" w:rsidR="00586411" w:rsidRDefault="00586411" w:rsidP="00586411">
      <w:r>
        <w:t xml:space="preserve">Seaweeds are not considered fish or fishery products and therefore are not federally regulated under the Seafood Hazard Analysis and Critical Control Points (HACCP) regulation (21 CFR Part 123). Seaweeds are also not considered "produce" as defined in the Standards for the Growing, Harvesting, Packing and Holding of Produce for Human Consumption (Produce Safety Rule, 21 CFR Part 112). Instead, unprocessed seaweeds are federally classified as a </w:t>
      </w:r>
      <w:hyperlink w:anchor="RAC" w:tooltip="[regulatory term] Any food in its raw or natural state, including all fruits that are washed, colored, or otherwise treated in their unpeeled natural form prior to marketing." w:history="1">
        <w:r w:rsidRPr="0051253B">
          <w:rPr>
            <w:rStyle w:val="Hyperlink"/>
          </w:rPr>
          <w:t>raw agricultural commodity (RAC)</w:t>
        </w:r>
      </w:hyperlink>
      <w:r>
        <w:t xml:space="preserve"> in their unprocessed whole form.</w:t>
      </w:r>
    </w:p>
    <w:p w14:paraId="7F7E34A6" w14:textId="77777777" w:rsidR="00586411" w:rsidRDefault="00586411" w:rsidP="00846B8F">
      <w:pPr>
        <w:pStyle w:val="ListParagraph"/>
        <w:numPr>
          <w:ilvl w:val="0"/>
          <w:numId w:val="2"/>
        </w:numPr>
      </w:pPr>
      <w:r w:rsidRPr="00FE3D26">
        <w:rPr>
          <w:b/>
          <w:bCs/>
        </w:rPr>
        <w:t>Unprocessed seaweed (RAC)</w:t>
      </w:r>
      <w:r>
        <w:t xml:space="preserve"> must comply with the general provisions of the FDCA.</w:t>
      </w:r>
    </w:p>
    <w:p w14:paraId="27B6ADE1" w14:textId="77777777" w:rsidR="00586411" w:rsidRDefault="00586411" w:rsidP="00846B8F">
      <w:pPr>
        <w:pStyle w:val="ListParagraph"/>
        <w:numPr>
          <w:ilvl w:val="0"/>
          <w:numId w:val="2"/>
        </w:numPr>
      </w:pPr>
      <w:r w:rsidRPr="00FE3D26">
        <w:rPr>
          <w:b/>
          <w:bCs/>
        </w:rPr>
        <w:t>Processed seaweed</w:t>
      </w:r>
      <w:r>
        <w:t xml:space="preserve"> falls under the </w:t>
      </w:r>
      <w:r w:rsidRPr="00FE3D26">
        <w:rPr>
          <w:i/>
          <w:iCs/>
        </w:rPr>
        <w:t>Preventative Controls for Human Food Rule (PCHF)</w:t>
      </w:r>
      <w:r>
        <w:t>, unless a full or partial exemption applies. Regulatory requirements vary based on the size and type of establishment, the processing activities conducted, and the location of these activities.</w:t>
      </w:r>
    </w:p>
    <w:p w14:paraId="26396808" w14:textId="3D863F36" w:rsidR="00586411" w:rsidRDefault="00586411" w:rsidP="00586411">
      <w:r>
        <w:t xml:space="preserve">More details on the current federal regulations related to seaweed are described in </w:t>
      </w:r>
      <w:hyperlink w:anchor="_Seaweed_Regulations_and" w:history="1">
        <w:r w:rsidRPr="002033A6">
          <w:rPr>
            <w:rStyle w:val="Hyperlink"/>
          </w:rPr>
          <w:t>Chapter 2</w:t>
        </w:r>
      </w:hyperlink>
      <w:r>
        <w:t xml:space="preserve"> of this guidance.</w:t>
      </w:r>
    </w:p>
    <w:p w14:paraId="0358C5D7" w14:textId="16D21D9C" w:rsidR="00586411" w:rsidRDefault="00586411" w:rsidP="00846B8F">
      <w:pPr>
        <w:pStyle w:val="Heading3"/>
        <w:numPr>
          <w:ilvl w:val="2"/>
          <w:numId w:val="128"/>
        </w:numPr>
      </w:pPr>
      <w:bookmarkStart w:id="23" w:name="_Toc208503146"/>
      <w:r>
        <w:t>Some State-Specific Initiatives</w:t>
      </w:r>
      <w:bookmarkEnd w:id="23"/>
    </w:p>
    <w:p w14:paraId="7FAA6ECA" w14:textId="77777777" w:rsidR="00586411" w:rsidRDefault="00586411" w:rsidP="00586411">
      <w:r>
        <w:t>Several states have developed their own approaches to seaweed regulation:</w:t>
      </w:r>
    </w:p>
    <w:p w14:paraId="48694999" w14:textId="7A0EB0EE" w:rsidR="00586411" w:rsidRDefault="00586411" w:rsidP="00846B8F">
      <w:pPr>
        <w:pStyle w:val="ListParagraph"/>
        <w:numPr>
          <w:ilvl w:val="0"/>
          <w:numId w:val="3"/>
        </w:numPr>
        <w:spacing w:before="240"/>
        <w:contextualSpacing w:val="0"/>
      </w:pPr>
      <w:r w:rsidRPr="00FE3D26">
        <w:rPr>
          <w:b/>
          <w:bCs/>
        </w:rPr>
        <w:t>Alaska:</w:t>
      </w:r>
      <w:r>
        <w:t xml:space="preserve"> Seaweed farming and harvest activities are jointly managed by the Department of Fish and Game and the Department of Natural Resources. Harvested seaweed is regulated as a </w:t>
      </w:r>
      <w:r w:rsidRPr="0051253B">
        <w:t>raw agricultural commodity (RAC)</w:t>
      </w:r>
      <w:r>
        <w:t xml:space="preserve"> under Alaska’s general food safety code.</w:t>
      </w:r>
    </w:p>
    <w:p w14:paraId="0A394322" w14:textId="77777777" w:rsidR="00586411" w:rsidRDefault="00586411" w:rsidP="00846B8F">
      <w:pPr>
        <w:pStyle w:val="ListParagraph"/>
        <w:numPr>
          <w:ilvl w:val="0"/>
          <w:numId w:val="3"/>
        </w:numPr>
        <w:spacing w:before="240"/>
        <w:contextualSpacing w:val="0"/>
      </w:pPr>
      <w:r w:rsidRPr="00FE3D26">
        <w:rPr>
          <w:b/>
          <w:bCs/>
        </w:rPr>
        <w:t>Connecticut:</w:t>
      </w:r>
      <w:r>
        <w:t xml:space="preserve"> The Connecticut Department of Agriculture initiated a state-specific HACCP approach to identify and manage hazards associated with seaweed cultivation and processing in 2020 and updated the guidance in 2025 (Connecticut Department of Agriculture, 2025). These guidelines are limited to Connecticut, only apply to seaweed as a RAC, and do not address interstate seaweed trade or producers operating in other coastal states.</w:t>
      </w:r>
    </w:p>
    <w:p w14:paraId="51D12CF1" w14:textId="15C69835" w:rsidR="00586411" w:rsidRDefault="00586411" w:rsidP="00846B8F">
      <w:pPr>
        <w:pStyle w:val="ListParagraph"/>
        <w:numPr>
          <w:ilvl w:val="0"/>
          <w:numId w:val="3"/>
        </w:numPr>
        <w:spacing w:before="240"/>
        <w:contextualSpacing w:val="0"/>
      </w:pPr>
      <w:r w:rsidRPr="00FE3D26">
        <w:rPr>
          <w:b/>
          <w:bCs/>
        </w:rPr>
        <w:lastRenderedPageBreak/>
        <w:t>Hawai‘i:</w:t>
      </w:r>
      <w:r>
        <w:t xml:space="preserve"> Wild seaweed harvesting is permitted by the Hawaii State Department of Land and Natural Resources. Aquaculture is regulated through the Animal Industry Division of the State Government, while the Food and Drug Branch of the Hawaii Department of Health oversees seaweed sales. No additional permits are required to sell.</w:t>
      </w:r>
    </w:p>
    <w:p w14:paraId="60B5FF3A" w14:textId="77777777" w:rsidR="00586411" w:rsidRDefault="00586411" w:rsidP="00846B8F">
      <w:pPr>
        <w:pStyle w:val="ListParagraph"/>
        <w:numPr>
          <w:ilvl w:val="0"/>
          <w:numId w:val="3"/>
        </w:numPr>
        <w:spacing w:before="240"/>
        <w:contextualSpacing w:val="0"/>
      </w:pPr>
      <w:r w:rsidRPr="00FE3D26">
        <w:rPr>
          <w:b/>
          <w:bCs/>
        </w:rPr>
        <w:t>Maine:</w:t>
      </w:r>
      <w:r>
        <w:t xml:space="preserve"> Seaweed is regulated by the Department of Marine Resources as seafood during cultivation and up to the point of harvest. After harvest, oversight shifts to the Maine Department of Agriculture, Conservation and Forestry, which regulates post-harvest handling, processing, distribution, and sale under produce regulations.</w:t>
      </w:r>
    </w:p>
    <w:p w14:paraId="410D4091" w14:textId="77777777" w:rsidR="00586411" w:rsidRDefault="00586411" w:rsidP="00846B8F">
      <w:pPr>
        <w:pStyle w:val="ListParagraph"/>
        <w:numPr>
          <w:ilvl w:val="0"/>
          <w:numId w:val="3"/>
        </w:numPr>
        <w:spacing w:before="240"/>
        <w:contextualSpacing w:val="0"/>
      </w:pPr>
      <w:r w:rsidRPr="00FE3D26">
        <w:rPr>
          <w:b/>
          <w:bCs/>
        </w:rPr>
        <w:t>New York:</w:t>
      </w:r>
      <w:r>
        <w:t xml:space="preserve"> In New York, seaweeds for wholesale production are regulated by the NY State Department of Agriculture and Markets (NYS AGM). Facilities must follow GMPs (21 CFR 117 Subpart B; 1 NYCRR Subpart 261) and comply with the Preventive Controls for Human Food Rule (21 CFR Part 117). If exempt, NYS AGM recommends a HACCP plan to manage food safety hazards. Seaweed sold at restaurants or foodservice establishments is regulated by local health departments under the Food Code.</w:t>
      </w:r>
    </w:p>
    <w:p w14:paraId="331BB2A2" w14:textId="3472D51E" w:rsidR="00586411" w:rsidRDefault="00586411" w:rsidP="00846B8F">
      <w:pPr>
        <w:pStyle w:val="ListParagraph"/>
        <w:numPr>
          <w:ilvl w:val="0"/>
          <w:numId w:val="3"/>
        </w:numPr>
        <w:spacing w:before="240"/>
        <w:contextualSpacing w:val="0"/>
      </w:pPr>
      <w:r w:rsidRPr="00FE3D26">
        <w:rPr>
          <w:b/>
          <w:bCs/>
        </w:rPr>
        <w:t>Other States:</w:t>
      </w:r>
      <w:r>
        <w:t xml:space="preserve"> States with burgeoning seaweed industries either have varied regulatory approaches or no formal seaweed-specific regulations in place.</w:t>
      </w:r>
    </w:p>
    <w:p w14:paraId="09DE0A49" w14:textId="1CD4AA22" w:rsidR="00F435A7" w:rsidRDefault="00F435A7" w:rsidP="00441BE0">
      <w:pPr>
        <w:pStyle w:val="Heading2"/>
      </w:pPr>
      <w:bookmarkStart w:id="24" w:name="_Toc208503147"/>
      <w:r>
        <w:t>Need for a Seaweed Food Safety Guide</w:t>
      </w:r>
      <w:bookmarkEnd w:id="24"/>
    </w:p>
    <w:p w14:paraId="79824DEA" w14:textId="77777777" w:rsidR="00F435A7" w:rsidRDefault="00F435A7" w:rsidP="00F435A7">
      <w:r>
        <w:t>Developing a Seaweed Food Safety Guide is important to support regulators, producers, processors, and retailers, in assessing and mitigating food safety risks associated with seaweed products in the U.S. market. A guide would help to build and maintain consumer confidence by promoting safe handling and processing practices.</w:t>
      </w:r>
    </w:p>
    <w:p w14:paraId="16F3FD8D" w14:textId="77777777" w:rsidR="00F435A7" w:rsidRDefault="00F435A7" w:rsidP="00F435A7">
      <w:r>
        <w:t>As the seaweed aquaculture industry continues to expand in the U.S., it presents exciting opportunities for sustainable food production and economic growth. To fully realize this potential, a comprehensive hazard guidance document is needed to provide a clear framework for assessing hazards, ensuring product safety, and supporting compliance with existing food safety regulations.</w:t>
      </w:r>
    </w:p>
    <w:p w14:paraId="1109DB21" w14:textId="2952C14C" w:rsidR="00F435A7" w:rsidRDefault="00F435A7" w:rsidP="00F435A7">
      <w:r>
        <w:t>Building on current guidelines and resources available in the U.S. and internationally, this guidance has been developed to support the seaweed industry—particularly seaweed marketed for human consumption. States that are developing or expanding their seaweed cultivation and processing sectors can tailor the document to reflect their unique species, environmental conditions, and regulatory frameworks. Serving as a flexible model, this guidance can promote consistency in evaluating and mitigating food safety hazards across regional and national markets—advancing growth and safeguarding consumer health.</w:t>
      </w:r>
    </w:p>
    <w:p w14:paraId="21DB1A46" w14:textId="54B84D0F" w:rsidR="00F435A7" w:rsidRDefault="00F435A7" w:rsidP="00441BE0">
      <w:pPr>
        <w:pStyle w:val="Heading2"/>
      </w:pPr>
      <w:bookmarkStart w:id="25" w:name="_Toc208503148"/>
      <w:r>
        <w:lastRenderedPageBreak/>
        <w:t>How to Use the Guide</w:t>
      </w:r>
      <w:bookmarkEnd w:id="25"/>
    </w:p>
    <w:p w14:paraId="0A3ABFA0" w14:textId="77777777" w:rsidR="00F435A7" w:rsidRDefault="00F435A7" w:rsidP="00F435A7">
      <w:r>
        <w:t xml:space="preserve">This guide follows the format of the FDA’s </w:t>
      </w:r>
      <w:r w:rsidRPr="00D31328">
        <w:rPr>
          <w:i/>
          <w:iCs/>
        </w:rPr>
        <w:t>Fish and Fishery Products Hazards and Controls Guidance</w:t>
      </w:r>
      <w:r>
        <w:t xml:space="preserve"> and incorporates elements of </w:t>
      </w:r>
      <w:r w:rsidRPr="00F435A7">
        <w:rPr>
          <w:i/>
          <w:iCs/>
        </w:rPr>
        <w:t>Preventive Controls for Human Foods (PCHF)</w:t>
      </w:r>
      <w:r>
        <w:t>. It includes guidance on all species of seaweeds and seaweed products produced and consumed in the U.S. and all potential hazards related to those species and processes. Please note, guidance applies to the species and processes that you, the reader, are working with. The chapter outline below provides basic information on how to use the guide.</w:t>
      </w:r>
    </w:p>
    <w:p w14:paraId="0AD6122E" w14:textId="77777777" w:rsidR="00F435A7" w:rsidRDefault="00F435A7" w:rsidP="00691E23">
      <w:pPr>
        <w:pStyle w:val="Heading3"/>
      </w:pPr>
      <w:bookmarkStart w:id="26" w:name="_Toc208503149"/>
      <w:r>
        <w:t>Chapter Outline</w:t>
      </w:r>
      <w:bookmarkEnd w:id="26"/>
    </w:p>
    <w:p w14:paraId="518412E7" w14:textId="30D4CA2F" w:rsidR="00F435A7" w:rsidRDefault="00F435A7" w:rsidP="000B3003">
      <w:pPr>
        <w:pStyle w:val="Heading4"/>
      </w:pPr>
      <w:r>
        <w:t>Chapters 2</w:t>
      </w:r>
      <w:r w:rsidR="004E65BB" w:rsidRPr="004E65BB">
        <w:t>–</w:t>
      </w:r>
      <w:r>
        <w:t>3</w:t>
      </w:r>
    </w:p>
    <w:p w14:paraId="52D5F77E" w14:textId="7EC9D502" w:rsidR="00F435A7" w:rsidRDefault="00F435A7" w:rsidP="00F435A7">
      <w:r>
        <w:t>These chapters provide preliminary information on current federal regulations related to seaweed food safety and general requirements for food processors to produce food safely that all seaweed processors should be familiar with.</w:t>
      </w:r>
    </w:p>
    <w:p w14:paraId="758472DD" w14:textId="1FFDB0EE" w:rsidR="00F435A7" w:rsidRDefault="00F435A7" w:rsidP="000B3003">
      <w:pPr>
        <w:pStyle w:val="Heading4"/>
      </w:pPr>
      <w:r>
        <w:t>Chapter 4</w:t>
      </w:r>
    </w:p>
    <w:p w14:paraId="75377D2C" w14:textId="788729D1" w:rsidR="00F435A7" w:rsidRDefault="00F435A7" w:rsidP="00F435A7">
      <w:r>
        <w:t>This chapter covers all potential food safety hazards that have been associated with edible seaweeds and seaweed products based on historical occurrence and scientific literature available at the time of publication. The tables within are divided into species related hazards and process related hazards. To determine the hazards that may be applicable to your operation, you must locate your species in Table 4-1 and the processes you plan to implement in Table 4-2. Any box with a check mark means that this is a potential hazard for your operation. Producers are responsible for determining whether that hazard is significant for their operation based on production practices, geography, species, etc. (see chapters 5</w:t>
      </w:r>
      <w:r w:rsidR="000B3003" w:rsidRPr="000B3003">
        <w:t>–</w:t>
      </w:r>
      <w:r>
        <w:t>15).</w:t>
      </w:r>
    </w:p>
    <w:p w14:paraId="6CC9E89C" w14:textId="1B608341" w:rsidR="00F435A7" w:rsidRPr="00F435A7" w:rsidRDefault="00F435A7" w:rsidP="000B3003">
      <w:pPr>
        <w:pStyle w:val="Heading4"/>
      </w:pPr>
      <w:r w:rsidRPr="00F435A7">
        <w:t>Chapters 5</w:t>
      </w:r>
      <w:r w:rsidR="004E65BB" w:rsidRPr="004E65BB">
        <w:t>–</w:t>
      </w:r>
      <w:r w:rsidRPr="00F435A7">
        <w:t>15</w:t>
      </w:r>
    </w:p>
    <w:p w14:paraId="18ED8A9B" w14:textId="0BAC760F" w:rsidR="00F435A7" w:rsidRDefault="00F435A7" w:rsidP="00F435A7">
      <w:r>
        <w:t>These chapters each cover a specific hazard identified in Chapter 4. Following the format of the FDA</w:t>
      </w:r>
      <w:r w:rsidR="00D31328">
        <w:t>’s</w:t>
      </w:r>
      <w:r>
        <w:t xml:space="preserve"> </w:t>
      </w:r>
      <w:r w:rsidRPr="004E65BB">
        <w:rPr>
          <w:i/>
          <w:iCs/>
        </w:rPr>
        <w:t>Fish and Fishery Products Hazards and Controls Guide</w:t>
      </w:r>
      <w:r>
        <w:t>, a separate chapter (Chapter 12) is dedicated to Botulism. The chapters include an introduction to the hazard, guidance on how to determine if the hazard is significant for your operation, and what control strategies can be implemented to mitigate the hazard. If controls are warranted, the processor can select one or more controls from the options listed in the chapter and apply it to their operation.</w:t>
      </w:r>
    </w:p>
    <w:p w14:paraId="6BEB1F5E" w14:textId="288DE3BA" w:rsidR="00F435A7" w:rsidRDefault="00F435A7" w:rsidP="000B3003">
      <w:pPr>
        <w:pStyle w:val="Heading4"/>
      </w:pPr>
      <w:r>
        <w:t>Chapter 16</w:t>
      </w:r>
    </w:p>
    <w:p w14:paraId="361F48CB" w14:textId="43500DF8" w:rsidR="00F435A7" w:rsidRDefault="00F435A7" w:rsidP="00F435A7">
      <w:r>
        <w:t>This chapter provides a summary of the guide as a whole and describes the current knowledge gaps. Research in these areas could inform more targeted and efficient food safety guidance.</w:t>
      </w:r>
    </w:p>
    <w:p w14:paraId="69386019" w14:textId="65A12A09" w:rsidR="00F435A7" w:rsidRDefault="00F435A7" w:rsidP="000B3003">
      <w:pPr>
        <w:pStyle w:val="Heading4"/>
      </w:pPr>
      <w:r>
        <w:lastRenderedPageBreak/>
        <w:t xml:space="preserve">Appendices </w:t>
      </w:r>
      <w:r w:rsidR="005003BC">
        <w:t>A</w:t>
      </w:r>
      <w:r w:rsidR="004E65BB" w:rsidRPr="004E65BB">
        <w:t>–</w:t>
      </w:r>
      <w:r w:rsidR="005003BC">
        <w:t>F</w:t>
      </w:r>
    </w:p>
    <w:p w14:paraId="373604C3" w14:textId="77777777" w:rsidR="000B5E2E" w:rsidRDefault="00F435A7" w:rsidP="00F435A7">
      <w:pPr>
        <w:sectPr w:rsidR="000B5E2E" w:rsidSect="00441BE0">
          <w:footerReference w:type="default" r:id="rId26"/>
          <w:pgSz w:w="12240" w:h="15840"/>
          <w:pgMar w:top="1440" w:right="1440" w:bottom="1440" w:left="1440" w:header="720" w:footer="720" w:gutter="0"/>
          <w:pgNumType w:start="1" w:chapStyle="1"/>
          <w:cols w:space="720"/>
          <w:docGrid w:linePitch="360"/>
        </w:sectPr>
      </w:pPr>
      <w:r>
        <w:t>These appendices give supplemental reference tables for specific hazards that may be helpful to readers in assessing risk.</w:t>
      </w:r>
    </w:p>
    <w:p w14:paraId="32C81516" w14:textId="77777777" w:rsidR="000B5E2E" w:rsidRDefault="000B5E2E" w:rsidP="000B5E2E">
      <w:pPr>
        <w:pStyle w:val="Heading2"/>
      </w:pPr>
      <w:bookmarkStart w:id="27" w:name="_Toc208503150"/>
      <w:r>
        <w:lastRenderedPageBreak/>
        <w:t>References</w:t>
      </w:r>
      <w:bookmarkEnd w:id="27"/>
    </w:p>
    <w:p w14:paraId="11DADA33" w14:textId="77777777" w:rsidR="000B5E2E" w:rsidRPr="000B5E2E" w:rsidRDefault="000B5E2E" w:rsidP="000B5E2E">
      <w:r w:rsidRPr="000B5E2E">
        <w:t xml:space="preserve">Alaska Department of Fish and Game. Accessed 2024. </w:t>
      </w:r>
      <w:hyperlink r:id="rId27" w:history="1">
        <w:r w:rsidRPr="000B5E2E">
          <w:rPr>
            <w:rStyle w:val="Hyperlink"/>
          </w:rPr>
          <w:t>https://www.adfg.alaska.gov/index.cfm?adfg=fishingaquaticfarming.aquaticfarminfo_aquaticplants</w:t>
        </w:r>
      </w:hyperlink>
      <w:r w:rsidRPr="000B5E2E">
        <w:t> </w:t>
      </w:r>
    </w:p>
    <w:p w14:paraId="13F18609" w14:textId="77777777" w:rsidR="000B5E2E" w:rsidRPr="000B5E2E" w:rsidRDefault="000B5E2E" w:rsidP="000B5E2E">
      <w:r w:rsidRPr="000B5E2E">
        <w:t>Ali, O., Ramsubhag, A., &amp; Jayaraman, J. (2021). Biostimulant properties of seaweed extracts in plants: Implications toward sustainable crop production. Plants, 10(3), 531.</w:t>
      </w:r>
    </w:p>
    <w:p w14:paraId="33AFC0E4" w14:textId="77777777" w:rsidR="000B5E2E" w:rsidRPr="000B5E2E" w:rsidRDefault="000B5E2E" w:rsidP="000B5E2E">
      <w:r w:rsidRPr="000B5E2E">
        <w:t>Akomea-Frempong, S., Skonberg, D. I., Camire, M. E., &amp; Perry, J. J. (2021). Impact of blanching, freezing, and fermentation on physicochemical, microbial, and sensory quality of sugar kelp (Saccharina latissima). Foods, 10(10), 2258.</w:t>
      </w:r>
    </w:p>
    <w:p w14:paraId="7887B873" w14:textId="4BF42919" w:rsidR="000B5E2E" w:rsidRPr="000B5E2E" w:rsidRDefault="000B5E2E" w:rsidP="000B5E2E">
      <w:r w:rsidRPr="000B5E2E">
        <w:t xml:space="preserve">Cai, J., Lovatelli, A., Aguilar-Manjarrez, J., Cornish, L., Dabbadie, L., Desrochers, A., Diffey, S., Garrido Gamarro, E., Geehan, J., Hurtado, A., Lucente, D., Mair, G., Miao, W., Potin, P., Przybyla, C., Reantaso, M., Roubach, R., Tauati, M. &amp; Yuan, X. 2021. Seaweeds and microalgae: an overview for unlocking their potential in global aquaculture development. FAO Fisheries and Aquaculture Circular No. 1229. Rome, FAO. </w:t>
      </w:r>
      <w:hyperlink r:id="rId28" w:history="1">
        <w:r w:rsidRPr="000B5E2E">
          <w:rPr>
            <w:rStyle w:val="Hyperlink"/>
          </w:rPr>
          <w:t>https://doi.org/10.4060/cb5670en</w:t>
        </w:r>
      </w:hyperlink>
    </w:p>
    <w:p w14:paraId="09BC1AE0" w14:textId="77777777" w:rsidR="000B5E2E" w:rsidRPr="000B5E2E" w:rsidRDefault="000B5E2E" w:rsidP="000B5E2E">
      <w:r w:rsidRPr="000B5E2E">
        <w:t>Choi, J. S., Lee, B. B., An, S. J., Sohn, J. H., Cho, K. K., &amp; Choi, I. S. (2012). Simple freezing and thawing protocol for long-term storage of harvested fresh Undaria pinnatifida. Fisheries science, 78, 1117-1123.</w:t>
      </w:r>
    </w:p>
    <w:p w14:paraId="105FCA09" w14:textId="77777777" w:rsidR="000B5E2E" w:rsidRPr="000B5E2E" w:rsidRDefault="000B5E2E" w:rsidP="000B5E2E">
      <w:r w:rsidRPr="000B5E2E">
        <w:t>Chung, I. K., Oak, J. H., Lee, J. A., et al. (2011). Using marine macroalgae for carbon sequestration and mitigation of climate change. Journal of Applied Phycology, 23, 877–886.</w:t>
      </w:r>
    </w:p>
    <w:p w14:paraId="45D679C2" w14:textId="70D98556" w:rsidR="000B5E2E" w:rsidRPr="000B5E2E" w:rsidRDefault="000B5E2E" w:rsidP="000B5E2E">
      <w:r w:rsidRPr="000B5E2E">
        <w:t xml:space="preserve">Craigie, J. S. (2011). Seaweed extract biostimulants: A review of the effects of seaweed extracts on plant growth. Journal of Applied Phycology, 23(3), 307-321. </w:t>
      </w:r>
      <w:hyperlink r:id="rId29" w:history="1">
        <w:r w:rsidRPr="000B5E2E">
          <w:rPr>
            <w:rStyle w:val="Hyperlink"/>
          </w:rPr>
          <w:t>https://doi.org/10.1007/s10811-010-9574-2</w:t>
        </w:r>
      </w:hyperlink>
    </w:p>
    <w:p w14:paraId="5009F40C" w14:textId="77777777" w:rsidR="000B5E2E" w:rsidRPr="000B5E2E" w:rsidRDefault="000B5E2E" w:rsidP="000B5E2E">
      <w:r w:rsidRPr="000B5E2E">
        <w:t xml:space="preserve">CT Department of Agriculture. (2025) Seaweed Raw Agricultural Commodity Hazards Guide 2025. </w:t>
      </w:r>
      <w:hyperlink r:id="rId30" w:history="1">
        <w:r w:rsidRPr="000B5E2E">
          <w:rPr>
            <w:rStyle w:val="Hyperlink"/>
          </w:rPr>
          <w:t>https://portal.ct.gov/DOAG/Aquaculture1/Aquaculture/Seaweed</w:t>
        </w:r>
      </w:hyperlink>
    </w:p>
    <w:p w14:paraId="28E451C5" w14:textId="77777777" w:rsidR="000B5E2E" w:rsidRPr="000B5E2E" w:rsidRDefault="000B5E2E" w:rsidP="000B5E2E">
      <w:r w:rsidRPr="000B5E2E">
        <w:t>FAO and WHO. 2022. Report of the expert meeting on food safety for seaweed – Current status and future perspectives. Rome, 28–29 0ctober 2021. Food Safety and Quality Series No. 13. Rome. https://doi.org/10.4060/cc0846en</w:t>
      </w:r>
    </w:p>
    <w:p w14:paraId="5A21AB23" w14:textId="77777777" w:rsidR="000B5E2E" w:rsidRPr="000B5E2E" w:rsidRDefault="000B5E2E" w:rsidP="000B5E2E">
      <w:r w:rsidRPr="000B5E2E">
        <w:t>USFDA (2001, 2003). Generally Recognized as Safe (GRAS) Guidelines. U.S. Food and Drug Administration.</w:t>
      </w:r>
    </w:p>
    <w:p w14:paraId="58AF3CDF" w14:textId="77777777" w:rsidR="000B5E2E" w:rsidRPr="000B5E2E" w:rsidRDefault="000B5E2E" w:rsidP="000B5E2E">
      <w:r w:rsidRPr="000B5E2E">
        <w:t>Fleurence, J. (1999). Seaweed in human nutrition: Composition and health benefits. Trends in Food Science &amp; Technology, 10(5), 118-128.</w:t>
      </w:r>
    </w:p>
    <w:p w14:paraId="55BF2B13" w14:textId="77777777" w:rsidR="000B5E2E" w:rsidRPr="000B5E2E" w:rsidRDefault="000B5E2E" w:rsidP="000B5E2E">
      <w:r w:rsidRPr="000B5E2E">
        <w:lastRenderedPageBreak/>
        <w:t>Fourest, E., &amp; Volesky, B. (1997). Removal of heavy metals by biosorption: A review. Biological Waste, 25(1), 51-67. https://doi.org/10.1016/S0269-7483(96)01085-6</w:t>
      </w:r>
    </w:p>
    <w:p w14:paraId="21E45F9B" w14:textId="77777777" w:rsidR="000B5E2E" w:rsidRPr="000B5E2E" w:rsidRDefault="000B5E2E" w:rsidP="000B5E2E">
      <w:r w:rsidRPr="000B5E2E">
        <w:t>Fujiwara-Arasaki, A., Dewa, M., &amp; Kubota, A. (1984). Nutritional properties of seaweeds. Journal of the Japanese Society of Food Science and Technology, 31(6), 403-409.</w:t>
      </w:r>
    </w:p>
    <w:p w14:paraId="51347FC5" w14:textId="77777777" w:rsidR="000B5E2E" w:rsidRPr="000B5E2E" w:rsidRDefault="000B5E2E" w:rsidP="000B5E2E">
      <w:r w:rsidRPr="000B5E2E">
        <w:t>García‐Vaquero, M. (2018). Seaweed proteins and applications in animal feed. Novel Proteins for Food, Pharmaceuticals and Agriculture: Sources, Applications and Advances, 139-161.</w:t>
      </w:r>
    </w:p>
    <w:p w14:paraId="661686D3" w14:textId="77777777" w:rsidR="000B5E2E" w:rsidRPr="000B5E2E" w:rsidRDefault="000B5E2E" w:rsidP="000B5E2E">
      <w:r w:rsidRPr="000B5E2E">
        <w:t>Getchis, T.L., Lopez, R., Laughton, C. &amp; A. Zhang. 2024. The State and Economic Contribution of Connecticut's Aquaculture Sector. 24pp.</w:t>
      </w:r>
    </w:p>
    <w:p w14:paraId="093F39D4" w14:textId="36DE9A6C" w:rsidR="000B5E2E" w:rsidRPr="000B5E2E" w:rsidRDefault="000B5E2E" w:rsidP="000B5E2E">
      <w:r w:rsidRPr="000B5E2E">
        <w:t xml:space="preserve">Global Seafood Alliance, Responsible Seafood Advocate. Maine seaweed-farming network harvests a record 1.3 million pounds in 2024. July 8, 2024. </w:t>
      </w:r>
      <w:hyperlink r:id="rId31" w:history="1">
        <w:r w:rsidRPr="000B5E2E">
          <w:rPr>
            <w:rStyle w:val="Hyperlink"/>
          </w:rPr>
          <w:t>https://www.globalseafood.org/advocate/maine-seaweed-farming-network-harvests-a-record-1-3-million-pounds-in-2024/</w:t>
        </w:r>
      </w:hyperlink>
    </w:p>
    <w:p w14:paraId="599A2014" w14:textId="63DD2B9A" w:rsidR="000B5E2E" w:rsidRPr="000B5E2E" w:rsidRDefault="000B5E2E" w:rsidP="000B5E2E">
      <w:r w:rsidRPr="000B5E2E">
        <w:t xml:space="preserve">Gupta, R. (2025). Global and North American edible seaweed market forecast, 2023-2032. Market Insights Reports. Market Research Future. </w:t>
      </w:r>
      <w:hyperlink r:id="rId32" w:history="1">
        <w:r w:rsidRPr="000B5E2E">
          <w:rPr>
            <w:rStyle w:val="Hyperlink"/>
          </w:rPr>
          <w:t>https://www.marketresearchfuture.com/reports/edible-seaweeds-market-27267</w:t>
        </w:r>
      </w:hyperlink>
    </w:p>
    <w:p w14:paraId="08CD8399" w14:textId="77777777" w:rsidR="000B5E2E" w:rsidRPr="000B5E2E" w:rsidRDefault="000B5E2E" w:rsidP="000B5E2E">
      <w:r w:rsidRPr="000B5E2E">
        <w:t>Gusman, J. L. (2003). Seaweed and its benefits: From the kitchen to the health sector. Health Press.</w:t>
      </w:r>
    </w:p>
    <w:p w14:paraId="4F3E4060" w14:textId="77777777" w:rsidR="000B5E2E" w:rsidRPr="000B5E2E" w:rsidRDefault="000B5E2E" w:rsidP="000B5E2E">
      <w:r w:rsidRPr="000B5E2E">
        <w:t>Hanisak, M. D. (1998). Seaweed farming in the United States: Current status and opportunities for the future. Journal of Applied Phycology, 10(4), 375-383.</w:t>
      </w:r>
    </w:p>
    <w:p w14:paraId="22387AC5" w14:textId="77777777" w:rsidR="000B5E2E" w:rsidRPr="000B5E2E" w:rsidRDefault="000B5E2E" w:rsidP="000B5E2E">
      <w:r w:rsidRPr="000B5E2E">
        <w:t>Huang, L., Lee, J. Y., Park, Y. K., &amp; Lee, J. (2025). Heavy metals in seaweed: Implications for health benefits, risks, and safety regulations. Journal of Agriculture and Food Research, 21, 101830.</w:t>
      </w:r>
    </w:p>
    <w:p w14:paraId="6BCA8D83" w14:textId="77777777" w:rsidR="000B5E2E" w:rsidRPr="000B5E2E" w:rsidRDefault="000B5E2E" w:rsidP="000B5E2E">
      <w:r w:rsidRPr="000B5E2E">
        <w:t xml:space="preserve">Khan, M. M., Haruna, I., &amp; Reza, M. (2022). Mycosporine-like amino acids from seaweed: UV protection and applications. Environmental Toxicology and Pharmacology, 75, 103442. </w:t>
      </w:r>
      <w:hyperlink r:id="rId33" w:history="1">
        <w:r w:rsidRPr="000B5E2E">
          <w:rPr>
            <w:rStyle w:val="Hyperlink"/>
          </w:rPr>
          <w:t>https://doi.org/10.1016/j.etap.2022.103442</w:t>
        </w:r>
      </w:hyperlink>
    </w:p>
    <w:p w14:paraId="54A3D266" w14:textId="77777777" w:rsidR="000B5E2E" w:rsidRPr="000B5E2E" w:rsidRDefault="000B5E2E" w:rsidP="000B5E2E">
      <w:r w:rsidRPr="000B5E2E">
        <w:t xml:space="preserve">Kim, S. K., &amp; Wijesekara, I. (2010). Fucoidans as a bioactive ingredient in functional foods. Advances in Food and Nutrition Research, 60, 167-187. </w:t>
      </w:r>
      <w:hyperlink r:id="rId34" w:history="1">
        <w:r w:rsidRPr="000B5E2E">
          <w:rPr>
            <w:rStyle w:val="Hyperlink"/>
          </w:rPr>
          <w:t>https://doi.org/10.1016/j.jff.2010.01.003</w:t>
        </w:r>
      </w:hyperlink>
    </w:p>
    <w:p w14:paraId="2BCB7DFB" w14:textId="77777777" w:rsidR="000B5E2E" w:rsidRPr="000B5E2E" w:rsidRDefault="000B5E2E" w:rsidP="000B5E2E">
      <w:r w:rsidRPr="000B5E2E">
        <w:t>Kraan, S. (2010). Seaweed as a feedstock for biofuels and other renewable energy sources. Biotechnology Advances, 28(6), 701-707. https://doi.org/10.1016/j.biotechadv.2010.08.006</w:t>
      </w:r>
    </w:p>
    <w:p w14:paraId="38ACC161" w14:textId="77777777" w:rsidR="000B5E2E" w:rsidRPr="000B5E2E" w:rsidRDefault="000B5E2E" w:rsidP="000B5E2E">
      <w:r w:rsidRPr="000B5E2E">
        <w:t>MacArtain, P., M. J. Gill, &amp; P. H. McMahon. (2007). Nutritional composition of edible seaweeds. Food Chemistry, 103(2), 450-454. https://doi.org/10.1016/j.foodchem.2006.09.02.</w:t>
      </w:r>
    </w:p>
    <w:p w14:paraId="56836CBF" w14:textId="77777777" w:rsidR="000B5E2E" w:rsidRPr="000B5E2E" w:rsidRDefault="000B5E2E" w:rsidP="000B5E2E">
      <w:r w:rsidRPr="000B5E2E">
        <w:lastRenderedPageBreak/>
        <w:t>Maiorano, G., Ramires, F. A., Durante, M., Palamà, I. E., Blando, F., De Rinaldis, G., ... &amp; Bleve, G. (2022). The controlled semi-solid fermentation of seaweeds as a strategy for their stabilization and new food applications. Foods, 11(18), 2811.</w:t>
      </w:r>
    </w:p>
    <w:p w14:paraId="0AEFB24F" w14:textId="77777777" w:rsidR="000B5E2E" w:rsidRPr="000B5E2E" w:rsidRDefault="000B5E2E" w:rsidP="000B5E2E">
      <w:r w:rsidRPr="000B5E2E">
        <w:t>McHugh, D. J. (2003). A guide to the seaweed industry. FAO Fisheries Technical Paper No. 441. FAO, Rome.</w:t>
      </w:r>
    </w:p>
    <w:p w14:paraId="289828CA" w14:textId="77777777" w:rsidR="000B5E2E" w:rsidRPr="000B5E2E" w:rsidRDefault="000B5E2E" w:rsidP="000B5E2E">
      <w:r w:rsidRPr="000B5E2E">
        <w:t xml:space="preserve">Monteiro, P. et al. (2022). Seaweed as Food: How to Guarantee Their Quality?. In: Ranga Rao, A., Ravishankar, G.A. (eds) Sustainable Global Resources of Seaweeds Volume 2. Springer, Cham. </w:t>
      </w:r>
      <w:hyperlink r:id="rId35" w:history="1">
        <w:r w:rsidRPr="000B5E2E">
          <w:rPr>
            <w:rStyle w:val="Hyperlink"/>
          </w:rPr>
          <w:t>https://doi.org/10.1007/978-3-030-92174-3_16</w:t>
        </w:r>
      </w:hyperlink>
    </w:p>
    <w:p w14:paraId="706187AD" w14:textId="77777777" w:rsidR="000B5E2E" w:rsidRPr="000B5E2E" w:rsidRDefault="000B5E2E" w:rsidP="000B5E2E">
      <w:r w:rsidRPr="000B5E2E">
        <w:t>Morone, P., et al. (2020). Seaweed bioplastics: A sustainable alternative for a plastic-free future. Sustainability, 12(18), 7569.</w:t>
      </w:r>
    </w:p>
    <w:p w14:paraId="689EDDD3" w14:textId="77777777" w:rsidR="000B5E2E" w:rsidRPr="000B5E2E" w:rsidRDefault="000B5E2E" w:rsidP="000B5E2E">
      <w:r w:rsidRPr="000B5E2E">
        <w:t>NACS (North America Commercial Seaweeds) Market Growth Analysis, 2025: Forecast Trends, Market Size, Share and Outlook (2025-2034). https://www.expertmarketresearch.com/reports/north-america-commercial-seaweeds-market.</w:t>
      </w:r>
    </w:p>
    <w:p w14:paraId="31B0C9BC" w14:textId="14D6F528" w:rsidR="000B5E2E" w:rsidRPr="000B5E2E" w:rsidRDefault="000B5E2E" w:rsidP="000B5E2E">
      <w:r w:rsidRPr="00A6492C">
        <w:rPr>
          <w:lang w:val="es-ES"/>
        </w:rPr>
        <w:t xml:space="preserve">Ngo, D. H., &amp; Kim, S.K. (2013). </w:t>
      </w:r>
      <w:r w:rsidRPr="000B5E2E">
        <w:t xml:space="preserve">Sulfated polysaccharides as bioactive agents from marine algae. International Journal of Biological Macromolecules, 49, 345–354. </w:t>
      </w:r>
      <w:hyperlink r:id="rId36" w:history="1">
        <w:r w:rsidRPr="000B5E2E">
          <w:rPr>
            <w:rStyle w:val="Hyperlink"/>
          </w:rPr>
          <w:t>https://doi.org/10.1016/j.ijbiomac.2013.08.036</w:t>
        </w:r>
      </w:hyperlink>
    </w:p>
    <w:p w14:paraId="66380238" w14:textId="77777777" w:rsidR="000B5E2E" w:rsidRPr="000B5E2E" w:rsidRDefault="000B5E2E" w:rsidP="000B5E2E">
      <w:r w:rsidRPr="000B5E2E">
        <w:t>Pangestuti, R., &amp; Kim, S. K. (2011). Biological activities and health benefits of seaweed-derived bioactive compounds. Marine Drugs, 9, 81–83.</w:t>
      </w:r>
    </w:p>
    <w:p w14:paraId="0DB9FEC8" w14:textId="77777777" w:rsidR="000B5E2E" w:rsidRPr="000B5E2E" w:rsidRDefault="000B5E2E" w:rsidP="000B5E2E">
      <w:r w:rsidRPr="000B5E2E">
        <w:t>Pérez-Lloréns, J. L. (2019). Seaweed consumption in the Americas. Gastronomica, 19(4), 49-59.</w:t>
      </w:r>
    </w:p>
    <w:p w14:paraId="336FE95E" w14:textId="77777777" w:rsidR="000B5E2E" w:rsidRPr="000B5E2E" w:rsidRDefault="000B5E2E" w:rsidP="000B5E2E">
      <w:r w:rsidRPr="000B5E2E">
        <w:t>Piconi, p. Veidenheimer, R. and Chase, B. 2020. Edible Seaweed Market Analysis. Island Institute.</w:t>
      </w:r>
    </w:p>
    <w:p w14:paraId="67588327" w14:textId="1587C3CB" w:rsidR="000B5E2E" w:rsidRPr="000B5E2E" w:rsidRDefault="000B5E2E" w:rsidP="000B5E2E">
      <w:r w:rsidRPr="000B5E2E">
        <w:t xml:space="preserve">Rajapakse, N., &amp; Kim, S. K. (2011). Health benefits of seaweed: A review. Environmental Toxicology and Pharmacology, 32(1), 1-18. </w:t>
      </w:r>
      <w:hyperlink r:id="rId37" w:history="1">
        <w:r w:rsidRPr="000B5E2E">
          <w:rPr>
            <w:rStyle w:val="Hyperlink"/>
          </w:rPr>
          <w:t>https://doi.org/10.1016/j.etap.2011.04.009</w:t>
        </w:r>
      </w:hyperlink>
    </w:p>
    <w:p w14:paraId="49AC5E5C" w14:textId="77777777" w:rsidR="000B5E2E" w:rsidRPr="000B5E2E" w:rsidRDefault="000B5E2E" w:rsidP="000B5E2E">
      <w:r w:rsidRPr="000B5E2E">
        <w:t>Rathore, H. S., et al. (2009). Seaweed extracts as biofertilizers. Applied Biological Research, 51(1), 56-63.</w:t>
      </w:r>
    </w:p>
    <w:p w14:paraId="74ACDE8A" w14:textId="77777777" w:rsidR="000B5E2E" w:rsidRPr="000B5E2E" w:rsidRDefault="000B5E2E" w:rsidP="000B5E2E">
      <w:r w:rsidRPr="000B5E2E">
        <w:t>Santhoshkumar, P., Yoha, K. S., &amp; Moses, J. A. (2023). Drying of seaweed: Approaches, challenges and research needs. Trends in Food Science &amp; Technology, 138, 153-163.</w:t>
      </w:r>
    </w:p>
    <w:p w14:paraId="0FD5C38D" w14:textId="146F086F" w:rsidR="000B5E2E" w:rsidRDefault="000B5E2E" w:rsidP="000B5E2E">
      <w:r w:rsidRPr="000B5E2E">
        <w:t>Zhang, J., Langford, Z., &amp; Waldron, S. (2023). The global carrageenan industry. In Globalisation and Livelihood Transformations in the Indonesian Seaweed Industry (pp. 23-50). Routledge.</w:t>
      </w:r>
    </w:p>
    <w:p w14:paraId="39467D3C" w14:textId="77777777" w:rsidR="000B5E2E" w:rsidRDefault="000B5E2E" w:rsidP="000B5E2E"/>
    <w:p w14:paraId="3D65716C" w14:textId="65AC1D8D" w:rsidR="000B5E2E" w:rsidRPr="000B5E2E" w:rsidRDefault="000B5E2E" w:rsidP="000B5E2E">
      <w:pPr>
        <w:sectPr w:rsidR="000B5E2E" w:rsidRPr="000B5E2E" w:rsidSect="000B5E2E">
          <w:pgSz w:w="12240" w:h="15840"/>
          <w:pgMar w:top="1440" w:right="1440" w:bottom="1440" w:left="1440" w:header="720" w:footer="720" w:gutter="0"/>
          <w:pgNumType w:chapStyle="1"/>
          <w:cols w:space="720"/>
          <w:docGrid w:linePitch="360"/>
        </w:sectPr>
      </w:pPr>
    </w:p>
    <w:p w14:paraId="6595C2F7" w14:textId="2038CCC0" w:rsidR="004665CD" w:rsidRPr="00057061" w:rsidRDefault="00A839A8" w:rsidP="00691E23">
      <w:pPr>
        <w:pStyle w:val="Heading1"/>
      </w:pPr>
      <w:bookmarkStart w:id="28" w:name="_Seaweed_Regulations_and"/>
      <w:bookmarkStart w:id="29" w:name="_Toc208503151"/>
      <w:bookmarkStart w:id="30" w:name="_Toc210042851"/>
      <w:bookmarkEnd w:id="28"/>
      <w:r w:rsidRPr="00057061">
        <w:lastRenderedPageBreak/>
        <w:t>Seaweed Regulations and General Guidance</w:t>
      </w:r>
      <w:bookmarkEnd w:id="29"/>
      <w:bookmarkEnd w:id="30"/>
    </w:p>
    <w:p w14:paraId="47E27C86" w14:textId="17979547" w:rsidR="00A839A8" w:rsidRPr="00057061" w:rsidRDefault="00A839A8" w:rsidP="00441BE0">
      <w:pPr>
        <w:pStyle w:val="Heading2"/>
      </w:pPr>
      <w:bookmarkStart w:id="31" w:name="_Toc208503152"/>
      <w:r w:rsidRPr="00057061">
        <w:t>Introduction</w:t>
      </w:r>
      <w:bookmarkEnd w:id="31"/>
    </w:p>
    <w:p w14:paraId="20329C9E" w14:textId="6C9CB7E8" w:rsidR="00A839A8" w:rsidRDefault="00A839A8" w:rsidP="00A839A8">
      <w:r>
        <w:t xml:space="preserve">As mentioned in </w:t>
      </w:r>
      <w:hyperlink w:anchor="_Introduction_and_Background" w:history="1">
        <w:r w:rsidRPr="002033A6">
          <w:rPr>
            <w:rStyle w:val="Hyperlink"/>
          </w:rPr>
          <w:t>Chapter 1</w:t>
        </w:r>
      </w:hyperlink>
      <w:r>
        <w:t xml:space="preserve">, seaweed has many uses. However, this chapter focuses solely on the regulation of seaweed as a human food on the federal level. Federal laws and regulations have specific definitions for certain terms that may differ from general understanding of these terms. These specific definitions will be noted and placed in </w:t>
      </w:r>
      <w:r w:rsidRPr="00A839A8">
        <w:rPr>
          <w:b/>
          <w:bCs/>
        </w:rPr>
        <w:t>bold</w:t>
      </w:r>
      <w:r>
        <w:t xml:space="preserve"> in the chapter. A full list of federal definitions will be provided at the end of the chapter.</w:t>
      </w:r>
    </w:p>
    <w:p w14:paraId="50AF09BA" w14:textId="1B0CD20A" w:rsidR="00A839A8" w:rsidRDefault="00A839A8" w:rsidP="00A839A8">
      <w:r>
        <w:t xml:space="preserve">How the U.S. Food &amp; Drug Administration (FDA) regulates seaweed as a human </w:t>
      </w:r>
      <w:hyperlink r:id="rId38" w:anchor="Food" w:history="1">
        <w:r w:rsidRPr="000A6B5D">
          <w:rPr>
            <w:rStyle w:val="Hyperlink"/>
          </w:rPr>
          <w:t>food</w:t>
        </w:r>
      </w:hyperlink>
      <w:r>
        <w:t xml:space="preserve"> source depends on whether the seaweed is in its raw, natural form or is a </w:t>
      </w:r>
      <w:r w:rsidRPr="009A0E23">
        <w:rPr>
          <w:i/>
          <w:iCs/>
        </w:rPr>
        <w:t>processed food</w:t>
      </w:r>
      <w:r w:rsidRPr="009A0E23">
        <w:t>.</w:t>
      </w:r>
      <w:r>
        <w:t xml:space="preserve"> Specifically, the FDA considers seaweed to be a </w:t>
      </w:r>
      <w:hyperlink w:anchor="RAC" w:tooltip="[regulatory term] Any food in its raw or natural state, including all fruits that are washed, colored, or otherwise treated in their unpeeled natural form prior to marketing." w:history="1">
        <w:r w:rsidRPr="0051253B">
          <w:rPr>
            <w:rStyle w:val="Hyperlink"/>
            <w:b/>
            <w:bCs/>
          </w:rPr>
          <w:t>raw agricultural commodity</w:t>
        </w:r>
      </w:hyperlink>
      <w:r>
        <w:t xml:space="preserve">, defined by federal law as “any food in its raw or natural state.” (refer to USFDA regulation 21 U.S.C. § 321(r) for more information). Seaweed in its natural state is regulated under the Food, Drug, and Cosmetic Act (FDCA), which means for federally regulatory purposes only uncooked, unprocessed seaweed is considered “raw.” While the FDCA or FDA regulations do not define what raw means, the FDCA does define what a </w:t>
      </w:r>
      <w:r w:rsidRPr="009A0E23">
        <w:rPr>
          <w:i/>
          <w:iCs/>
        </w:rPr>
        <w:t xml:space="preserve">processed food </w:t>
      </w:r>
      <w:r w:rsidRPr="009A0E23">
        <w:t>is</w:t>
      </w:r>
      <w:r>
        <w:t>. For example, dried or dehydrated seaweed is not considered raw, regardless of how the seaweed is dried or dehydrated.</w:t>
      </w:r>
      <w:r>
        <w:rPr>
          <w:rStyle w:val="FootnoteReference"/>
        </w:rPr>
        <w:footnoteReference w:id="1"/>
      </w:r>
      <w:r>
        <w:t xml:space="preserve"> Rather, dried or dehydrated seaweed falls under the definition of a </w:t>
      </w:r>
      <w:r w:rsidRPr="009A0E23">
        <w:rPr>
          <w:i/>
          <w:iCs/>
        </w:rPr>
        <w:t>processed food</w:t>
      </w:r>
      <w:r>
        <w:t>:</w:t>
      </w:r>
    </w:p>
    <w:p w14:paraId="6615047A" w14:textId="26F7B85B" w:rsidR="00A839A8" w:rsidRDefault="00A839A8" w:rsidP="00A839A8">
      <w:pPr>
        <w:ind w:left="720"/>
      </w:pPr>
      <w:r>
        <w:t>“…any food other than a raw agricultural commodity and includes any raw agricultural commodity that has been subject to processing, such as canning, cooking, freezing, dehydration, or milling.” 21 U.S.C. § 321(gg).</w:t>
      </w:r>
    </w:p>
    <w:p w14:paraId="4F59A957" w14:textId="0CF3A903" w:rsidR="00A839A8" w:rsidRDefault="00A839A8" w:rsidP="00A839A8">
      <w:r>
        <w:t>The FDA regulates processed seaweed under the following rules: FDCA, Food Safety Modernization Act (FSMA), and Part 117: Current Good Manufacturing Practice, Hazard Analysis, and Risk-Based Preventive Controls for Human Food (21 CFR Part 117 or PCHF Rule). This chapter will focus on the food safety requirements for raw, dried or dehydrated, and processed seaweed under the FDCA, FSMA, and 21 CFR Part 117.</w:t>
      </w:r>
    </w:p>
    <w:p w14:paraId="3DC25376" w14:textId="77777777" w:rsidR="00A839A8" w:rsidRDefault="00A839A8" w:rsidP="00A839A8">
      <w:r>
        <w:t>As you read, please keep the following points in mind:</w:t>
      </w:r>
    </w:p>
    <w:p w14:paraId="63E909BA" w14:textId="0D02B648" w:rsidR="00A839A8" w:rsidRDefault="00A839A8" w:rsidP="00846B8F">
      <w:pPr>
        <w:pStyle w:val="ListParagraph"/>
        <w:numPr>
          <w:ilvl w:val="0"/>
          <w:numId w:val="5"/>
        </w:numPr>
        <w:contextualSpacing w:val="0"/>
      </w:pPr>
      <w:r>
        <w:t xml:space="preserve">Currently, there is very little federal guidance specific to seaweed when it comes to food safety regulations. The FDA has not issued any seaweed-specific guidance. However, they do classify seaweed as a </w:t>
      </w:r>
      <w:r w:rsidRPr="0051253B">
        <w:rPr>
          <w:b/>
          <w:bCs/>
        </w:rPr>
        <w:t>raw agricultural commodity</w:t>
      </w:r>
      <w:r>
        <w:t xml:space="preserve">, which means that once seaweed is processed—such as dried, cut, or packaged—it becomes subject to the </w:t>
      </w:r>
      <w:r>
        <w:lastRenderedPageBreak/>
        <w:t>requirements of 21 CFR Part 117: Current Good Manufacturing Practice, Hazard Analysis, and Risk-Based Preventive Controls for Human Food. Because of this, this chapter will explain the key requirements under the FDCA, FSMA, and 21 CFR Part 117. However, it is still unclear exactly how the FDA will apply some of these regulations specifically to seaweed products.</w:t>
      </w:r>
    </w:p>
    <w:p w14:paraId="7E271CD4" w14:textId="77777777" w:rsidR="00A839A8" w:rsidRDefault="00A839A8" w:rsidP="00846B8F">
      <w:pPr>
        <w:pStyle w:val="ListParagraph"/>
        <w:numPr>
          <w:ilvl w:val="0"/>
          <w:numId w:val="4"/>
        </w:numPr>
        <w:contextualSpacing w:val="0"/>
      </w:pPr>
      <w:r>
        <w:t xml:space="preserve">The FDA has indicated in correspondence with the authors that in the context of 21 CFR Part 117, there is no distinction between dried seaweed and dehydrated seaweed. However, </w:t>
      </w:r>
      <w:r w:rsidRPr="009A0E23">
        <w:rPr>
          <w:i/>
          <w:iCs/>
        </w:rPr>
        <w:t>state regulators</w:t>
      </w:r>
      <w:r>
        <w:t xml:space="preserve"> may treat these types of seaweed differently. This underscores the importance of seaweed operations working with their applicable state regulators to understand any additional state requirements that go beyond how the FDA regulates seaweed under federal law.</w:t>
      </w:r>
    </w:p>
    <w:p w14:paraId="3D89DF4F" w14:textId="67375B16" w:rsidR="00A839A8" w:rsidRDefault="00A839A8" w:rsidP="00846B8F">
      <w:pPr>
        <w:pStyle w:val="ListParagraph"/>
        <w:numPr>
          <w:ilvl w:val="0"/>
          <w:numId w:val="4"/>
        </w:numPr>
        <w:contextualSpacing w:val="0"/>
      </w:pPr>
      <w:r>
        <w:t xml:space="preserve">Under FDA regulations, raw seaweed is not subject to the requirements of 21 CFR Part 117. Similarly, farms that </w:t>
      </w:r>
      <w:hyperlink w:anchor="DryingDehydrating" w:tooltip="The natural (sun or air drying) or mechanical (dehydrator, oven, freeze drying, etc.) removal of water from a food or food product to reduce the water available for microbial growth (Aw). A commonly used method of food preservation." w:history="1">
        <w:r w:rsidRPr="009A0E23">
          <w:rPr>
            <w:rStyle w:val="Hyperlink"/>
            <w:i/>
            <w:iCs/>
          </w:rPr>
          <w:t>dry or dehydrate</w:t>
        </w:r>
      </w:hyperlink>
      <w:r>
        <w:t xml:space="preserve"> their own seaweed are also not subject to Part 117. This exemption is tied to how the FDA defines a “farm” under 21 CFR Part 117, which will be explained in more </w:t>
      </w:r>
      <w:r w:rsidRPr="00BF5660">
        <w:t xml:space="preserve">detail </w:t>
      </w:r>
      <w:hyperlink w:anchor="_Raw_Seaweed:_Growers" w:history="1">
        <w:r w:rsidRPr="00BF5660">
          <w:rPr>
            <w:rStyle w:val="Hyperlink"/>
          </w:rPr>
          <w:t>later in this chapter</w:t>
        </w:r>
      </w:hyperlink>
      <w:r w:rsidR="00BF5660">
        <w:t xml:space="preserve">. </w:t>
      </w:r>
      <w:r w:rsidRPr="00BF5660">
        <w:t>Although</w:t>
      </w:r>
      <w:r>
        <w:t xml:space="preserve"> dried or dehydrated seaweed meets the definition of a processed food, if the drying or dehydration is done by the farm itself, the product remains exempt from Part 117. However, both raw and farm-dried seaweed are still regulated under federal law, as they must comply with the requirements of the FDCA. If the drying or dehydration is performed by a</w:t>
      </w:r>
      <w:r w:rsidRPr="009A0E23">
        <w:rPr>
          <w:i/>
          <w:iCs/>
        </w:rPr>
        <w:t xml:space="preserve"> facility</w:t>
      </w:r>
      <w:r>
        <w:t xml:space="preserve"> other than the farm, the seaweed is considered subject to 21 CFR Part 117.</w:t>
      </w:r>
    </w:p>
    <w:p w14:paraId="6D48C1EC" w14:textId="70A8460D" w:rsidR="00A839A8" w:rsidRDefault="00A839A8" w:rsidP="00846B8F">
      <w:pPr>
        <w:pStyle w:val="ListParagraph"/>
        <w:numPr>
          <w:ilvl w:val="0"/>
          <w:numId w:val="4"/>
        </w:numPr>
        <w:contextualSpacing w:val="0"/>
      </w:pPr>
      <w:r>
        <w:t>Smaller seaweed operations that meet the FDA’s definition of a “qualified facility” are subject to less strict requirements under 21 CFR Part 117. This chapter will explain what qualifies a business as a</w:t>
      </w:r>
      <w:r w:rsidRPr="009A0E23">
        <w:rPr>
          <w:i/>
          <w:iCs/>
        </w:rPr>
        <w:t xml:space="preserve"> qualified facility </w:t>
      </w:r>
      <w:r>
        <w:t xml:space="preserve">and outline the specific reduced requirements </w:t>
      </w:r>
      <w:hyperlink w:anchor="QualifiedFacilities" w:history="1">
        <w:r w:rsidRPr="000B3003">
          <w:rPr>
            <w:rStyle w:val="Hyperlink"/>
          </w:rPr>
          <w:t>later on</w:t>
        </w:r>
      </w:hyperlink>
      <w:r w:rsidRPr="000B3003">
        <w:t>.</w:t>
      </w:r>
    </w:p>
    <w:p w14:paraId="1B446DFA" w14:textId="77777777" w:rsidR="00A839A8" w:rsidRDefault="00A839A8" w:rsidP="00A839A8">
      <w:r>
        <w:t>States may choose to apply additional food safety rules to seaweed, particularly for products that are not covered by 21 CFR Part 117. For example, some states may require businesses that produce only raw seaweed to follow Seafood HACCP requirements. This highlights the importance of working closely with state regulators to ensure that seaweed operations understand and comply with both state and federal requirements. While this chapter will mention certain state-specific rules, these examples are not intended to cover all possible state regulations.</w:t>
      </w:r>
    </w:p>
    <w:p w14:paraId="02CE88C3" w14:textId="696C708A" w:rsidR="00A839A8" w:rsidRDefault="00A839A8" w:rsidP="00A839A8">
      <w:r>
        <w:t xml:space="preserve">Finally, this chapter is not meant to serve as a detailed explanation of all the requirements under 21 CFR Part 117. For a more in-depth understanding of these regulations, readers should refer to other resources, such as the FDA's </w:t>
      </w:r>
      <w:hyperlink r:id="rId39" w:history="1">
        <w:r w:rsidRPr="000B3003">
          <w:rPr>
            <w:rStyle w:val="Hyperlink"/>
            <w:i/>
            <w:iCs/>
          </w:rPr>
          <w:t xml:space="preserve">Draft Guidance for Industry: Hazard Analysis and </w:t>
        </w:r>
        <w:r w:rsidRPr="000B3003">
          <w:rPr>
            <w:rStyle w:val="Hyperlink"/>
            <w:i/>
            <w:iCs/>
          </w:rPr>
          <w:lastRenderedPageBreak/>
          <w:t>Risk-Based Preventive Controls for Human Food</w:t>
        </w:r>
      </w:hyperlink>
      <w:r>
        <w:t xml:space="preserve"> and the </w:t>
      </w:r>
      <w:hyperlink r:id="rId40" w:history="1">
        <w:r w:rsidRPr="000B3003">
          <w:rPr>
            <w:rStyle w:val="Hyperlink"/>
          </w:rPr>
          <w:t>Preventive Controls Food Safety Allianc</w:t>
        </w:r>
        <w:r w:rsidR="000B3003" w:rsidRPr="000B3003">
          <w:rPr>
            <w:rStyle w:val="Hyperlink"/>
          </w:rPr>
          <w:t>e (FSPCA)</w:t>
        </w:r>
      </w:hyperlink>
      <w:r>
        <w:t>.</w:t>
      </w:r>
    </w:p>
    <w:p w14:paraId="478E4D86" w14:textId="27F8E593" w:rsidR="00A839A8" w:rsidRDefault="00A839A8" w:rsidP="00441BE0">
      <w:pPr>
        <w:pStyle w:val="Heading2"/>
      </w:pPr>
      <w:bookmarkStart w:id="32" w:name="_Toc208503153"/>
      <w:r>
        <w:t>Food Safety Overview</w:t>
      </w:r>
      <w:bookmarkEnd w:id="32"/>
    </w:p>
    <w:p w14:paraId="21FB0DD4" w14:textId="3182C2D4" w:rsidR="00A839A8" w:rsidRDefault="0095024A" w:rsidP="00156E96">
      <w:pPr>
        <w:spacing w:before="240"/>
      </w:pPr>
      <w:r w:rsidRPr="0095024A">
        <w:t>As with all agricultural commodities, edible seaweed carries certain food safety risks that need to be managed. Federal and State agencies draft and enforce regulations to ensure this is done. In the United States, the FDA regulates the safety of raw, dried or dehydrated, and processed seaweed under the FDCA, FSMA, and 21 CFR Part 117.</w:t>
      </w:r>
    </w:p>
    <w:p w14:paraId="20EF0FE3" w14:textId="0184348F" w:rsidR="0095024A" w:rsidRDefault="0095024A" w:rsidP="00691E23">
      <w:pPr>
        <w:pStyle w:val="Heading3"/>
      </w:pPr>
      <w:bookmarkStart w:id="33" w:name="_Toc208503154"/>
      <w:r w:rsidRPr="0095024A">
        <w:t>Food, Drug, &amp; Cosmetic Act (FD&amp;C Act)</w:t>
      </w:r>
      <w:bookmarkEnd w:id="33"/>
    </w:p>
    <w:p w14:paraId="33355A0C" w14:textId="3FE0D46C" w:rsidR="0095024A" w:rsidRDefault="0095024A" w:rsidP="00156E96">
      <w:pPr>
        <w:spacing w:before="240"/>
      </w:pPr>
      <w:r>
        <w:t xml:space="preserve">All seaweed intended for human consumption is regulated under the Food, Drug, &amp; Cosmetic Act. This law prohibits the sale of </w:t>
      </w:r>
      <w:hyperlink r:id="rId41" w:anchor="Food" w:history="1">
        <w:r w:rsidRPr="000A6B5D">
          <w:rPr>
            <w:rStyle w:val="Hyperlink"/>
          </w:rPr>
          <w:t>food</w:t>
        </w:r>
      </w:hyperlink>
      <w:r>
        <w:t xml:space="preserve"> that is considered </w:t>
      </w:r>
      <w:r w:rsidR="00432EDF" w:rsidRPr="009A0E23">
        <w:rPr>
          <w:i/>
          <w:iCs/>
        </w:rPr>
        <w:t xml:space="preserve">adulterated </w:t>
      </w:r>
      <w:r w:rsidR="00432EDF">
        <w:t>meaning</w:t>
      </w:r>
      <w:r>
        <w:t xml:space="preserve"> it could be harmful or unsafe. Under the FD&amp;C, food can be considered adulterated in several situations, such as:</w:t>
      </w:r>
    </w:p>
    <w:p w14:paraId="20CC4325" w14:textId="517891FC" w:rsidR="0095024A" w:rsidRDefault="0095024A" w:rsidP="00846B8F">
      <w:pPr>
        <w:pStyle w:val="ListParagraph"/>
        <w:numPr>
          <w:ilvl w:val="0"/>
          <w:numId w:val="6"/>
        </w:numPr>
      </w:pPr>
      <w:r>
        <w:t>If it contains poisonous or deleterious (harmful) substances that could injure or make people sick, however, a food is not considered adulterated if the potentially harmful substance is not added to the food, and the amount is present at levels that are not generally harmful to health.</w:t>
      </w:r>
    </w:p>
    <w:p w14:paraId="5738B28A" w14:textId="616D1B1B" w:rsidR="0095024A" w:rsidRDefault="0095024A" w:rsidP="00846B8F">
      <w:pPr>
        <w:pStyle w:val="ListParagraph"/>
        <w:numPr>
          <w:ilvl w:val="0"/>
          <w:numId w:val="6"/>
        </w:numPr>
        <w:spacing w:before="240"/>
      </w:pPr>
      <w:r>
        <w:t>If it contains unsafe substances, including added poisonous or deleterious (harmful) substances, pesticide chemical residues, unsafe food additives, and unapproved animal drugs.</w:t>
      </w:r>
    </w:p>
    <w:p w14:paraId="352638A4" w14:textId="77777777" w:rsidR="0095024A" w:rsidRDefault="0095024A" w:rsidP="00846B8F">
      <w:pPr>
        <w:pStyle w:val="ListParagraph"/>
        <w:numPr>
          <w:ilvl w:val="0"/>
          <w:numId w:val="6"/>
        </w:numPr>
        <w:spacing w:before="240"/>
      </w:pPr>
      <w:r>
        <w:t>If the food is made from or contains rotten, decomposed, or otherwise spoiled material.</w:t>
      </w:r>
    </w:p>
    <w:p w14:paraId="1657C39F" w14:textId="77777777" w:rsidR="0095024A" w:rsidRDefault="0095024A" w:rsidP="00846B8F">
      <w:pPr>
        <w:pStyle w:val="ListParagraph"/>
        <w:numPr>
          <w:ilvl w:val="0"/>
          <w:numId w:val="6"/>
        </w:numPr>
        <w:spacing w:before="240"/>
      </w:pPr>
      <w:r>
        <w:t>If it is prepared, packed, or held in conditions that could lead to contamination or make it unsafe to eat.</w:t>
      </w:r>
    </w:p>
    <w:p w14:paraId="3FF86EA6" w14:textId="77777777" w:rsidR="0095024A" w:rsidRDefault="0095024A" w:rsidP="00846B8F">
      <w:pPr>
        <w:pStyle w:val="ListParagraph"/>
        <w:numPr>
          <w:ilvl w:val="0"/>
          <w:numId w:val="6"/>
        </w:numPr>
        <w:spacing w:before="240"/>
      </w:pPr>
      <w:r>
        <w:t>If it is held in a container that could make the food harmful. These rules apply to all seaweed sold as food in the U.S.</w:t>
      </w:r>
    </w:p>
    <w:p w14:paraId="11747CDF" w14:textId="007900BB" w:rsidR="0095024A" w:rsidRDefault="0095024A" w:rsidP="00156E96">
      <w:pPr>
        <w:spacing w:before="240"/>
      </w:pPr>
      <w:r>
        <w:t>Food is also considered adulterated if it is transported in a way that does not comply with the regulations for sanitary transportation practices, which can be found at 21 CFR § 1.900-1.934. This standard could be important when considering the transportation of seaweed from the farm to a farmers market, restaurant, or a processor. For example, a processor may require a grower or wild harvester to use clean vehicles when transporting seaweed to drying areas, to keep the seaweed covered during transport, and follow other practices that help prevent contamination of the seaweed.</w:t>
      </w:r>
    </w:p>
    <w:p w14:paraId="51E45757" w14:textId="24B571D8" w:rsidR="0095024A" w:rsidRDefault="0095024A" w:rsidP="00691E23">
      <w:pPr>
        <w:pStyle w:val="Heading3"/>
      </w:pPr>
      <w:bookmarkStart w:id="34" w:name="_Toc208503155"/>
      <w:r>
        <w:lastRenderedPageBreak/>
        <w:t>Food Safety Modernization Act (FSMA)</w:t>
      </w:r>
      <w:bookmarkEnd w:id="34"/>
    </w:p>
    <w:p w14:paraId="36C0B76A" w14:textId="3D1DC4E0" w:rsidR="0095024A" w:rsidRDefault="0095024A" w:rsidP="00156E96">
      <w:pPr>
        <w:spacing w:before="240"/>
      </w:pPr>
      <w:r>
        <w:t>Congress passed FSMA in 2011 to improve how food safety is managed in the United States. The law is structured to prevent food safety issues before they occur, instead of reacting to problems after the fact. Under FSMA, the FDA has a greater responsibility to oversee food safety including a legal requirement to focus on prevention, mandatory inspections and testing, and stronger authority to respond to food safety risks. Since FSMA became law, the FDA has created seven major rules to implement and enforce the Act, including 21 CFR Part 117.</w:t>
      </w:r>
    </w:p>
    <w:p w14:paraId="1A493B78" w14:textId="6CDD0690" w:rsidR="0095024A" w:rsidRDefault="0095024A" w:rsidP="0095024A">
      <w:r>
        <w:t xml:space="preserve">As explained earlier, the FDA considers seaweed a </w:t>
      </w:r>
      <w:hyperlink w:anchor="RAC" w:tooltip="[regulatory term] Any food in its raw or natural state, including all fruits that are washed, colored, or otherwise treated in their unpeeled natural form prior to marketing." w:history="1">
        <w:r w:rsidRPr="0051253B">
          <w:rPr>
            <w:rStyle w:val="Hyperlink"/>
          </w:rPr>
          <w:t>raw agricultural commodity</w:t>
        </w:r>
      </w:hyperlink>
      <w:r>
        <w:t>—and not a seafood or a plant.</w:t>
      </w:r>
      <w:r>
        <w:rPr>
          <w:rStyle w:val="FootnoteReference"/>
        </w:rPr>
        <w:footnoteReference w:id="2"/>
      </w:r>
      <w:r>
        <w:t xml:space="preserve"> This determination means that under FSMA, a seaweed </w:t>
      </w:r>
      <w:r w:rsidRPr="000B3003">
        <w:t xml:space="preserve">operation </w:t>
      </w:r>
      <w:r w:rsidRPr="000B3003">
        <w:rPr>
          <w:i/>
          <w:iCs/>
        </w:rPr>
        <w:t>could</w:t>
      </w:r>
      <w:r w:rsidRPr="000B3003">
        <w:t xml:space="preserve"> be</w:t>
      </w:r>
      <w:r>
        <w:t xml:space="preserve"> classified as a food facility. If so, they would need to register with the FDA and follow the regulations under 21 CFR Part 117.</w:t>
      </w:r>
    </w:p>
    <w:p w14:paraId="067B3BE5" w14:textId="7F937B94" w:rsidR="0095024A" w:rsidRDefault="0095024A" w:rsidP="0095024A">
      <w:r>
        <w:t>Under FSMA, operations that manufacture, process, pack, or hold food for human or animal consumption in the United States are required to register as a food facility with the FDA.</w:t>
      </w:r>
      <w:r>
        <w:rPr>
          <w:rStyle w:val="FootnoteReference"/>
        </w:rPr>
        <w:footnoteReference w:id="3"/>
      </w:r>
      <w:r>
        <w:t xml:space="preserve"> According to 21 CFR Part 117, a </w:t>
      </w:r>
      <w:r w:rsidRPr="009A0E23">
        <w:rPr>
          <w:i/>
          <w:iCs/>
        </w:rPr>
        <w:t>facility</w:t>
      </w:r>
      <w:r>
        <w:t xml:space="preserve"> is defined as “a domestic facility or foreign facility that is required to register” under FDCA Section 415.</w:t>
      </w:r>
      <w:r>
        <w:rPr>
          <w:rStyle w:val="FootnoteReference"/>
        </w:rPr>
        <w:footnoteReference w:id="4"/>
      </w:r>
      <w:r>
        <w:t xml:space="preserve"> The FDA’s facility registration rules provide more details on what qualifies as a </w:t>
      </w:r>
      <w:r w:rsidRPr="009A0E23">
        <w:rPr>
          <w:i/>
          <w:iCs/>
        </w:rPr>
        <w:t>facility:</w:t>
      </w:r>
    </w:p>
    <w:p w14:paraId="40B576BD" w14:textId="133716F3" w:rsidR="0095024A" w:rsidRDefault="00432EDF" w:rsidP="00156E96">
      <w:pPr>
        <w:spacing w:before="240"/>
        <w:ind w:left="720"/>
      </w:pPr>
      <w:r>
        <w:t>“…</w:t>
      </w:r>
      <w:r w:rsidR="0095024A">
        <w:t xml:space="preserve">any establishment, structure, or structures under one ownership at one general physical location, or, in the case of a mobile facility, traveling to multiple locations, that manufactures/processes, packs, or holds food for consumption in the United States. Transport vehicles are not facilities if they hold food only in the usual course of business as carriers. A facility may consist of one or more contiguous structures, and a single building may house more than one distinct facility if the facilities are under separate ownership. </w:t>
      </w:r>
      <w:r w:rsidR="0095024A" w:rsidRPr="009A0E23">
        <w:rPr>
          <w:i/>
          <w:iCs/>
        </w:rPr>
        <w:t>The private residence of an individual is not a facility</w:t>
      </w:r>
      <w:r w:rsidR="0095024A" w:rsidRPr="009A0E23">
        <w:t>….</w:t>
      </w:r>
      <w:r w:rsidRPr="009A0E23">
        <w:t>”</w:t>
      </w:r>
      <w:r w:rsidR="0095024A" w:rsidRPr="009A0E23">
        <w:rPr>
          <w:rStyle w:val="FootnoteReference"/>
        </w:rPr>
        <w:footnoteReference w:id="5"/>
      </w:r>
    </w:p>
    <w:p w14:paraId="41B0F34F" w14:textId="0C99137E" w:rsidR="0095024A" w:rsidRDefault="0095024A" w:rsidP="0095024A">
      <w:r>
        <w:t>Certain operations are exempt from the facility registration process, including farms (discussed more fully below), retail food establishments, and restaurants.</w:t>
      </w:r>
    </w:p>
    <w:p w14:paraId="41651B38" w14:textId="12C9654B" w:rsidR="0095024A" w:rsidRDefault="0095024A" w:rsidP="00691E23">
      <w:pPr>
        <w:pStyle w:val="Heading3"/>
      </w:pPr>
      <w:bookmarkStart w:id="35" w:name="_Toc208503156"/>
      <w:r>
        <w:lastRenderedPageBreak/>
        <w:t>21 CFR Part 117: Current Good Manufacturing Practices, Hazard Analysis, and Risk-Based Preventative Controls for Human Food Rule</w:t>
      </w:r>
      <w:bookmarkEnd w:id="35"/>
    </w:p>
    <w:p w14:paraId="6F04A22A" w14:textId="45D1DE74" w:rsidR="0095024A" w:rsidRDefault="006D17D6" w:rsidP="004A0EDE">
      <w:pPr>
        <w:spacing w:before="240"/>
      </w:pPr>
      <w:r>
        <w:t xml:space="preserve">The </w:t>
      </w:r>
      <w:r w:rsidR="0095024A">
        <w:t>FDA regulates seaweed under 21 CFR Part 117. The rule can be considered in two parts: requirements for Current</w:t>
      </w:r>
      <w:r w:rsidR="00F36835">
        <w:t xml:space="preserve"> </w:t>
      </w:r>
      <w:r w:rsidR="0095024A">
        <w:t>Good Manufacturing Practices (GMPs) and requirements for Hazard Analysis/Preventive Controls (PC).</w:t>
      </w:r>
    </w:p>
    <w:p w14:paraId="1FCE2024" w14:textId="6F2F526D" w:rsidR="0095024A" w:rsidRDefault="0095024A" w:rsidP="0095024A">
      <w:r>
        <w:t>Good Manufacturing Practices (GMPs) are basic standards that help ensure clean and sanitary conditions required in food production are maintained. GMPs are designed to protect food safety by defining controls for employee hygiene, how food facilities, grounds, and equipment are built and maintained, how the facility is cleaned, and how food is handled and processed during production.</w:t>
      </w:r>
      <w:r w:rsidR="004E65BB">
        <w:rPr>
          <w:rStyle w:val="FootnoteReference"/>
        </w:rPr>
        <w:footnoteReference w:id="6"/>
      </w:r>
      <w:r>
        <w:t xml:space="preserve"> The FDA first created these standards in 1969</w:t>
      </w:r>
      <w:r w:rsidR="004E65BB">
        <w:rPr>
          <w:rStyle w:val="FootnoteReference"/>
        </w:rPr>
        <w:footnoteReference w:id="7"/>
      </w:r>
      <w:r>
        <w:t xml:space="preserve">, which were updated in 2015 after FSMA was passed. More details about GMPs are provided in </w:t>
      </w:r>
      <w:hyperlink w:anchor="_Prerequisite_Programs" w:history="1">
        <w:r w:rsidRPr="002033A6">
          <w:rPr>
            <w:rStyle w:val="Hyperlink"/>
          </w:rPr>
          <w:t>Chapter 3</w:t>
        </w:r>
      </w:hyperlink>
      <w:r>
        <w:t>.</w:t>
      </w:r>
    </w:p>
    <w:p w14:paraId="41B3DAB9" w14:textId="1F6C5F05" w:rsidR="0095024A" w:rsidRDefault="0095024A" w:rsidP="0095024A">
      <w:r>
        <w:t xml:space="preserve">Under 21 CFR Part 117, a </w:t>
      </w:r>
      <w:r w:rsidRPr="009A0E23">
        <w:rPr>
          <w:i/>
          <w:iCs/>
        </w:rPr>
        <w:t>facility</w:t>
      </w:r>
      <w:r>
        <w:t xml:space="preserve"> must conduct and write a hazard analysis. This is a careful review of potential food safety risks in their operation. If any of the potential hazards are known or reasonably foreseeable in the facility's product or processes, the facility must then develop and implement PC—specific steps to reduce or eliminate those risks. Unless the operation qualifies as a “qualified facility” (explained below), every facility must have a written hazard analysis and food safety plan that includes the preventive measures it uses to manage the hazards identified. These documents must be made available to the FDA if requested either verbally or in writing. A trained individual, known as a </w:t>
      </w:r>
      <w:hyperlink w:anchor="PCQI" w:tooltip="A qualified individual who has successfully completed training in the development and application of risk-based preventive controls at least equivalent to that received under a standardized curriculum recognized as adequate by FDA" w:history="1">
        <w:r w:rsidRPr="00A5688B">
          <w:rPr>
            <w:rStyle w:val="Hyperlink"/>
            <w:b/>
            <w:bCs/>
          </w:rPr>
          <w:t>Preventive Controls Qualified Individual (PCQI)</w:t>
        </w:r>
      </w:hyperlink>
      <w:r>
        <w:t>, must prepare or oversee the preparation of the food safety plan.</w:t>
      </w:r>
      <w:r w:rsidR="00757F21">
        <w:rPr>
          <w:rStyle w:val="FootnoteReference"/>
        </w:rPr>
        <w:footnoteReference w:id="8"/>
      </w:r>
    </w:p>
    <w:p w14:paraId="4A37BE5F" w14:textId="3707F8E0" w:rsidR="0095024A" w:rsidRDefault="0095024A" w:rsidP="0095024A">
      <w:r>
        <w:t xml:space="preserve">However, smaller seaweed operations in the United States may meet the definition of a </w:t>
      </w:r>
      <w:r w:rsidRPr="009A0E23">
        <w:rPr>
          <w:i/>
          <w:iCs/>
        </w:rPr>
        <w:t>qualified facility</w:t>
      </w:r>
      <w:r>
        <w:t xml:space="preserve">, which means they are subject to modified requirements under 21 CFR Part 117. A </w:t>
      </w:r>
      <w:r w:rsidRPr="009A0E23">
        <w:rPr>
          <w:i/>
          <w:iCs/>
        </w:rPr>
        <w:t>qualified facility</w:t>
      </w:r>
      <w:r>
        <w:t xml:space="preserve"> still needs to have food safety management strategies in place, but they do not need to have these strategies written down in the same formal way as larger facilities. What counts as a </w:t>
      </w:r>
      <w:r w:rsidRPr="009A0E23">
        <w:rPr>
          <w:i/>
          <w:iCs/>
        </w:rPr>
        <w:t>qualified facility</w:t>
      </w:r>
      <w:r>
        <w:t xml:space="preserve">, and the specific modified requirements of 21 CFR Part 117 are explained later in the sections on </w:t>
      </w:r>
      <w:r w:rsidRPr="009A0E23">
        <w:rPr>
          <w:i/>
          <w:iCs/>
        </w:rPr>
        <w:t>processed food</w:t>
      </w:r>
      <w:r>
        <w:t>.</w:t>
      </w:r>
    </w:p>
    <w:p w14:paraId="49396A5A" w14:textId="56BE44A9" w:rsidR="00757F21" w:rsidRPr="00057061" w:rsidRDefault="00757F21" w:rsidP="00057061">
      <w:pPr>
        <w:pStyle w:val="Heading4"/>
      </w:pPr>
      <w:bookmarkStart w:id="36" w:name="_Toc208503157"/>
      <w:r w:rsidRPr="00057061">
        <w:t>Classifying Seaweed Under 21 CFR Part 117</w:t>
      </w:r>
      <w:bookmarkEnd w:id="36"/>
    </w:p>
    <w:p w14:paraId="6C3C6265" w14:textId="0E79FA0E" w:rsidR="00757F21" w:rsidRDefault="00757F21" w:rsidP="004A0EDE">
      <w:pPr>
        <w:spacing w:before="240"/>
      </w:pPr>
      <w:r>
        <w:t>How the FDA regulates seaweed under 21 CFR Part 117 depends on both the type of seaweed being produced and the size of the business, based on total seaweed sales. In general, 21 CFR Part 117 does not apply to:</w:t>
      </w:r>
    </w:p>
    <w:p w14:paraId="6397BEFD" w14:textId="1EE1D126" w:rsidR="00757F21" w:rsidRDefault="00757F21" w:rsidP="00846B8F">
      <w:pPr>
        <w:pStyle w:val="ListParagraph"/>
        <w:numPr>
          <w:ilvl w:val="0"/>
          <w:numId w:val="7"/>
        </w:numPr>
      </w:pPr>
      <w:r>
        <w:lastRenderedPageBreak/>
        <w:t xml:space="preserve">Seaweed sold as a </w:t>
      </w:r>
      <w:hyperlink w:anchor="RAC" w:tooltip="[regulatory term] Any food in its raw or natural state, including all fruits that are washed, colored, or otherwise treated in their unpeeled natural form prior to marketing." w:history="1">
        <w:r w:rsidRPr="0051253B">
          <w:rPr>
            <w:rStyle w:val="Hyperlink"/>
          </w:rPr>
          <w:t>raw agricultural commodity</w:t>
        </w:r>
      </w:hyperlink>
      <w:r>
        <w:t>; or</w:t>
      </w:r>
    </w:p>
    <w:p w14:paraId="4F86EB51" w14:textId="6D18745D" w:rsidR="00757F21" w:rsidRDefault="00757F21" w:rsidP="00846B8F">
      <w:pPr>
        <w:pStyle w:val="ListParagraph"/>
        <w:numPr>
          <w:ilvl w:val="0"/>
          <w:numId w:val="7"/>
        </w:numPr>
      </w:pPr>
      <w:r>
        <w:t>Seaweed processed, packed, or held through certain exempt activities done directly on the farm.</w:t>
      </w:r>
    </w:p>
    <w:p w14:paraId="05FE627D" w14:textId="77777777" w:rsidR="00757F21" w:rsidRDefault="00757F21" w:rsidP="004A0EDE">
      <w:pPr>
        <w:spacing w:before="240"/>
      </w:pPr>
      <w:r>
        <w:t xml:space="preserve">Seaweed operations that fall below certain sale thresholds may qualify as </w:t>
      </w:r>
      <w:r w:rsidRPr="009A0E23">
        <w:rPr>
          <w:i/>
          <w:iCs/>
        </w:rPr>
        <w:t>qualified facilities</w:t>
      </w:r>
      <w:r>
        <w:t xml:space="preserve"> and follow modified requirements. The specific requirements for raw, dried or dehydrated, and processed seaweed are explained in the sections below.</w:t>
      </w:r>
    </w:p>
    <w:p w14:paraId="0B1503A5" w14:textId="00323A44" w:rsidR="00757F21" w:rsidRDefault="00757F21" w:rsidP="00691E23">
      <w:pPr>
        <w:pStyle w:val="Heading4"/>
      </w:pPr>
      <w:r>
        <w:t>Raw Seaweed: Growers and Harvesters</w:t>
      </w:r>
    </w:p>
    <w:p w14:paraId="40398731" w14:textId="12A42E97" w:rsidR="00757F21" w:rsidRDefault="00757F21" w:rsidP="004A0EDE">
      <w:pPr>
        <w:spacing w:before="240"/>
      </w:pPr>
      <w:r>
        <w:t xml:space="preserve">The FDA considers whole, intact seaweed as a </w:t>
      </w:r>
      <w:hyperlink w:anchor="RAC" w:tooltip="[regulatory term] Any food in its raw or natural state, including all fruits that are washed, colored, or otherwise treated in their unpeeled natural form prior to marketing." w:history="1">
        <w:r w:rsidRPr="0051253B">
          <w:rPr>
            <w:rStyle w:val="Hyperlink"/>
            <w:b/>
            <w:bCs/>
          </w:rPr>
          <w:t>raw agricultural commodity (RAC)</w:t>
        </w:r>
      </w:hyperlink>
      <w:r w:rsidRPr="0051253B">
        <w:rPr>
          <w:b/>
          <w:bCs/>
        </w:rPr>
        <w:t>.</w:t>
      </w:r>
      <w:r>
        <w:t xml:space="preserve"> Growers and harvesters of RACs may meet the definition of a farm under 21 CFR 1.227. If the operation qualifies as a farm, it does NOT need to register with FDA and is exempt from 21 CFR Part 117. However, certain activities that might seem like processing (e.g., </w:t>
      </w:r>
      <w:hyperlink w:anchor="_Drying" w:tooltip="he natural (sun or air drying) or mechanical (dehydrator, oven, freeze drying, etc.) removal of water from a food or food product to reduce the water available for microbial growth (Aw). A commonly used method of food preservation." w:history="1">
        <w:r w:rsidRPr="008B17B7">
          <w:rPr>
            <w:rStyle w:val="Hyperlink"/>
          </w:rPr>
          <w:t>drying</w:t>
        </w:r>
      </w:hyperlink>
      <w:r>
        <w:t>), can still be allowed under the farm definition</w:t>
      </w:r>
      <w:r w:rsidR="009B5718">
        <w:rPr>
          <w:rStyle w:val="FootnoteReference"/>
        </w:rPr>
        <w:footnoteReference w:id="9"/>
      </w:r>
      <w:r>
        <w:t>, depending on how and where the activity is done.</w:t>
      </w:r>
    </w:p>
    <w:p w14:paraId="7A0429C1" w14:textId="74DFCCF2" w:rsidR="00757F21" w:rsidRDefault="00757F21" w:rsidP="00757F21">
      <w:r>
        <w:t xml:space="preserve">To determine whether this exemption applies, the operation must first determine if it meets the definition of a farm. The </w:t>
      </w:r>
      <w:r w:rsidRPr="009A0E23">
        <w:rPr>
          <w:i/>
          <w:iCs/>
        </w:rPr>
        <w:t>farm definition</w:t>
      </w:r>
      <w:r>
        <w:t xml:space="preserve"> </w:t>
      </w:r>
      <w:r w:rsidR="00432EDF">
        <w:t>includes</w:t>
      </w:r>
      <w:r>
        <w:t xml:space="preserve"> two types of farms: “primary production” farms and “secondary activities” farms.</w:t>
      </w:r>
    </w:p>
    <w:p w14:paraId="0CC2D1D8" w14:textId="7E1A285D" w:rsidR="00757F21" w:rsidRDefault="00757F21" w:rsidP="00846B8F">
      <w:pPr>
        <w:pStyle w:val="ListParagraph"/>
        <w:numPr>
          <w:ilvl w:val="0"/>
          <w:numId w:val="8"/>
        </w:numPr>
        <w:spacing w:before="240"/>
        <w:contextualSpacing w:val="0"/>
      </w:pPr>
      <w:r>
        <w:t xml:space="preserve">Primary </w:t>
      </w:r>
      <w:r w:rsidR="009B5718">
        <w:t>P</w:t>
      </w:r>
      <w:r>
        <w:t xml:space="preserve">roduction </w:t>
      </w:r>
      <w:r w:rsidR="009B5718">
        <w:t>F</w:t>
      </w:r>
      <w:r>
        <w:t xml:space="preserve">arms: </w:t>
      </w:r>
      <w:r w:rsidR="00432EDF">
        <w:t>A</w:t>
      </w:r>
      <w:r>
        <w:t>re farms under one management that focus on growing and harvesting crops (e.g., seaweed). All parts of the farm need to be in the same general location, but the location does not need to be contiguous</w:t>
      </w:r>
      <w:r w:rsidR="009B5718">
        <w:rPr>
          <w:rStyle w:val="FootnoteReference"/>
        </w:rPr>
        <w:footnoteReference w:id="10"/>
      </w:r>
      <w:r>
        <w:t xml:space="preserve"> (connected or directly next to each other).</w:t>
      </w:r>
    </w:p>
    <w:p w14:paraId="28F90158" w14:textId="19854C7D" w:rsidR="00757F21" w:rsidRDefault="00757F21" w:rsidP="00846B8F">
      <w:pPr>
        <w:pStyle w:val="ListParagraph"/>
        <w:numPr>
          <w:ilvl w:val="0"/>
          <w:numId w:val="8"/>
        </w:numPr>
        <w:spacing w:before="240"/>
        <w:contextualSpacing w:val="0"/>
      </w:pPr>
      <w:r>
        <w:t xml:space="preserve">Secondary </w:t>
      </w:r>
      <w:r w:rsidR="009B5718">
        <w:t>A</w:t>
      </w:r>
      <w:r>
        <w:t xml:space="preserve">ctivities </w:t>
      </w:r>
      <w:r w:rsidR="009B5718">
        <w:t>F</w:t>
      </w:r>
      <w:r>
        <w:t>arm</w:t>
      </w:r>
      <w:r w:rsidR="003D3C05">
        <w:t>s</w:t>
      </w:r>
      <w:r>
        <w:t xml:space="preserve">: </w:t>
      </w:r>
      <w:r w:rsidR="000A6B5D">
        <w:t>If</w:t>
      </w:r>
      <w:r>
        <w:t xml:space="preserve"> an operation that is not part of the primary production farm location but is used to harvest, pack, or hold raw agricultural commodities like seaweed. To qualify as a secondary production farm, the operation must be linked to the primary production farm that either:</w:t>
      </w:r>
    </w:p>
    <w:p w14:paraId="73B55772" w14:textId="24B30E6E" w:rsidR="00757F21" w:rsidRDefault="00757F21" w:rsidP="00846B8F">
      <w:pPr>
        <w:pStyle w:val="ListParagraph"/>
        <w:numPr>
          <w:ilvl w:val="1"/>
          <w:numId w:val="8"/>
        </w:numPr>
        <w:spacing w:before="240"/>
      </w:pPr>
      <w:r>
        <w:t>Grows, harvests, and/or raises the majority of the raw agricultural commodities harvested, packed, and/or held by the secondary activities farm; or</w:t>
      </w:r>
    </w:p>
    <w:p w14:paraId="0EE89F63" w14:textId="3ABF960F" w:rsidR="00757F21" w:rsidRDefault="00757F21" w:rsidP="00846B8F">
      <w:pPr>
        <w:pStyle w:val="ListParagraph"/>
        <w:numPr>
          <w:ilvl w:val="1"/>
          <w:numId w:val="8"/>
        </w:numPr>
        <w:spacing w:before="240"/>
      </w:pPr>
      <w:r>
        <w:t>It must jointly own a majority of the secondary activities farm itself.</w:t>
      </w:r>
      <w:r w:rsidR="009B5718">
        <w:rPr>
          <w:rStyle w:val="FootnoteReference"/>
        </w:rPr>
        <w:footnoteReference w:id="11"/>
      </w:r>
    </w:p>
    <w:p w14:paraId="525F521D" w14:textId="0D374CE5" w:rsidR="00757F21" w:rsidRDefault="00757F21" w:rsidP="00156E96">
      <w:pPr>
        <w:spacing w:before="240"/>
      </w:pPr>
      <w:r>
        <w:t xml:space="preserve">Even if a seaweed operation qualifies as a farm and is exempt from 21 CFR Part 117, it’s important to remember that </w:t>
      </w:r>
      <w:r w:rsidRPr="00757F21">
        <w:rPr>
          <w:b/>
          <w:bCs/>
        </w:rPr>
        <w:t>all seaweed businesses</w:t>
      </w:r>
      <w:r>
        <w:t xml:space="preserve">—whether growing, harvesting, transporting, or processing—are still legally responsible for ensuring their products are safe. All </w:t>
      </w:r>
      <w:r>
        <w:lastRenderedPageBreak/>
        <w:t>seaweed sold across state lines must comply with the FDCA, including rules that prevent adulterated (unsafe or contaminated) food from being sold.</w:t>
      </w:r>
    </w:p>
    <w:p w14:paraId="13B3BDA8" w14:textId="02805873" w:rsidR="00D63931" w:rsidRDefault="00D63931" w:rsidP="00691E23">
      <w:pPr>
        <w:pStyle w:val="Heading4"/>
      </w:pPr>
      <w:r>
        <w:t>Seaweed Dried or Dehydrated on the Farm</w:t>
      </w:r>
    </w:p>
    <w:p w14:paraId="468C5605" w14:textId="787A9DE2" w:rsidR="00D63931" w:rsidRDefault="00D63931" w:rsidP="00E93C64">
      <w:pPr>
        <w:spacing w:before="240" w:after="0"/>
      </w:pPr>
      <w:r w:rsidRPr="00D63931">
        <w:t>It is important to understand that farms may conduct limited manufacturing/processing activities and still be considered a farm under FDA rules. Some examples of these activities include:</w:t>
      </w:r>
    </w:p>
    <w:p w14:paraId="3B0E4B4A" w14:textId="77777777" w:rsidR="00D63931" w:rsidRDefault="00D63931" w:rsidP="00D63931">
      <w:pPr>
        <w:sectPr w:rsidR="00D63931" w:rsidSect="00B91D83">
          <w:pgSz w:w="12240" w:h="15840"/>
          <w:pgMar w:top="1440" w:right="1440" w:bottom="1440" w:left="1440" w:header="720" w:footer="720" w:gutter="0"/>
          <w:pgNumType w:start="1" w:chapStyle="1"/>
          <w:cols w:space="720"/>
          <w:docGrid w:linePitch="360"/>
        </w:sectPr>
      </w:pPr>
    </w:p>
    <w:p w14:paraId="29161EF9" w14:textId="4D135D32" w:rsidR="00D63931" w:rsidRDefault="00D63931" w:rsidP="00846B8F">
      <w:pPr>
        <w:pStyle w:val="ListParagraph"/>
        <w:numPr>
          <w:ilvl w:val="0"/>
          <w:numId w:val="9"/>
        </w:numPr>
        <w:spacing w:after="0"/>
        <w:ind w:left="2250"/>
        <w:contextualSpacing w:val="0"/>
      </w:pPr>
      <w:r>
        <w:t>Drying</w:t>
      </w:r>
    </w:p>
    <w:p w14:paraId="2C71919A" w14:textId="13B1933D" w:rsidR="00D63931" w:rsidRDefault="00D63931" w:rsidP="00846B8F">
      <w:pPr>
        <w:pStyle w:val="ListParagraph"/>
        <w:numPr>
          <w:ilvl w:val="0"/>
          <w:numId w:val="9"/>
        </w:numPr>
        <w:spacing w:after="0"/>
        <w:ind w:left="2250"/>
        <w:contextualSpacing w:val="0"/>
      </w:pPr>
      <w:r>
        <w:t>Dehydrating</w:t>
      </w:r>
    </w:p>
    <w:p w14:paraId="6CBB2757" w14:textId="4A188810" w:rsidR="00D63931" w:rsidRDefault="00D63931" w:rsidP="00846B8F">
      <w:pPr>
        <w:pStyle w:val="ListParagraph"/>
        <w:numPr>
          <w:ilvl w:val="0"/>
          <w:numId w:val="9"/>
        </w:numPr>
        <w:spacing w:after="0"/>
        <w:ind w:left="2250"/>
        <w:contextualSpacing w:val="0"/>
      </w:pPr>
      <w:r>
        <w:t>Labeling</w:t>
      </w:r>
    </w:p>
    <w:p w14:paraId="729DDB64" w14:textId="7A5C951C" w:rsidR="00D63931" w:rsidRDefault="00D63931" w:rsidP="00846B8F">
      <w:pPr>
        <w:pStyle w:val="ListParagraph"/>
        <w:numPr>
          <w:ilvl w:val="0"/>
          <w:numId w:val="9"/>
        </w:numPr>
        <w:spacing w:after="0"/>
        <w:ind w:left="2250"/>
        <w:contextualSpacing w:val="0"/>
      </w:pPr>
      <w:r>
        <w:t>Packaging</w:t>
      </w:r>
    </w:p>
    <w:p w14:paraId="159ADA13" w14:textId="0605C8F7" w:rsidR="00D63931" w:rsidRDefault="00D63931" w:rsidP="00846B8F">
      <w:pPr>
        <w:pStyle w:val="ListParagraph"/>
        <w:numPr>
          <w:ilvl w:val="0"/>
          <w:numId w:val="9"/>
        </w:numPr>
        <w:spacing w:after="0"/>
        <w:ind w:left="1080" w:right="1980"/>
        <w:contextualSpacing w:val="0"/>
      </w:pPr>
      <w:r>
        <w:t>Trimming</w:t>
      </w:r>
    </w:p>
    <w:p w14:paraId="131BD5F7" w14:textId="41E40DD3" w:rsidR="00D63931" w:rsidRDefault="00D63931" w:rsidP="00846B8F">
      <w:pPr>
        <w:pStyle w:val="ListParagraph"/>
        <w:numPr>
          <w:ilvl w:val="0"/>
          <w:numId w:val="9"/>
        </w:numPr>
        <w:spacing w:after="0"/>
        <w:ind w:left="1080" w:right="1980"/>
        <w:contextualSpacing w:val="0"/>
      </w:pPr>
      <w:r>
        <w:t>Washing</w:t>
      </w:r>
    </w:p>
    <w:p w14:paraId="62B589D0" w14:textId="6AE05448" w:rsidR="00D63931" w:rsidRDefault="00D63931" w:rsidP="00846B8F">
      <w:pPr>
        <w:pStyle w:val="ListParagraph"/>
        <w:numPr>
          <w:ilvl w:val="0"/>
          <w:numId w:val="9"/>
        </w:numPr>
        <w:spacing w:after="0"/>
        <w:ind w:left="1080" w:right="1980"/>
        <w:contextualSpacing w:val="0"/>
      </w:pPr>
      <w:r>
        <w:t>Waxing</w:t>
      </w:r>
    </w:p>
    <w:p w14:paraId="73EA7F72" w14:textId="77777777" w:rsidR="00D63931" w:rsidRDefault="00D63931" w:rsidP="004A0E6F">
      <w:pPr>
        <w:spacing w:after="0"/>
      </w:pPr>
    </w:p>
    <w:p w14:paraId="2E6B168C" w14:textId="77777777" w:rsidR="004A0E6F" w:rsidRDefault="004A0E6F" w:rsidP="00D63931">
      <w:pPr>
        <w:sectPr w:rsidR="004A0E6F" w:rsidSect="00D63931">
          <w:type w:val="continuous"/>
          <w:pgSz w:w="12240" w:h="15840"/>
          <w:pgMar w:top="1440" w:right="1440" w:bottom="1440" w:left="1440" w:header="720" w:footer="720" w:gutter="0"/>
          <w:cols w:num="2" w:space="0"/>
          <w:docGrid w:linePitch="360"/>
        </w:sectPr>
      </w:pPr>
    </w:p>
    <w:p w14:paraId="2BC4E215" w14:textId="77777777" w:rsidR="00D63931" w:rsidRDefault="00D63931" w:rsidP="004A0EDE">
      <w:pPr>
        <w:spacing w:before="240"/>
      </w:pPr>
      <w:r>
        <w:t xml:space="preserve">If a farm dries or dehydrates its own seaweed, it is still considered a </w:t>
      </w:r>
      <w:r w:rsidRPr="009A0E23">
        <w:rPr>
          <w:i/>
          <w:iCs/>
        </w:rPr>
        <w:t>farm</w:t>
      </w:r>
      <w:r w:rsidRPr="009A0E23">
        <w:t xml:space="preserve"> and</w:t>
      </w:r>
      <w:r>
        <w:t xml:space="preserve"> remains </w:t>
      </w:r>
      <w:r w:rsidRPr="009A0E23">
        <w:rPr>
          <w:i/>
          <w:iCs/>
        </w:rPr>
        <w:t>exempt from FSMA facility requirements</w:t>
      </w:r>
      <w:r>
        <w:t xml:space="preserve">. This means the farm does not need to register as a food facility with the FDA and does </w:t>
      </w:r>
      <w:r w:rsidRPr="009A0E23">
        <w:rPr>
          <w:i/>
          <w:iCs/>
        </w:rPr>
        <w:t xml:space="preserve">not </w:t>
      </w:r>
      <w:r>
        <w:t>have to follow 21 CFR Part 117.</w:t>
      </w:r>
    </w:p>
    <w:p w14:paraId="3B220277" w14:textId="45C48BC6" w:rsidR="00D63931" w:rsidRDefault="00D63931" w:rsidP="00D63931">
      <w:r>
        <w:t xml:space="preserve">The FDA has also clarified that </w:t>
      </w:r>
      <w:hyperlink w:anchor="DryingDehydrating" w:tooltip="The natural (sun or air drying) or mechanical (dehydrator, oven, freeze drying, etc.) removal of water from a food or food product to reduce the water available for microbial growth (Aw). A commonly used method of food preservation." w:history="1">
        <w:r w:rsidRPr="00E1536C">
          <w:rPr>
            <w:rStyle w:val="Hyperlink"/>
            <w:b/>
            <w:bCs/>
          </w:rPr>
          <w:t>drying and dehydrating</w:t>
        </w:r>
      </w:hyperlink>
      <w:r>
        <w:t xml:space="preserve"> are treated the same under the regulations. There is no rule requiring these activities to take place within a certain timeframe after harvest for the farm exemption to apply. As long as the farm itself performs the drying or dehydrating, it remains covered by the </w:t>
      </w:r>
      <w:r w:rsidRPr="009A0E23">
        <w:rPr>
          <w:i/>
          <w:iCs/>
        </w:rPr>
        <w:t>farm definition</w:t>
      </w:r>
      <w:r>
        <w:t xml:space="preserve"> and stays exempt from the facility regulations.</w:t>
      </w:r>
      <w:r>
        <w:rPr>
          <w:rStyle w:val="FootnoteReference"/>
        </w:rPr>
        <w:footnoteReference w:id="12"/>
      </w:r>
    </w:p>
    <w:p w14:paraId="22C569F9" w14:textId="77777777" w:rsidR="00D63931" w:rsidRDefault="00D63931" w:rsidP="004A0EDE">
      <w:r>
        <w:t>There are a few key points to keep in mind:</w:t>
      </w:r>
    </w:p>
    <w:p w14:paraId="0A7F27AA" w14:textId="77777777" w:rsidR="00D63931" w:rsidRDefault="00D63931" w:rsidP="00846B8F">
      <w:pPr>
        <w:pStyle w:val="ListParagraph"/>
        <w:numPr>
          <w:ilvl w:val="0"/>
          <w:numId w:val="10"/>
        </w:numPr>
        <w:spacing w:before="240"/>
      </w:pPr>
      <w:r>
        <w:t>This exemption only applies if the farm conducts no other manufacturing/processing activities besides the ones listed above.</w:t>
      </w:r>
    </w:p>
    <w:p w14:paraId="4B214CB2" w14:textId="77777777" w:rsidR="00D63931" w:rsidRDefault="00D63931" w:rsidP="00846B8F">
      <w:pPr>
        <w:pStyle w:val="ListParagraph"/>
        <w:numPr>
          <w:ilvl w:val="0"/>
          <w:numId w:val="10"/>
        </w:numPr>
        <w:spacing w:before="240"/>
      </w:pPr>
      <w:r>
        <w:t xml:space="preserve">If </w:t>
      </w:r>
      <w:r w:rsidRPr="009A0E23">
        <w:rPr>
          <w:i/>
          <w:iCs/>
        </w:rPr>
        <w:t>drying or dehydrating is done by someone other than the farm</w:t>
      </w:r>
      <w:r>
        <w:t xml:space="preserve">—for example, by a separate business or facility—that seaweed is considered </w:t>
      </w:r>
      <w:r w:rsidRPr="009A0E23">
        <w:rPr>
          <w:i/>
          <w:iCs/>
        </w:rPr>
        <w:t>processed food</w:t>
      </w:r>
      <w:r>
        <w:t>. In that case, the operation performing the drying or dehydration must register with the FDA as a food facility and follow FSMA requirements, including 21 CFR Part 117.</w:t>
      </w:r>
    </w:p>
    <w:p w14:paraId="1DFE5DCD" w14:textId="57881B62" w:rsidR="00D63931" w:rsidRDefault="00D63931" w:rsidP="00846B8F">
      <w:pPr>
        <w:pStyle w:val="ListParagraph"/>
        <w:numPr>
          <w:ilvl w:val="0"/>
          <w:numId w:val="10"/>
        </w:numPr>
        <w:spacing w:before="240"/>
      </w:pPr>
      <w:r>
        <w:t>As with raw seaweed, farms that grow, harvest, introduce, deliver, or process seaweed products in interstate (across state lines) commerce are still responsible for ensuring their products are safe and meet the requirements of the FDCA. This includes ensuring that their seaweed is not adulterated or unsafe for consumers.</w:t>
      </w:r>
    </w:p>
    <w:p w14:paraId="74998609" w14:textId="06CA63E5" w:rsidR="00D63931" w:rsidRDefault="00D63931" w:rsidP="00691E23">
      <w:pPr>
        <w:pStyle w:val="Heading4"/>
      </w:pPr>
      <w:r>
        <w:lastRenderedPageBreak/>
        <w:t>Facilities and Mixed-Type Facilities: Seaweed Processed Outside the Farm (Including Seaweed Not Dried or Dehydrated by the Farm)</w:t>
      </w:r>
    </w:p>
    <w:p w14:paraId="6D51FD28" w14:textId="77777777" w:rsidR="00D63931" w:rsidRDefault="00D63931" w:rsidP="00156E96">
      <w:pPr>
        <w:spacing w:before="240"/>
      </w:pPr>
      <w:r>
        <w:t xml:space="preserve">An operation that receives seaweed from growers and processes or manufactures it into another product is generally considered a </w:t>
      </w:r>
      <w:r w:rsidRPr="009A0E23">
        <w:rPr>
          <w:i/>
          <w:iCs/>
        </w:rPr>
        <w:t>facility</w:t>
      </w:r>
      <w:r>
        <w:t>. In this case, the operation would likely need to register with the FDA and comply with 21 CFR Part 117.</w:t>
      </w:r>
    </w:p>
    <w:p w14:paraId="7D69EAE1" w14:textId="0C753A66" w:rsidR="00D63931" w:rsidRDefault="00D63931" w:rsidP="00D63931">
      <w:r>
        <w:t xml:space="preserve">Some operations both grow or harvest seaweed and process it. These are typically classified as either a </w:t>
      </w:r>
      <w:r w:rsidRPr="009A0E23">
        <w:rPr>
          <w:i/>
          <w:iCs/>
        </w:rPr>
        <w:t>facility</w:t>
      </w:r>
      <w:r>
        <w:t xml:space="preserve"> or a </w:t>
      </w:r>
      <w:r w:rsidRPr="009A0E23">
        <w:rPr>
          <w:i/>
          <w:iCs/>
        </w:rPr>
        <w:t>mixed-type facility</w:t>
      </w:r>
      <w:r>
        <w:t>, depending on the activities performed, and are also subject to 21 CFR Part 117.</w:t>
      </w:r>
    </w:p>
    <w:p w14:paraId="5689B588" w14:textId="33DC3D18" w:rsidR="0022095E" w:rsidRDefault="00D63931" w:rsidP="00E93C64">
      <w:pPr>
        <w:spacing w:after="0"/>
        <w:sectPr w:rsidR="0022095E" w:rsidSect="00FC5EB5">
          <w:type w:val="continuous"/>
          <w:pgSz w:w="12240" w:h="15840"/>
          <w:pgMar w:top="1440" w:right="1440" w:bottom="1440" w:left="1440" w:header="720" w:footer="720" w:gutter="0"/>
          <w:pgNumType w:chapStyle="1"/>
          <w:cols w:space="720"/>
          <w:docGrid w:linePitch="360"/>
        </w:sectPr>
      </w:pPr>
      <w:r>
        <w:t>Examples of processing activities that can trigger FDA facility requirements include, but are not limited to:</w:t>
      </w:r>
    </w:p>
    <w:p w14:paraId="51418970" w14:textId="5A08A329" w:rsidR="0022095E" w:rsidRDefault="0022095E" w:rsidP="00846B8F">
      <w:pPr>
        <w:pStyle w:val="ListParagraph"/>
        <w:numPr>
          <w:ilvl w:val="0"/>
          <w:numId w:val="11"/>
        </w:numPr>
        <w:ind w:left="2250"/>
      </w:pPr>
      <w:r>
        <w:t>Baking</w:t>
      </w:r>
    </w:p>
    <w:p w14:paraId="719A36B0" w14:textId="06E6E5A1" w:rsidR="0022095E" w:rsidRDefault="0022095E" w:rsidP="00846B8F">
      <w:pPr>
        <w:pStyle w:val="ListParagraph"/>
        <w:numPr>
          <w:ilvl w:val="0"/>
          <w:numId w:val="11"/>
        </w:numPr>
        <w:ind w:left="2250"/>
      </w:pPr>
      <w:r>
        <w:t>Canning</w:t>
      </w:r>
    </w:p>
    <w:p w14:paraId="2DE8B643" w14:textId="53A835C9" w:rsidR="0022095E" w:rsidRDefault="0022095E" w:rsidP="00846B8F">
      <w:pPr>
        <w:pStyle w:val="ListParagraph"/>
        <w:numPr>
          <w:ilvl w:val="0"/>
          <w:numId w:val="11"/>
        </w:numPr>
        <w:ind w:left="2250"/>
      </w:pPr>
      <w:r>
        <w:t>Cooling</w:t>
      </w:r>
    </w:p>
    <w:p w14:paraId="4656215E" w14:textId="0B97DC2B" w:rsidR="0022095E" w:rsidRDefault="0022095E" w:rsidP="00846B8F">
      <w:pPr>
        <w:pStyle w:val="ListParagraph"/>
        <w:numPr>
          <w:ilvl w:val="0"/>
          <w:numId w:val="11"/>
        </w:numPr>
        <w:ind w:left="2250"/>
      </w:pPr>
      <w:r>
        <w:t>Evaporating</w:t>
      </w:r>
    </w:p>
    <w:p w14:paraId="2339489F" w14:textId="50893EE5" w:rsidR="0022095E" w:rsidRDefault="0022095E" w:rsidP="00846B8F">
      <w:pPr>
        <w:pStyle w:val="ListParagraph"/>
        <w:numPr>
          <w:ilvl w:val="0"/>
          <w:numId w:val="11"/>
        </w:numPr>
        <w:ind w:left="2250"/>
      </w:pPr>
      <w:r>
        <w:t>Formulating</w:t>
      </w:r>
    </w:p>
    <w:p w14:paraId="4E19FA8F" w14:textId="3C57D7C9" w:rsidR="0022095E" w:rsidRDefault="0022095E" w:rsidP="00846B8F">
      <w:pPr>
        <w:pStyle w:val="ListParagraph"/>
        <w:numPr>
          <w:ilvl w:val="0"/>
          <w:numId w:val="11"/>
        </w:numPr>
        <w:ind w:left="2250"/>
      </w:pPr>
      <w:r>
        <w:t>Homogenizing</w:t>
      </w:r>
    </w:p>
    <w:p w14:paraId="7D8379A5" w14:textId="1DF15924" w:rsidR="0022095E" w:rsidRDefault="0022095E" w:rsidP="00846B8F">
      <w:pPr>
        <w:pStyle w:val="ListParagraph"/>
        <w:numPr>
          <w:ilvl w:val="0"/>
          <w:numId w:val="11"/>
        </w:numPr>
        <w:ind w:left="2250"/>
      </w:pPr>
      <w:r>
        <w:t>Milling</w:t>
      </w:r>
    </w:p>
    <w:p w14:paraId="3AC5F7BF" w14:textId="060E9A14" w:rsidR="0022095E" w:rsidRDefault="0022095E" w:rsidP="00846B8F">
      <w:pPr>
        <w:pStyle w:val="ListParagraph"/>
        <w:numPr>
          <w:ilvl w:val="0"/>
          <w:numId w:val="11"/>
        </w:numPr>
        <w:ind w:left="2250"/>
      </w:pPr>
      <w:r>
        <w:t>Pasteurizing</w:t>
      </w:r>
    </w:p>
    <w:p w14:paraId="76D67C7E" w14:textId="2307000C" w:rsidR="0022095E" w:rsidRDefault="0022095E" w:rsidP="00846B8F">
      <w:pPr>
        <w:pStyle w:val="ListParagraph"/>
        <w:numPr>
          <w:ilvl w:val="0"/>
          <w:numId w:val="11"/>
        </w:numPr>
        <w:spacing w:after="0"/>
        <w:ind w:left="2250"/>
      </w:pPr>
      <w:r>
        <w:t>Rendering</w:t>
      </w:r>
    </w:p>
    <w:p w14:paraId="0F1A96B3" w14:textId="3DA4D043" w:rsidR="0022095E" w:rsidRDefault="0022095E" w:rsidP="00846B8F">
      <w:pPr>
        <w:pStyle w:val="ListParagraph"/>
        <w:numPr>
          <w:ilvl w:val="0"/>
          <w:numId w:val="11"/>
        </w:numPr>
        <w:ind w:right="1459"/>
      </w:pPr>
      <w:r>
        <w:br w:type="column"/>
      </w:r>
      <w:r>
        <w:t>Boiling</w:t>
      </w:r>
    </w:p>
    <w:p w14:paraId="0318469A" w14:textId="6BCDD89D" w:rsidR="0022095E" w:rsidRDefault="0022095E" w:rsidP="00846B8F">
      <w:pPr>
        <w:pStyle w:val="ListParagraph"/>
        <w:numPr>
          <w:ilvl w:val="0"/>
          <w:numId w:val="11"/>
        </w:numPr>
        <w:ind w:right="1459"/>
      </w:pPr>
      <w:r>
        <w:t>Cooking</w:t>
      </w:r>
    </w:p>
    <w:p w14:paraId="23FAECD8" w14:textId="5052FE39" w:rsidR="0022095E" w:rsidRDefault="0022095E" w:rsidP="00846B8F">
      <w:pPr>
        <w:pStyle w:val="ListParagraph"/>
        <w:numPr>
          <w:ilvl w:val="0"/>
          <w:numId w:val="11"/>
        </w:numPr>
        <w:ind w:right="1459"/>
      </w:pPr>
      <w:r>
        <w:t>Cutting</w:t>
      </w:r>
    </w:p>
    <w:p w14:paraId="7868A347" w14:textId="4D41A3F3" w:rsidR="0022095E" w:rsidRDefault="0022095E" w:rsidP="00846B8F">
      <w:pPr>
        <w:pStyle w:val="ListParagraph"/>
        <w:numPr>
          <w:ilvl w:val="0"/>
          <w:numId w:val="11"/>
        </w:numPr>
        <w:ind w:right="1459"/>
      </w:pPr>
      <w:r>
        <w:t>Extracting Juice</w:t>
      </w:r>
    </w:p>
    <w:p w14:paraId="0A16BB3C" w14:textId="0950B3EB" w:rsidR="0022095E" w:rsidRDefault="0022095E" w:rsidP="00846B8F">
      <w:pPr>
        <w:pStyle w:val="ListParagraph"/>
        <w:numPr>
          <w:ilvl w:val="0"/>
          <w:numId w:val="11"/>
        </w:numPr>
        <w:ind w:right="1459"/>
      </w:pPr>
      <w:r>
        <w:t>Grinding</w:t>
      </w:r>
    </w:p>
    <w:p w14:paraId="0A957AD8" w14:textId="487F70F7" w:rsidR="0022095E" w:rsidRDefault="0022095E" w:rsidP="00846B8F">
      <w:pPr>
        <w:pStyle w:val="ListParagraph"/>
        <w:numPr>
          <w:ilvl w:val="0"/>
          <w:numId w:val="11"/>
        </w:numPr>
        <w:ind w:right="1459"/>
      </w:pPr>
      <w:r>
        <w:t>Irradiating</w:t>
      </w:r>
    </w:p>
    <w:p w14:paraId="2182B64B" w14:textId="77777777" w:rsidR="0022095E" w:rsidRPr="00A94D1F" w:rsidRDefault="0022095E" w:rsidP="00846B8F">
      <w:pPr>
        <w:pStyle w:val="ListParagraph"/>
        <w:numPr>
          <w:ilvl w:val="0"/>
          <w:numId w:val="11"/>
        </w:numPr>
        <w:ind w:right="1459"/>
        <w:rPr>
          <w:rFonts w:ascii="Times New Roman" w:eastAsia="Times New Roman" w:hAnsi="Times New Roman" w:cs="Times New Roman"/>
          <w:kern w:val="0"/>
          <w14:ligatures w14:val="none"/>
        </w:rPr>
      </w:pPr>
      <w:r>
        <w:t>Mixing</w:t>
      </w:r>
    </w:p>
    <w:p w14:paraId="563DB4FC" w14:textId="2BB13283" w:rsidR="00A94D1F" w:rsidRPr="0022095E" w:rsidRDefault="00A94D1F" w:rsidP="00846B8F">
      <w:pPr>
        <w:pStyle w:val="ListParagraph"/>
        <w:numPr>
          <w:ilvl w:val="0"/>
          <w:numId w:val="11"/>
        </w:numPr>
        <w:ind w:right="1459"/>
        <w:rPr>
          <w:rFonts w:ascii="Times New Roman" w:eastAsia="Times New Roman" w:hAnsi="Times New Roman" w:cs="Times New Roman"/>
          <w:kern w:val="0"/>
          <w14:ligatures w14:val="none"/>
        </w:rPr>
      </w:pPr>
      <w:r>
        <w:t>Peeling</w:t>
      </w:r>
    </w:p>
    <w:p w14:paraId="2DCB90D7" w14:textId="77777777" w:rsidR="0022095E" w:rsidRDefault="0022095E" w:rsidP="0022095E"/>
    <w:p w14:paraId="117D0020" w14:textId="77777777" w:rsidR="00A94D1F" w:rsidRDefault="00A94D1F" w:rsidP="0022095E">
      <w:pPr>
        <w:sectPr w:rsidR="00A94D1F" w:rsidSect="004A0E6F">
          <w:type w:val="continuous"/>
          <w:pgSz w:w="12240" w:h="15840"/>
          <w:pgMar w:top="1440" w:right="1440" w:bottom="1440" w:left="1440" w:header="720" w:footer="720" w:gutter="0"/>
          <w:cols w:num="2" w:space="682"/>
          <w:docGrid w:linePitch="360"/>
        </w:sectPr>
      </w:pPr>
    </w:p>
    <w:p w14:paraId="428FCE66" w14:textId="20543D7B" w:rsidR="0022095E" w:rsidRDefault="0022095E" w:rsidP="0022095E">
      <w:r w:rsidRPr="009A0E23">
        <w:rPr>
          <w:i/>
          <w:iCs/>
        </w:rPr>
        <w:t>Mixed-type facilities</w:t>
      </w:r>
      <w:r w:rsidRPr="0022095E">
        <w:t xml:space="preserve"> are operations that perform a combination of activities, some that fall under the </w:t>
      </w:r>
      <w:r w:rsidRPr="009A0E23">
        <w:rPr>
          <w:i/>
          <w:iCs/>
        </w:rPr>
        <w:t>farm definition</w:t>
      </w:r>
      <w:r w:rsidRPr="0022095E">
        <w:t xml:space="preserve"> (which are exempt from registration) and others that do </w:t>
      </w:r>
      <w:r w:rsidRPr="009A0E23">
        <w:rPr>
          <w:i/>
          <w:iCs/>
        </w:rPr>
        <w:t>require registration</w:t>
      </w:r>
      <w:r w:rsidRPr="0022095E">
        <w:t xml:space="preserve"> as a facility. For example, a </w:t>
      </w:r>
      <w:r w:rsidRPr="009A0E23">
        <w:rPr>
          <w:i/>
          <w:iCs/>
        </w:rPr>
        <w:t>farm mixed-type facility</w:t>
      </w:r>
      <w:r w:rsidRPr="0022095E">
        <w:t xml:space="preserve"> is a farm that also conducts certain processing or manufacturing steps not covered under the farm exemption, requiring the operation to register with the FDA as a facility.</w:t>
      </w:r>
    </w:p>
    <w:p w14:paraId="430FCCA3" w14:textId="71D53990" w:rsidR="00D1593A" w:rsidRPr="00057061" w:rsidRDefault="00D1593A" w:rsidP="00057061">
      <w:pPr>
        <w:pStyle w:val="Heading4"/>
      </w:pPr>
      <w:bookmarkStart w:id="37" w:name="QualifiedFacilities"/>
      <w:r w:rsidRPr="00057061">
        <w:t>Qualified Facilities</w:t>
      </w:r>
    </w:p>
    <w:bookmarkEnd w:id="37"/>
    <w:p w14:paraId="2A867E23" w14:textId="2743CEF7" w:rsidR="00D1593A" w:rsidRDefault="00D1593A" w:rsidP="004A0EDE">
      <w:pPr>
        <w:spacing w:before="240"/>
      </w:pPr>
      <w:r>
        <w:t>Some seaweed operations in the United States may qualify for modified requirements under 21 CFR Part 117 if they are classified as qualified facilities.</w:t>
      </w:r>
    </w:p>
    <w:p w14:paraId="04A1C1C9" w14:textId="77777777" w:rsidR="00D1593A" w:rsidRDefault="00D1593A" w:rsidP="00D1593A">
      <w:r>
        <w:t>There are two main ways a seaweed operation can be considered a qualified facility:</w:t>
      </w:r>
    </w:p>
    <w:p w14:paraId="4C93F0EB" w14:textId="77777777" w:rsidR="00D1593A" w:rsidRDefault="00D1593A" w:rsidP="00846B8F">
      <w:pPr>
        <w:pStyle w:val="ListParagraph"/>
        <w:numPr>
          <w:ilvl w:val="0"/>
          <w:numId w:val="12"/>
        </w:numPr>
        <w:contextualSpacing w:val="0"/>
      </w:pPr>
      <w:r>
        <w:t>Very Small Business: If the operation has made less than $1 million per year (adjusted for inflation) in total sales of human food over the past three years, including any food it stores for others for a fee, it qualifies as a very small business.</w:t>
      </w:r>
    </w:p>
    <w:p w14:paraId="628E4A59" w14:textId="77777777" w:rsidR="00D1593A" w:rsidRDefault="00D1593A" w:rsidP="00846B8F">
      <w:pPr>
        <w:pStyle w:val="ListParagraph"/>
        <w:numPr>
          <w:ilvl w:val="0"/>
          <w:numId w:val="12"/>
        </w:numPr>
        <w:contextualSpacing w:val="0"/>
      </w:pPr>
      <w:r>
        <w:lastRenderedPageBreak/>
        <w:t>Sales to Local Customers: An operation can also qualify if it sells mostly directly to consumers or local businesses, such as restaurants or retail stores. These businesses, known as “qualified end users,” must be located either in the same state or within 275 miles of the seaweed operation. To meet this second option, two conditions must be met:</w:t>
      </w:r>
    </w:p>
    <w:p w14:paraId="07C73684" w14:textId="77777777" w:rsidR="00D1593A" w:rsidRDefault="00D1593A" w:rsidP="00846B8F">
      <w:pPr>
        <w:pStyle w:val="ListParagraph"/>
        <w:numPr>
          <w:ilvl w:val="1"/>
          <w:numId w:val="12"/>
        </w:numPr>
      </w:pPr>
      <w:r>
        <w:t>The value of food sold directly to consumers and qualified end users over the past three years must be greater than the value of food sold to other buyers.</w:t>
      </w:r>
    </w:p>
    <w:p w14:paraId="008314F0" w14:textId="77777777" w:rsidR="00D1593A" w:rsidRDefault="00D1593A" w:rsidP="00846B8F">
      <w:pPr>
        <w:pStyle w:val="ListParagraph"/>
        <w:numPr>
          <w:ilvl w:val="1"/>
          <w:numId w:val="12"/>
        </w:numPr>
      </w:pPr>
      <w:r>
        <w:t>Total food sales to these local customers must be less than $500,000 per year during that time.</w:t>
      </w:r>
    </w:p>
    <w:p w14:paraId="3FC6EA65" w14:textId="6F67A8B4" w:rsidR="00D1593A" w:rsidRDefault="00D1593A" w:rsidP="00D1593A">
      <w:r>
        <w:t>If either of these conditions is met, the seaweed operation may be eligible for the modified requirements for qualified facilities, which are explained in later sections of this guide.</w:t>
      </w:r>
    </w:p>
    <w:p w14:paraId="4D1AE8CD" w14:textId="77777777" w:rsidR="00D1593A" w:rsidRDefault="00D1593A" w:rsidP="00D1593A">
      <w:r>
        <w:t>Here are some simple examples to help explain how a seaweed business could qualify for modified requirements as a qualified facility under 21 CFR Part 117:</w:t>
      </w:r>
    </w:p>
    <w:p w14:paraId="6D245E9A" w14:textId="17643B14" w:rsidR="004A5C40" w:rsidRDefault="00D1593A" w:rsidP="00D1593A">
      <w:r w:rsidRPr="00D1593A">
        <w:rPr>
          <w:i/>
          <w:iCs/>
        </w:rPr>
        <w:t>Option #1</w:t>
      </w:r>
      <w:r w:rsidR="004A5C40">
        <w:rPr>
          <w:i/>
          <w:iCs/>
        </w:rPr>
        <w:t xml:space="preserve">: </w:t>
      </w:r>
      <w:r w:rsidRPr="00D1593A">
        <w:rPr>
          <w:i/>
          <w:iCs/>
        </w:rPr>
        <w:t>A Very Small Business</w:t>
      </w:r>
      <w:r>
        <w:t xml:space="preserve"> </w:t>
      </w:r>
    </w:p>
    <w:p w14:paraId="1C61EA0D" w14:textId="1307ED27" w:rsidR="00D1593A" w:rsidRDefault="00D1593A" w:rsidP="00D1593A">
      <w:r>
        <w:t>A business qualifies as a “</w:t>
      </w:r>
      <w:r w:rsidRPr="009A0E23">
        <w:rPr>
          <w:i/>
          <w:iCs/>
        </w:rPr>
        <w:t>very small business”</w:t>
      </w:r>
      <w:r>
        <w:t xml:space="preserve"> if it </w:t>
      </w:r>
      <w:r w:rsidRPr="009A0E23">
        <w:t>made less than $1 million per year (</w:t>
      </w:r>
      <w:r>
        <w:t>adjusted for inflation) from sales of human food over the past three years. This total includes any food the business stored for others for a fee.</w:t>
      </w:r>
    </w:p>
    <w:p w14:paraId="735CA593" w14:textId="77777777" w:rsidR="00D1593A" w:rsidRDefault="00D1593A" w:rsidP="00846B8F">
      <w:pPr>
        <w:pStyle w:val="ListParagraph"/>
        <w:numPr>
          <w:ilvl w:val="0"/>
          <w:numId w:val="13"/>
        </w:numPr>
        <w:contextualSpacing w:val="0"/>
      </w:pPr>
      <w:r w:rsidRPr="004A0EDE">
        <w:rPr>
          <w:b/>
          <w:bCs/>
        </w:rPr>
        <w:t>Example 1:</w:t>
      </w:r>
      <w:r>
        <w:t xml:space="preserve"> </w:t>
      </w:r>
      <w:r w:rsidRPr="00D1593A">
        <w:rPr>
          <w:i/>
          <w:iCs/>
        </w:rPr>
        <w:t>XYZ</w:t>
      </w:r>
      <w:r>
        <w:t xml:space="preserve"> Seaweed Company has never sold more than $800,000 worth of product per year. This means it qualifies as a very small business and is considered a Qualified Facility. </w:t>
      </w:r>
    </w:p>
    <w:p w14:paraId="4448E2BA" w14:textId="77777777" w:rsidR="00D1593A" w:rsidRDefault="00D1593A" w:rsidP="00846B8F">
      <w:pPr>
        <w:pStyle w:val="ListParagraph"/>
        <w:numPr>
          <w:ilvl w:val="0"/>
          <w:numId w:val="13"/>
        </w:numPr>
        <w:contextualSpacing w:val="0"/>
      </w:pPr>
      <w:r w:rsidRPr="004A0EDE">
        <w:rPr>
          <w:b/>
          <w:bCs/>
        </w:rPr>
        <w:t>Example 2:</w:t>
      </w:r>
      <w:r>
        <w:t xml:space="preserve"> Sea Food, Co. sells $1 million worth of raw kelp and $200,000 worth of processed seaweed patties per year. Since total sales are above $1 million, Sea Food, Co. is NOT a Qualified Facility.</w:t>
      </w:r>
    </w:p>
    <w:p w14:paraId="3B2EC9D2" w14:textId="77777777" w:rsidR="00D1593A" w:rsidRDefault="00D1593A" w:rsidP="00846B8F">
      <w:pPr>
        <w:pStyle w:val="ListParagraph"/>
        <w:numPr>
          <w:ilvl w:val="0"/>
          <w:numId w:val="13"/>
        </w:numPr>
        <w:contextualSpacing w:val="0"/>
      </w:pPr>
      <w:r w:rsidRPr="004A0EDE">
        <w:rPr>
          <w:b/>
          <w:bCs/>
        </w:rPr>
        <w:t>Example 3:</w:t>
      </w:r>
      <w:r>
        <w:t xml:space="preserve"> Food From the Sea Inc. sells $1.5 million worth of shellfish and $200,000 worth of processed seaweed patties per year. Since total food sales are over $1 million, Food from the Sea Inc. is NOT a Qualified Facility.</w:t>
      </w:r>
    </w:p>
    <w:p w14:paraId="7CFD2DDC" w14:textId="5CD3EF4B" w:rsidR="004A5C40" w:rsidRDefault="00D1593A" w:rsidP="00D1593A">
      <w:r w:rsidRPr="004A5C40">
        <w:rPr>
          <w:i/>
          <w:iCs/>
        </w:rPr>
        <w:t>Option #2</w:t>
      </w:r>
      <w:r w:rsidR="004A5C40">
        <w:rPr>
          <w:i/>
          <w:iCs/>
        </w:rPr>
        <w:t xml:space="preserve">: </w:t>
      </w:r>
      <w:r w:rsidRPr="004A5C40">
        <w:rPr>
          <w:i/>
          <w:iCs/>
        </w:rPr>
        <w:t>Local Sales to Qualified End Users</w:t>
      </w:r>
    </w:p>
    <w:p w14:paraId="0D014560" w14:textId="274E2C10" w:rsidR="00D1593A" w:rsidRDefault="00D1593A" w:rsidP="00156E96">
      <w:pPr>
        <w:spacing w:before="240"/>
      </w:pPr>
      <w:r>
        <w:t xml:space="preserve">A business can also qualify if it sells mainly to consumers, restaurants, or retail stores in the </w:t>
      </w:r>
      <w:r w:rsidRPr="00A5688B">
        <w:rPr>
          <w:i/>
          <w:iCs/>
        </w:rPr>
        <w:t>same state or within 275 miles</w:t>
      </w:r>
      <w:r>
        <w:t>. To qualify:</w:t>
      </w:r>
    </w:p>
    <w:p w14:paraId="04CF1D50" w14:textId="77777777" w:rsidR="00D1593A" w:rsidRDefault="00D1593A" w:rsidP="00846B8F">
      <w:pPr>
        <w:pStyle w:val="ListParagraph"/>
        <w:numPr>
          <w:ilvl w:val="0"/>
          <w:numId w:val="14"/>
        </w:numPr>
        <w:spacing w:before="240"/>
      </w:pPr>
      <w:r>
        <w:t xml:space="preserve">The value of food sold to these local buyers over the past three years must be </w:t>
      </w:r>
      <w:r w:rsidRPr="00A5688B">
        <w:rPr>
          <w:i/>
          <w:iCs/>
        </w:rPr>
        <w:t>greater than</w:t>
      </w:r>
      <w:r>
        <w:t xml:space="preserve"> the value sold to other buyers.</w:t>
      </w:r>
    </w:p>
    <w:p w14:paraId="18A44AB3" w14:textId="76BFF7F6" w:rsidR="00D1593A" w:rsidRDefault="00D1593A" w:rsidP="00846B8F">
      <w:pPr>
        <w:pStyle w:val="ListParagraph"/>
        <w:numPr>
          <w:ilvl w:val="0"/>
          <w:numId w:val="14"/>
        </w:numPr>
        <w:spacing w:before="240"/>
      </w:pPr>
      <w:r>
        <w:t xml:space="preserve">Annual sales to these local customers must also be </w:t>
      </w:r>
      <w:r w:rsidRPr="00A5688B">
        <w:rPr>
          <w:i/>
          <w:iCs/>
        </w:rPr>
        <w:t>less than $500,000</w:t>
      </w:r>
      <w:r w:rsidRPr="00D1593A">
        <w:rPr>
          <w:b/>
          <w:bCs/>
        </w:rPr>
        <w:t>.</w:t>
      </w:r>
    </w:p>
    <w:p w14:paraId="71D27730" w14:textId="77777777" w:rsidR="00D1593A" w:rsidRDefault="00D1593A" w:rsidP="00846B8F">
      <w:pPr>
        <w:pStyle w:val="ListParagraph"/>
        <w:numPr>
          <w:ilvl w:val="0"/>
          <w:numId w:val="14"/>
        </w:numPr>
        <w:spacing w:before="240"/>
      </w:pPr>
      <w:r>
        <w:lastRenderedPageBreak/>
        <w:t xml:space="preserve">Example: XYZ Seaweed Company sells $400,000 worth of its blanched kelp to restaurants in their town (within 275 miles). Since all sales are local and total sales are under $500,000, this business qualifies as a </w:t>
      </w:r>
      <w:r w:rsidRPr="009A0E23">
        <w:rPr>
          <w:i/>
          <w:iCs/>
        </w:rPr>
        <w:t>qualified facility</w:t>
      </w:r>
      <w:r>
        <w:t>.</w:t>
      </w:r>
    </w:p>
    <w:p w14:paraId="32335530" w14:textId="4F2E3E43" w:rsidR="00D1593A" w:rsidRDefault="00D1593A" w:rsidP="00156E96">
      <w:pPr>
        <w:spacing w:before="240"/>
      </w:pPr>
      <w:r>
        <w:t xml:space="preserve">For additional guidance on the requirements of 21 CFR Part 117 and qualified facilities, see </w:t>
      </w:r>
      <w:hyperlink r:id="rId42" w:history="1">
        <w:r w:rsidRPr="002033A6">
          <w:rPr>
            <w:rStyle w:val="Hyperlink"/>
            <w:i/>
            <w:iCs/>
          </w:rPr>
          <w:t>Seaweed Food Safety: Comparing Compliance with Preventive Controls for Human Foods and Seafood HACCP</w:t>
        </w:r>
      </w:hyperlink>
      <w:r w:rsidR="00773A54">
        <w:t xml:space="preserve"> (PDF)</w:t>
      </w:r>
      <w:r w:rsidRPr="00773A54">
        <w:t>.</w:t>
      </w:r>
    </w:p>
    <w:p w14:paraId="214A89A6" w14:textId="77777777" w:rsidR="00FF5CD0" w:rsidRDefault="00FF5CD0" w:rsidP="00D1593A">
      <w:pPr>
        <w:sectPr w:rsidR="00FF5CD0" w:rsidSect="00FC5EB5">
          <w:type w:val="continuous"/>
          <w:pgSz w:w="12240" w:h="15840"/>
          <w:pgMar w:top="1440" w:right="1440" w:bottom="1440" w:left="1440" w:header="720" w:footer="720" w:gutter="0"/>
          <w:pgNumType w:chapStyle="1"/>
          <w:cols w:space="720"/>
          <w:docGrid w:linePitch="360"/>
        </w:sectPr>
      </w:pPr>
    </w:p>
    <w:p w14:paraId="67D8FC62" w14:textId="67618B31" w:rsidR="00045395" w:rsidRDefault="00045395" w:rsidP="00C54E07">
      <w:pPr>
        <w:pStyle w:val="Caption"/>
      </w:pPr>
    </w:p>
    <w:p w14:paraId="0AD6EBD7" w14:textId="22EE3B16" w:rsidR="00896F22" w:rsidRDefault="00896F22" w:rsidP="00C54E07">
      <w:pPr>
        <w:pStyle w:val="Caption"/>
      </w:pPr>
      <w:r w:rsidRPr="00896F22">
        <w:rPr>
          <w:b/>
          <w:bCs/>
        </w:rPr>
        <w:t xml:space="preserve">Table </w:t>
      </w:r>
      <w:r w:rsidRPr="00896F22">
        <w:rPr>
          <w:b/>
          <w:bCs/>
        </w:rPr>
        <w:fldChar w:fldCharType="begin"/>
      </w:r>
      <w:r w:rsidRPr="00896F22">
        <w:rPr>
          <w:b/>
          <w:bCs/>
        </w:rPr>
        <w:instrText xml:space="preserve"> STYLEREF 1 \s </w:instrText>
      </w:r>
      <w:r w:rsidRPr="00896F22">
        <w:rPr>
          <w:b/>
          <w:bCs/>
        </w:rPr>
        <w:fldChar w:fldCharType="separate"/>
      </w:r>
      <w:r w:rsidR="00A042AD">
        <w:rPr>
          <w:b/>
          <w:bCs/>
          <w:noProof/>
        </w:rPr>
        <w:t>2</w:t>
      </w:r>
      <w:r w:rsidRPr="00896F22">
        <w:rPr>
          <w:b/>
          <w:bCs/>
        </w:rPr>
        <w:fldChar w:fldCharType="end"/>
      </w:r>
      <w:r w:rsidRPr="00896F22">
        <w:rPr>
          <w:b/>
          <w:bCs/>
        </w:rPr>
        <w:noBreakHyphen/>
      </w:r>
      <w:r w:rsidRPr="00896F22">
        <w:rPr>
          <w:b/>
          <w:bCs/>
        </w:rPr>
        <w:fldChar w:fldCharType="begin"/>
      </w:r>
      <w:r w:rsidRPr="00896F22">
        <w:rPr>
          <w:b/>
          <w:bCs/>
        </w:rPr>
        <w:instrText xml:space="preserve"> SEQ Table \* ARABIC \s 1 </w:instrText>
      </w:r>
      <w:r w:rsidRPr="00896F22">
        <w:rPr>
          <w:b/>
          <w:bCs/>
        </w:rPr>
        <w:fldChar w:fldCharType="separate"/>
      </w:r>
      <w:r w:rsidR="00A042AD">
        <w:rPr>
          <w:b/>
          <w:bCs/>
          <w:noProof/>
        </w:rPr>
        <w:t>1</w:t>
      </w:r>
      <w:r w:rsidRPr="00896F22">
        <w:rPr>
          <w:b/>
          <w:bCs/>
        </w:rPr>
        <w:fldChar w:fldCharType="end"/>
      </w:r>
      <w:r w:rsidRPr="00896F22">
        <w:rPr>
          <w:b/>
          <w:bCs/>
        </w:rPr>
        <w:t>:</w:t>
      </w:r>
      <w:r>
        <w:t xml:space="preserve"> </w:t>
      </w:r>
      <w:r w:rsidRPr="00831E30">
        <w:t>Summary of compliance requirements for different types of seaweed operations. In the table, “</w:t>
      </w:r>
      <w:r w:rsidRPr="002D13BE">
        <w:rPr>
          <w:b/>
          <w:bCs/>
        </w:rPr>
        <w:t>Yes</w:t>
      </w:r>
      <w:r w:rsidRPr="00831E30">
        <w:t>” means the operation must comply with the regulation, and "</w:t>
      </w:r>
      <w:r w:rsidRPr="002D13BE">
        <w:rPr>
          <w:b/>
          <w:bCs/>
        </w:rPr>
        <w:t>No</w:t>
      </w:r>
      <w:r w:rsidRPr="00831E30">
        <w:t>" means it is exempt.</w:t>
      </w:r>
    </w:p>
    <w:tbl>
      <w:tblPr>
        <w:tblStyle w:val="GridTable1Light"/>
        <w:tblW w:w="14580" w:type="dxa"/>
        <w:tblInd w:w="-815"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4A0" w:firstRow="1" w:lastRow="0" w:firstColumn="1" w:lastColumn="0" w:noHBand="0" w:noVBand="1"/>
      </w:tblPr>
      <w:tblGrid>
        <w:gridCol w:w="1800"/>
        <w:gridCol w:w="1597"/>
        <w:gridCol w:w="1598"/>
        <w:gridCol w:w="1597"/>
        <w:gridCol w:w="1598"/>
        <w:gridCol w:w="1710"/>
        <w:gridCol w:w="1710"/>
        <w:gridCol w:w="1372"/>
        <w:gridCol w:w="1598"/>
      </w:tblGrid>
      <w:tr w:rsidR="000A6B5D" w14:paraId="2700279A" w14:textId="77777777" w:rsidTr="004314BA">
        <w:trPr>
          <w:cnfStyle w:val="100000000000" w:firstRow="1" w:lastRow="0" w:firstColumn="0" w:lastColumn="0" w:oddVBand="0" w:evenVBand="0" w:oddHBand="0"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D0D0D" w:themeColor="text1" w:themeTint="F2"/>
              <w:left w:val="single" w:sz="8" w:space="0" w:color="0D0D0D" w:themeColor="text1" w:themeTint="F2"/>
              <w:bottom w:val="single" w:sz="6" w:space="0" w:color="0D0D0D" w:themeColor="text1" w:themeTint="F2"/>
              <w:right w:val="single" w:sz="6" w:space="0" w:color="0D0D0D" w:themeColor="text1" w:themeTint="F2"/>
            </w:tcBorders>
            <w:shd w:val="clear" w:color="auto" w:fill="27666E"/>
            <w:vAlign w:val="center"/>
          </w:tcPr>
          <w:p w14:paraId="6ADF8C9A" w14:textId="7A1943F3" w:rsidR="00773A54" w:rsidRPr="004314BA" w:rsidRDefault="00773A54" w:rsidP="00FF5CD0">
            <w:pPr>
              <w:rPr>
                <w:color w:val="FFFFFF" w:themeColor="background1"/>
                <w:sz w:val="22"/>
                <w:szCs w:val="22"/>
              </w:rPr>
            </w:pPr>
            <w:r w:rsidRPr="004314BA">
              <w:rPr>
                <w:color w:val="FFFFFF" w:themeColor="background1"/>
                <w:sz w:val="22"/>
                <w:szCs w:val="22"/>
              </w:rPr>
              <w:t>Operation Type</w:t>
            </w:r>
          </w:p>
        </w:tc>
        <w:tc>
          <w:tcPr>
            <w:tcW w:w="1597" w:type="dxa"/>
            <w:tcBorders>
              <w:top w:val="single" w:sz="8" w:space="0" w:color="0D0D0D" w:themeColor="text1" w:themeTint="F2"/>
              <w:left w:val="single" w:sz="6" w:space="0" w:color="0D0D0D" w:themeColor="text1" w:themeTint="F2"/>
              <w:bottom w:val="single" w:sz="8" w:space="0" w:color="0D0D0D" w:themeColor="text1" w:themeTint="F2"/>
            </w:tcBorders>
            <w:shd w:val="clear" w:color="auto" w:fill="27666E"/>
            <w:vAlign w:val="center"/>
          </w:tcPr>
          <w:p w14:paraId="1D21D613" w14:textId="71FA7357" w:rsidR="00773A54" w:rsidRPr="004314BA" w:rsidRDefault="00773A54" w:rsidP="00FF5CD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4314BA">
              <w:rPr>
                <w:color w:val="FFFFFF" w:themeColor="background1"/>
                <w:sz w:val="22"/>
                <w:szCs w:val="22"/>
              </w:rPr>
              <w:t>Registration</w:t>
            </w:r>
          </w:p>
        </w:tc>
        <w:tc>
          <w:tcPr>
            <w:tcW w:w="1598" w:type="dxa"/>
            <w:tcBorders>
              <w:top w:val="single" w:sz="8" w:space="0" w:color="0D0D0D" w:themeColor="text1" w:themeTint="F2"/>
              <w:bottom w:val="single" w:sz="8" w:space="0" w:color="0D0D0D" w:themeColor="text1" w:themeTint="F2"/>
            </w:tcBorders>
            <w:shd w:val="clear" w:color="auto" w:fill="27666E"/>
            <w:vAlign w:val="center"/>
          </w:tcPr>
          <w:p w14:paraId="361E608F" w14:textId="34DEE8E6" w:rsidR="00773A54" w:rsidRPr="004314BA" w:rsidRDefault="00773A54" w:rsidP="00FF5CD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4314BA">
              <w:rPr>
                <w:color w:val="FFFFFF" w:themeColor="background1"/>
                <w:sz w:val="22"/>
                <w:szCs w:val="22"/>
              </w:rPr>
              <w:t xml:space="preserve">Subpart A: </w:t>
            </w:r>
            <w:r w:rsidRPr="004314BA">
              <w:rPr>
                <w:b w:val="0"/>
                <w:bCs w:val="0"/>
                <w:color w:val="FFFFFF" w:themeColor="background1"/>
                <w:sz w:val="22"/>
                <w:szCs w:val="22"/>
              </w:rPr>
              <w:t>General Provisions</w:t>
            </w:r>
          </w:p>
        </w:tc>
        <w:tc>
          <w:tcPr>
            <w:tcW w:w="1597" w:type="dxa"/>
            <w:tcBorders>
              <w:top w:val="single" w:sz="8" w:space="0" w:color="0D0D0D" w:themeColor="text1" w:themeTint="F2"/>
              <w:bottom w:val="single" w:sz="8" w:space="0" w:color="0D0D0D" w:themeColor="text1" w:themeTint="F2"/>
            </w:tcBorders>
            <w:shd w:val="clear" w:color="auto" w:fill="27666E"/>
            <w:vAlign w:val="center"/>
          </w:tcPr>
          <w:p w14:paraId="466B16A1" w14:textId="3E2A9E53" w:rsidR="00773A54" w:rsidRPr="004314BA" w:rsidRDefault="00773A54" w:rsidP="00FF5CD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4314BA">
              <w:rPr>
                <w:color w:val="FFFFFF" w:themeColor="background1"/>
                <w:sz w:val="22"/>
                <w:szCs w:val="22"/>
              </w:rPr>
              <w:t xml:space="preserve">Subpart B: </w:t>
            </w:r>
            <w:r w:rsidRPr="004314BA">
              <w:rPr>
                <w:b w:val="0"/>
                <w:bCs w:val="0"/>
                <w:color w:val="FFFFFF" w:themeColor="background1"/>
                <w:sz w:val="22"/>
                <w:szCs w:val="22"/>
              </w:rPr>
              <w:t>Current Good Manufacturing Practices</w:t>
            </w:r>
          </w:p>
        </w:tc>
        <w:tc>
          <w:tcPr>
            <w:tcW w:w="1598" w:type="dxa"/>
            <w:tcBorders>
              <w:top w:val="single" w:sz="8" w:space="0" w:color="0D0D0D" w:themeColor="text1" w:themeTint="F2"/>
              <w:bottom w:val="single" w:sz="8" w:space="0" w:color="0D0D0D" w:themeColor="text1" w:themeTint="F2"/>
            </w:tcBorders>
            <w:shd w:val="clear" w:color="auto" w:fill="27666E"/>
            <w:vAlign w:val="center"/>
          </w:tcPr>
          <w:p w14:paraId="154FFFAC" w14:textId="04C0B1FE" w:rsidR="00773A54" w:rsidRPr="004314BA" w:rsidRDefault="00773A54" w:rsidP="00FF5CD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4314BA">
              <w:rPr>
                <w:color w:val="FFFFFF" w:themeColor="background1"/>
                <w:sz w:val="22"/>
                <w:szCs w:val="22"/>
              </w:rPr>
              <w:t xml:space="preserve">Subpart C: </w:t>
            </w:r>
            <w:r w:rsidRPr="004314BA">
              <w:rPr>
                <w:b w:val="0"/>
                <w:bCs w:val="0"/>
                <w:color w:val="FFFFFF" w:themeColor="background1"/>
                <w:sz w:val="22"/>
                <w:szCs w:val="22"/>
              </w:rPr>
              <w:t>Hazard Analysis/PC</w:t>
            </w:r>
          </w:p>
        </w:tc>
        <w:tc>
          <w:tcPr>
            <w:tcW w:w="1710" w:type="dxa"/>
            <w:tcBorders>
              <w:top w:val="single" w:sz="8" w:space="0" w:color="0D0D0D" w:themeColor="text1" w:themeTint="F2"/>
              <w:bottom w:val="single" w:sz="8" w:space="0" w:color="0D0D0D" w:themeColor="text1" w:themeTint="F2"/>
            </w:tcBorders>
            <w:shd w:val="clear" w:color="auto" w:fill="27666E"/>
            <w:vAlign w:val="center"/>
          </w:tcPr>
          <w:p w14:paraId="39103384" w14:textId="47EDFFE5" w:rsidR="00773A54" w:rsidRPr="004314BA" w:rsidRDefault="00773A54" w:rsidP="00FF5CD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4314BA">
              <w:rPr>
                <w:color w:val="FFFFFF" w:themeColor="background1"/>
                <w:sz w:val="22"/>
                <w:szCs w:val="22"/>
              </w:rPr>
              <w:t xml:space="preserve">Subpart D: </w:t>
            </w:r>
            <w:r w:rsidRPr="004314BA">
              <w:rPr>
                <w:b w:val="0"/>
                <w:bCs w:val="0"/>
                <w:color w:val="FFFFFF" w:themeColor="background1"/>
                <w:sz w:val="22"/>
                <w:szCs w:val="22"/>
              </w:rPr>
              <w:t>Modified Requirements (for qualified facilities)</w:t>
            </w:r>
          </w:p>
        </w:tc>
        <w:tc>
          <w:tcPr>
            <w:tcW w:w="1710" w:type="dxa"/>
            <w:tcBorders>
              <w:top w:val="single" w:sz="8" w:space="0" w:color="0D0D0D" w:themeColor="text1" w:themeTint="F2"/>
              <w:bottom w:val="single" w:sz="8" w:space="0" w:color="0D0D0D" w:themeColor="text1" w:themeTint="F2"/>
            </w:tcBorders>
            <w:shd w:val="clear" w:color="auto" w:fill="27666E"/>
            <w:vAlign w:val="center"/>
          </w:tcPr>
          <w:p w14:paraId="3D95141D" w14:textId="20ECD074" w:rsidR="00773A54" w:rsidRPr="004314BA" w:rsidRDefault="00773A54" w:rsidP="00FF5CD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4314BA">
              <w:rPr>
                <w:color w:val="FFFFFF" w:themeColor="background1"/>
                <w:sz w:val="22"/>
                <w:szCs w:val="22"/>
              </w:rPr>
              <w:t xml:space="preserve">Subpart E: </w:t>
            </w:r>
            <w:r w:rsidRPr="004314BA">
              <w:rPr>
                <w:b w:val="0"/>
                <w:bCs w:val="0"/>
                <w:color w:val="FFFFFF" w:themeColor="background1"/>
                <w:sz w:val="22"/>
                <w:szCs w:val="22"/>
              </w:rPr>
              <w:t>Withdrawal of a Qualified Facility Exemption</w:t>
            </w:r>
          </w:p>
        </w:tc>
        <w:tc>
          <w:tcPr>
            <w:tcW w:w="1372" w:type="dxa"/>
            <w:tcBorders>
              <w:top w:val="single" w:sz="8" w:space="0" w:color="0D0D0D" w:themeColor="text1" w:themeTint="F2"/>
              <w:bottom w:val="single" w:sz="8" w:space="0" w:color="0D0D0D" w:themeColor="text1" w:themeTint="F2"/>
            </w:tcBorders>
            <w:shd w:val="clear" w:color="auto" w:fill="27666E"/>
            <w:vAlign w:val="center"/>
          </w:tcPr>
          <w:p w14:paraId="1B31691D" w14:textId="2033ECBD" w:rsidR="00773A54" w:rsidRPr="004314BA" w:rsidRDefault="00773A54" w:rsidP="00FF5CD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4314BA">
              <w:rPr>
                <w:color w:val="FFFFFF" w:themeColor="background1"/>
                <w:sz w:val="22"/>
                <w:szCs w:val="22"/>
              </w:rPr>
              <w:t xml:space="preserve">Subpart F: </w:t>
            </w:r>
            <w:r w:rsidRPr="004314BA">
              <w:rPr>
                <w:b w:val="0"/>
                <w:bCs w:val="0"/>
                <w:color w:val="FFFFFF" w:themeColor="background1"/>
                <w:sz w:val="22"/>
                <w:szCs w:val="22"/>
              </w:rPr>
              <w:t>Records</w:t>
            </w:r>
          </w:p>
        </w:tc>
        <w:tc>
          <w:tcPr>
            <w:tcW w:w="1598" w:type="dxa"/>
            <w:tcBorders>
              <w:top w:val="single" w:sz="8" w:space="0" w:color="0D0D0D" w:themeColor="text1" w:themeTint="F2"/>
              <w:bottom w:val="single" w:sz="8" w:space="0" w:color="0D0D0D" w:themeColor="text1" w:themeTint="F2"/>
              <w:right w:val="single" w:sz="8" w:space="0" w:color="0D0D0D" w:themeColor="text1" w:themeTint="F2"/>
            </w:tcBorders>
            <w:shd w:val="clear" w:color="auto" w:fill="27666E"/>
            <w:vAlign w:val="center"/>
          </w:tcPr>
          <w:p w14:paraId="519A4970" w14:textId="67CBF1B8" w:rsidR="00773A54" w:rsidRPr="004314BA" w:rsidRDefault="00773A54" w:rsidP="00FF5CD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4314BA">
              <w:rPr>
                <w:color w:val="FFFFFF" w:themeColor="background1"/>
                <w:sz w:val="22"/>
                <w:szCs w:val="22"/>
              </w:rPr>
              <w:t xml:space="preserve">Subpart G: </w:t>
            </w:r>
            <w:r w:rsidRPr="004314BA">
              <w:rPr>
                <w:b w:val="0"/>
                <w:bCs w:val="0"/>
                <w:color w:val="FFFFFF" w:themeColor="background1"/>
                <w:sz w:val="22"/>
                <w:szCs w:val="22"/>
              </w:rPr>
              <w:t>Supply-Chain Program</w:t>
            </w:r>
          </w:p>
        </w:tc>
      </w:tr>
      <w:tr w:rsidR="004314BA" w14:paraId="6004FBA5" w14:textId="77777777" w:rsidTr="004314BA">
        <w:trPr>
          <w:trHeight w:val="1426"/>
        </w:trPr>
        <w:tc>
          <w:tcPr>
            <w:cnfStyle w:val="001000000000" w:firstRow="0" w:lastRow="0" w:firstColumn="1" w:lastColumn="0" w:oddVBand="0" w:evenVBand="0" w:oddHBand="0" w:evenHBand="0" w:firstRowFirstColumn="0" w:firstRowLastColumn="0" w:lastRowFirstColumn="0" w:lastRowLastColumn="0"/>
            <w:tcW w:w="1800" w:type="dxa"/>
            <w:tcBorders>
              <w:top w:val="single" w:sz="6" w:space="0" w:color="0D0D0D" w:themeColor="text1" w:themeTint="F2"/>
              <w:left w:val="single" w:sz="8" w:space="0" w:color="0D0D0D" w:themeColor="text1" w:themeTint="F2"/>
              <w:bottom w:val="single" w:sz="6" w:space="0" w:color="0D0D0D" w:themeColor="text1" w:themeTint="F2"/>
              <w:right w:val="single" w:sz="8" w:space="0" w:color="0D0D0D" w:themeColor="text1" w:themeTint="F2"/>
            </w:tcBorders>
            <w:shd w:val="clear" w:color="auto" w:fill="27666E"/>
            <w:vAlign w:val="center"/>
          </w:tcPr>
          <w:p w14:paraId="4BFC1796" w14:textId="5525C825" w:rsidR="00773A54" w:rsidRPr="004314BA" w:rsidRDefault="00773A54" w:rsidP="00FF5CD0">
            <w:pPr>
              <w:rPr>
                <w:color w:val="FFFFFF" w:themeColor="background1"/>
                <w:sz w:val="22"/>
                <w:szCs w:val="22"/>
              </w:rPr>
            </w:pPr>
            <w:r w:rsidRPr="004314BA">
              <w:rPr>
                <w:color w:val="FFFFFF" w:themeColor="background1"/>
                <w:sz w:val="22"/>
                <w:szCs w:val="22"/>
              </w:rPr>
              <w:t>Farm</w:t>
            </w:r>
          </w:p>
        </w:tc>
        <w:tc>
          <w:tcPr>
            <w:tcW w:w="1597" w:type="dxa"/>
            <w:tcBorders>
              <w:top w:val="single" w:sz="2" w:space="0" w:color="0D0D0D" w:themeColor="text1" w:themeTint="F2"/>
              <w:left w:val="single" w:sz="8" w:space="0" w:color="0D0D0D" w:themeColor="text1" w:themeTint="F2"/>
              <w:bottom w:val="single" w:sz="6" w:space="0" w:color="0D0D0D" w:themeColor="text1" w:themeTint="F2"/>
              <w:right w:val="single" w:sz="6" w:space="0" w:color="0D0D0D" w:themeColor="text1" w:themeTint="F2"/>
            </w:tcBorders>
            <w:shd w:val="clear" w:color="auto" w:fill="F7C5AC"/>
            <w:vAlign w:val="center"/>
          </w:tcPr>
          <w:p w14:paraId="2121AAC3" w14:textId="29095519"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No</w:t>
            </w:r>
          </w:p>
        </w:tc>
        <w:tc>
          <w:tcPr>
            <w:tcW w:w="1598" w:type="dxa"/>
            <w:tcBorders>
              <w:top w:val="single" w:sz="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vAlign w:val="center"/>
          </w:tcPr>
          <w:p w14:paraId="23A0C971" w14:textId="6B2D2350"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No</w:t>
            </w:r>
          </w:p>
        </w:tc>
        <w:tc>
          <w:tcPr>
            <w:tcW w:w="1597" w:type="dxa"/>
            <w:tcBorders>
              <w:top w:val="single" w:sz="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vAlign w:val="center"/>
          </w:tcPr>
          <w:p w14:paraId="6A5CBC48" w14:textId="3D0F1CE6"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No</w:t>
            </w:r>
          </w:p>
        </w:tc>
        <w:tc>
          <w:tcPr>
            <w:tcW w:w="1598" w:type="dxa"/>
            <w:tcBorders>
              <w:top w:val="single" w:sz="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vAlign w:val="center"/>
          </w:tcPr>
          <w:p w14:paraId="02AFF3E5" w14:textId="7D7C81A1"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No</w:t>
            </w:r>
          </w:p>
        </w:tc>
        <w:tc>
          <w:tcPr>
            <w:tcW w:w="1710" w:type="dxa"/>
            <w:tcBorders>
              <w:top w:val="single" w:sz="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vAlign w:val="center"/>
          </w:tcPr>
          <w:p w14:paraId="332C5496" w14:textId="28B33FE2"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No</w:t>
            </w:r>
          </w:p>
        </w:tc>
        <w:tc>
          <w:tcPr>
            <w:tcW w:w="1710" w:type="dxa"/>
            <w:tcBorders>
              <w:top w:val="single" w:sz="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vAlign w:val="center"/>
          </w:tcPr>
          <w:p w14:paraId="46B5C168" w14:textId="33A19799"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No</w:t>
            </w:r>
          </w:p>
        </w:tc>
        <w:tc>
          <w:tcPr>
            <w:tcW w:w="1372" w:type="dxa"/>
            <w:tcBorders>
              <w:top w:val="single" w:sz="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vAlign w:val="center"/>
          </w:tcPr>
          <w:p w14:paraId="45C98521" w14:textId="5D9FBE8C"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No</w:t>
            </w:r>
          </w:p>
        </w:tc>
        <w:tc>
          <w:tcPr>
            <w:tcW w:w="1598" w:type="dxa"/>
            <w:tcBorders>
              <w:top w:val="single" w:sz="2" w:space="0" w:color="0D0D0D" w:themeColor="text1" w:themeTint="F2"/>
              <w:left w:val="single" w:sz="6" w:space="0" w:color="0D0D0D" w:themeColor="text1" w:themeTint="F2"/>
              <w:bottom w:val="single" w:sz="6" w:space="0" w:color="0D0D0D" w:themeColor="text1" w:themeTint="F2"/>
              <w:right w:val="single" w:sz="8" w:space="0" w:color="0D0D0D" w:themeColor="text1" w:themeTint="F2"/>
            </w:tcBorders>
            <w:shd w:val="clear" w:color="auto" w:fill="F7C5AC"/>
            <w:vAlign w:val="center"/>
          </w:tcPr>
          <w:p w14:paraId="5F050E5D" w14:textId="3202FB06"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No</w:t>
            </w:r>
          </w:p>
        </w:tc>
      </w:tr>
      <w:tr w:rsidR="004314BA" w14:paraId="4CA3B7F9" w14:textId="77777777" w:rsidTr="004314BA">
        <w:trPr>
          <w:trHeight w:val="1426"/>
        </w:trPr>
        <w:tc>
          <w:tcPr>
            <w:cnfStyle w:val="001000000000" w:firstRow="0" w:lastRow="0" w:firstColumn="1" w:lastColumn="0" w:oddVBand="0" w:evenVBand="0" w:oddHBand="0" w:evenHBand="0" w:firstRowFirstColumn="0" w:firstRowLastColumn="0" w:lastRowFirstColumn="0" w:lastRowLastColumn="0"/>
            <w:tcW w:w="1800" w:type="dxa"/>
            <w:tcBorders>
              <w:top w:val="single" w:sz="6" w:space="0" w:color="0D0D0D" w:themeColor="text1" w:themeTint="F2"/>
              <w:left w:val="single" w:sz="8" w:space="0" w:color="0D0D0D" w:themeColor="text1" w:themeTint="F2"/>
              <w:bottom w:val="single" w:sz="6" w:space="0" w:color="0D0D0D" w:themeColor="text1" w:themeTint="F2"/>
              <w:right w:val="single" w:sz="8" w:space="0" w:color="0D0D0D" w:themeColor="text1" w:themeTint="F2"/>
            </w:tcBorders>
            <w:shd w:val="clear" w:color="auto" w:fill="27666E"/>
            <w:vAlign w:val="center"/>
          </w:tcPr>
          <w:p w14:paraId="3A36DE6E" w14:textId="77F34803" w:rsidR="00773A54" w:rsidRPr="004314BA" w:rsidRDefault="00773A54" w:rsidP="00FF5CD0">
            <w:pPr>
              <w:rPr>
                <w:color w:val="FFFFFF" w:themeColor="background1"/>
                <w:sz w:val="22"/>
                <w:szCs w:val="22"/>
              </w:rPr>
            </w:pPr>
            <w:r w:rsidRPr="004314BA">
              <w:rPr>
                <w:color w:val="FFFFFF" w:themeColor="background1"/>
                <w:sz w:val="22"/>
                <w:szCs w:val="22"/>
              </w:rPr>
              <w:t>Facility</w:t>
            </w:r>
          </w:p>
        </w:tc>
        <w:tc>
          <w:tcPr>
            <w:tcW w:w="1597" w:type="dxa"/>
            <w:tcBorders>
              <w:top w:val="single" w:sz="6" w:space="0" w:color="0D0D0D" w:themeColor="text1" w:themeTint="F2"/>
              <w:left w:val="single" w:sz="8" w:space="0" w:color="0D0D0D" w:themeColor="text1" w:themeTint="F2"/>
              <w:bottom w:val="single" w:sz="6" w:space="0" w:color="0D0D0D" w:themeColor="text1" w:themeTint="F2"/>
              <w:right w:val="single" w:sz="6" w:space="0" w:color="0D0D0D" w:themeColor="text1" w:themeTint="F2"/>
            </w:tcBorders>
            <w:shd w:val="clear" w:color="auto" w:fill="D9EAD3"/>
            <w:vAlign w:val="center"/>
          </w:tcPr>
          <w:p w14:paraId="65FFF49B" w14:textId="4645E8CD"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w:t>
            </w:r>
          </w:p>
        </w:tc>
        <w:tc>
          <w:tcPr>
            <w:tcW w:w="159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vAlign w:val="center"/>
          </w:tcPr>
          <w:p w14:paraId="2757C590" w14:textId="7FBAE8A2"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w:t>
            </w:r>
          </w:p>
        </w:tc>
        <w:tc>
          <w:tcPr>
            <w:tcW w:w="1597"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vAlign w:val="center"/>
          </w:tcPr>
          <w:p w14:paraId="6D42E453" w14:textId="605F4B00"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w:t>
            </w:r>
          </w:p>
        </w:tc>
        <w:tc>
          <w:tcPr>
            <w:tcW w:w="159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vAlign w:val="center"/>
          </w:tcPr>
          <w:p w14:paraId="3A3E3B24" w14:textId="31FAAA5A"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w:t>
            </w:r>
          </w:p>
        </w:tc>
        <w:tc>
          <w:tcPr>
            <w:tcW w:w="171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vAlign w:val="center"/>
          </w:tcPr>
          <w:p w14:paraId="006F98A4" w14:textId="7E6C4116"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No</w:t>
            </w:r>
          </w:p>
        </w:tc>
        <w:tc>
          <w:tcPr>
            <w:tcW w:w="171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vAlign w:val="center"/>
          </w:tcPr>
          <w:p w14:paraId="543F86C5" w14:textId="0932B5B1"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No</w:t>
            </w:r>
          </w:p>
        </w:tc>
        <w:tc>
          <w:tcPr>
            <w:tcW w:w="1372"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vAlign w:val="center"/>
          </w:tcPr>
          <w:p w14:paraId="24222071" w14:textId="2A061295"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w:t>
            </w:r>
          </w:p>
        </w:tc>
        <w:tc>
          <w:tcPr>
            <w:tcW w:w="1598" w:type="dxa"/>
            <w:tcBorders>
              <w:top w:val="single" w:sz="6" w:space="0" w:color="0D0D0D" w:themeColor="text1" w:themeTint="F2"/>
              <w:left w:val="single" w:sz="6" w:space="0" w:color="0D0D0D" w:themeColor="text1" w:themeTint="F2"/>
              <w:bottom w:val="single" w:sz="6" w:space="0" w:color="0D0D0D" w:themeColor="text1" w:themeTint="F2"/>
              <w:right w:val="single" w:sz="8" w:space="0" w:color="0D0D0D" w:themeColor="text1" w:themeTint="F2"/>
            </w:tcBorders>
            <w:shd w:val="clear" w:color="auto" w:fill="D9EAD3"/>
            <w:vAlign w:val="center"/>
          </w:tcPr>
          <w:p w14:paraId="4C434B11" w14:textId="51002937"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w:t>
            </w:r>
          </w:p>
        </w:tc>
      </w:tr>
      <w:tr w:rsidR="004314BA" w14:paraId="5D2EB211" w14:textId="77777777" w:rsidTr="004314BA">
        <w:trPr>
          <w:trHeight w:val="1426"/>
        </w:trPr>
        <w:tc>
          <w:tcPr>
            <w:cnfStyle w:val="001000000000" w:firstRow="0" w:lastRow="0" w:firstColumn="1" w:lastColumn="0" w:oddVBand="0" w:evenVBand="0" w:oddHBand="0" w:evenHBand="0" w:firstRowFirstColumn="0" w:firstRowLastColumn="0" w:lastRowFirstColumn="0" w:lastRowLastColumn="0"/>
            <w:tcW w:w="1800" w:type="dxa"/>
            <w:tcBorders>
              <w:top w:val="single" w:sz="6" w:space="0" w:color="0D0D0D" w:themeColor="text1" w:themeTint="F2"/>
              <w:left w:val="single" w:sz="8" w:space="0" w:color="0D0D0D" w:themeColor="text1" w:themeTint="F2"/>
              <w:bottom w:val="single" w:sz="6" w:space="0" w:color="0D0D0D" w:themeColor="text1" w:themeTint="F2"/>
              <w:right w:val="single" w:sz="8" w:space="0" w:color="0D0D0D" w:themeColor="text1" w:themeTint="F2"/>
            </w:tcBorders>
            <w:shd w:val="clear" w:color="auto" w:fill="27666E"/>
            <w:vAlign w:val="center"/>
          </w:tcPr>
          <w:p w14:paraId="3FD59B68" w14:textId="2EBCB5A3" w:rsidR="00773A54" w:rsidRPr="004314BA" w:rsidRDefault="00773A54" w:rsidP="00FF5CD0">
            <w:pPr>
              <w:rPr>
                <w:color w:val="FFFFFF" w:themeColor="background1"/>
                <w:sz w:val="22"/>
                <w:szCs w:val="22"/>
              </w:rPr>
            </w:pPr>
            <w:r w:rsidRPr="004314BA">
              <w:rPr>
                <w:color w:val="FFFFFF" w:themeColor="background1"/>
                <w:sz w:val="22"/>
                <w:szCs w:val="22"/>
              </w:rPr>
              <w:t>Qualified Facility</w:t>
            </w:r>
          </w:p>
        </w:tc>
        <w:tc>
          <w:tcPr>
            <w:tcW w:w="1597" w:type="dxa"/>
            <w:tcBorders>
              <w:top w:val="single" w:sz="6" w:space="0" w:color="0D0D0D" w:themeColor="text1" w:themeTint="F2"/>
              <w:left w:val="single" w:sz="8" w:space="0" w:color="0D0D0D" w:themeColor="text1" w:themeTint="F2"/>
              <w:bottom w:val="single" w:sz="6" w:space="0" w:color="0D0D0D" w:themeColor="text1" w:themeTint="F2"/>
              <w:right w:val="single" w:sz="6" w:space="0" w:color="0D0D0D" w:themeColor="text1" w:themeTint="F2"/>
            </w:tcBorders>
            <w:shd w:val="clear" w:color="auto" w:fill="D9EAD3"/>
            <w:vAlign w:val="center"/>
          </w:tcPr>
          <w:p w14:paraId="00B7B75B" w14:textId="22E11FD9"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w:t>
            </w:r>
          </w:p>
        </w:tc>
        <w:tc>
          <w:tcPr>
            <w:tcW w:w="159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vAlign w:val="center"/>
          </w:tcPr>
          <w:p w14:paraId="2301D7FB" w14:textId="4E1D2C3F"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w:t>
            </w:r>
          </w:p>
        </w:tc>
        <w:tc>
          <w:tcPr>
            <w:tcW w:w="1597"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vAlign w:val="center"/>
          </w:tcPr>
          <w:p w14:paraId="18C77B53" w14:textId="2ED6B295"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w:t>
            </w:r>
          </w:p>
        </w:tc>
        <w:tc>
          <w:tcPr>
            <w:tcW w:w="159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vAlign w:val="center"/>
          </w:tcPr>
          <w:p w14:paraId="37D2D48A" w14:textId="42A0B96D"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No</w:t>
            </w:r>
          </w:p>
        </w:tc>
        <w:tc>
          <w:tcPr>
            <w:tcW w:w="171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vAlign w:val="center"/>
          </w:tcPr>
          <w:p w14:paraId="2E3088DD" w14:textId="5A31C50E"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w:t>
            </w:r>
          </w:p>
        </w:tc>
        <w:tc>
          <w:tcPr>
            <w:tcW w:w="171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DE69A"/>
            <w:vAlign w:val="center"/>
          </w:tcPr>
          <w:p w14:paraId="16FF5676" w14:textId="07848112"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 if losing Qualified Facility status</w:t>
            </w:r>
          </w:p>
        </w:tc>
        <w:tc>
          <w:tcPr>
            <w:tcW w:w="1372"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vAlign w:val="center"/>
          </w:tcPr>
          <w:p w14:paraId="5CA4ADFA" w14:textId="061CDA61"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w:t>
            </w:r>
          </w:p>
        </w:tc>
        <w:tc>
          <w:tcPr>
            <w:tcW w:w="1598" w:type="dxa"/>
            <w:tcBorders>
              <w:top w:val="single" w:sz="6" w:space="0" w:color="0D0D0D" w:themeColor="text1" w:themeTint="F2"/>
              <w:left w:val="single" w:sz="6" w:space="0" w:color="0D0D0D" w:themeColor="text1" w:themeTint="F2"/>
              <w:bottom w:val="single" w:sz="6" w:space="0" w:color="0D0D0D" w:themeColor="text1" w:themeTint="F2"/>
              <w:right w:val="single" w:sz="8" w:space="0" w:color="0D0D0D" w:themeColor="text1" w:themeTint="F2"/>
            </w:tcBorders>
            <w:shd w:val="clear" w:color="auto" w:fill="F7C5AC"/>
            <w:vAlign w:val="center"/>
          </w:tcPr>
          <w:p w14:paraId="34B34A1B" w14:textId="3BC9A408"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No</w:t>
            </w:r>
          </w:p>
        </w:tc>
      </w:tr>
      <w:tr w:rsidR="00B2371F" w14:paraId="17219E28" w14:textId="77777777" w:rsidTr="004314BA">
        <w:trPr>
          <w:trHeight w:val="1426"/>
        </w:trPr>
        <w:tc>
          <w:tcPr>
            <w:cnfStyle w:val="001000000000" w:firstRow="0" w:lastRow="0" w:firstColumn="1" w:lastColumn="0" w:oddVBand="0" w:evenVBand="0" w:oddHBand="0" w:evenHBand="0" w:firstRowFirstColumn="0" w:firstRowLastColumn="0" w:lastRowFirstColumn="0" w:lastRowLastColumn="0"/>
            <w:tcW w:w="1800" w:type="dxa"/>
            <w:tcBorders>
              <w:top w:val="single" w:sz="6"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27666E"/>
            <w:vAlign w:val="center"/>
          </w:tcPr>
          <w:p w14:paraId="63722238" w14:textId="4AC7D963" w:rsidR="00773A54" w:rsidRPr="004314BA" w:rsidRDefault="00773A54" w:rsidP="00FF5CD0">
            <w:pPr>
              <w:rPr>
                <w:color w:val="FFFFFF" w:themeColor="background1"/>
                <w:sz w:val="22"/>
                <w:szCs w:val="22"/>
              </w:rPr>
            </w:pPr>
            <w:r w:rsidRPr="004314BA">
              <w:rPr>
                <w:color w:val="FFFFFF" w:themeColor="background1"/>
                <w:sz w:val="22"/>
                <w:szCs w:val="22"/>
              </w:rPr>
              <w:t>Mixed-Type Facility</w:t>
            </w:r>
          </w:p>
        </w:tc>
        <w:tc>
          <w:tcPr>
            <w:tcW w:w="1597" w:type="dxa"/>
            <w:tcBorders>
              <w:top w:val="single" w:sz="6" w:space="0" w:color="0D0D0D" w:themeColor="text1" w:themeTint="F2"/>
              <w:left w:val="single" w:sz="8" w:space="0" w:color="0D0D0D" w:themeColor="text1" w:themeTint="F2"/>
              <w:bottom w:val="single" w:sz="8" w:space="0" w:color="0D0D0D" w:themeColor="text1" w:themeTint="F2"/>
              <w:right w:val="single" w:sz="6" w:space="0" w:color="0D0D0D" w:themeColor="text1" w:themeTint="F2"/>
            </w:tcBorders>
            <w:shd w:val="clear" w:color="auto" w:fill="D9EAD3"/>
            <w:vAlign w:val="center"/>
          </w:tcPr>
          <w:p w14:paraId="2C97BBB3" w14:textId="25A105E1"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w:t>
            </w:r>
          </w:p>
        </w:tc>
        <w:tc>
          <w:tcPr>
            <w:tcW w:w="1598" w:type="dxa"/>
            <w:tcBorders>
              <w:top w:val="single" w:sz="6" w:space="0" w:color="0D0D0D" w:themeColor="text1" w:themeTint="F2"/>
              <w:left w:val="single" w:sz="6" w:space="0" w:color="0D0D0D" w:themeColor="text1" w:themeTint="F2"/>
              <w:bottom w:val="single" w:sz="8" w:space="0" w:color="0D0D0D" w:themeColor="text1" w:themeTint="F2"/>
              <w:right w:val="single" w:sz="6" w:space="0" w:color="0D0D0D" w:themeColor="text1" w:themeTint="F2"/>
            </w:tcBorders>
            <w:shd w:val="clear" w:color="auto" w:fill="D9EAD3"/>
            <w:vAlign w:val="center"/>
          </w:tcPr>
          <w:p w14:paraId="54089772" w14:textId="74899AD6"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w:t>
            </w:r>
          </w:p>
        </w:tc>
        <w:tc>
          <w:tcPr>
            <w:tcW w:w="1597" w:type="dxa"/>
            <w:tcBorders>
              <w:top w:val="single" w:sz="6" w:space="0" w:color="0D0D0D" w:themeColor="text1" w:themeTint="F2"/>
              <w:left w:val="single" w:sz="6" w:space="0" w:color="0D0D0D" w:themeColor="text1" w:themeTint="F2"/>
              <w:bottom w:val="single" w:sz="8" w:space="0" w:color="0D0D0D" w:themeColor="text1" w:themeTint="F2"/>
              <w:right w:val="single" w:sz="6" w:space="0" w:color="0D0D0D" w:themeColor="text1" w:themeTint="F2"/>
            </w:tcBorders>
            <w:shd w:val="clear" w:color="auto" w:fill="D9EAD3"/>
            <w:vAlign w:val="center"/>
          </w:tcPr>
          <w:p w14:paraId="68A6CCF3" w14:textId="52E539CA"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w:t>
            </w:r>
          </w:p>
        </w:tc>
        <w:tc>
          <w:tcPr>
            <w:tcW w:w="1598" w:type="dxa"/>
            <w:tcBorders>
              <w:top w:val="single" w:sz="6" w:space="0" w:color="0D0D0D" w:themeColor="text1" w:themeTint="F2"/>
              <w:left w:val="single" w:sz="6" w:space="0" w:color="0D0D0D" w:themeColor="text1" w:themeTint="F2"/>
              <w:bottom w:val="single" w:sz="8" w:space="0" w:color="0D0D0D" w:themeColor="text1" w:themeTint="F2"/>
              <w:right w:val="single" w:sz="6" w:space="0" w:color="0D0D0D" w:themeColor="text1" w:themeTint="F2"/>
            </w:tcBorders>
            <w:shd w:val="clear" w:color="auto" w:fill="FDE69A"/>
            <w:vAlign w:val="center"/>
          </w:tcPr>
          <w:p w14:paraId="62116CA1" w14:textId="687E9927"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 unless a Qualified Facility, then follow Subpart D</w:t>
            </w:r>
          </w:p>
        </w:tc>
        <w:tc>
          <w:tcPr>
            <w:tcW w:w="1710" w:type="dxa"/>
            <w:tcBorders>
              <w:top w:val="single" w:sz="6" w:space="0" w:color="0D0D0D" w:themeColor="text1" w:themeTint="F2"/>
              <w:left w:val="single" w:sz="6" w:space="0" w:color="0D0D0D" w:themeColor="text1" w:themeTint="F2"/>
              <w:bottom w:val="single" w:sz="8" w:space="0" w:color="0D0D0D" w:themeColor="text1" w:themeTint="F2"/>
              <w:right w:val="single" w:sz="6" w:space="0" w:color="0D0D0D" w:themeColor="text1" w:themeTint="F2"/>
            </w:tcBorders>
            <w:shd w:val="clear" w:color="auto" w:fill="FDE69A"/>
            <w:vAlign w:val="center"/>
          </w:tcPr>
          <w:p w14:paraId="51813AF9" w14:textId="6EFEFBA6"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 if a Qualified Facility</w:t>
            </w:r>
          </w:p>
        </w:tc>
        <w:tc>
          <w:tcPr>
            <w:tcW w:w="1710" w:type="dxa"/>
            <w:tcBorders>
              <w:top w:val="single" w:sz="6" w:space="0" w:color="0D0D0D" w:themeColor="text1" w:themeTint="F2"/>
              <w:left w:val="single" w:sz="6" w:space="0" w:color="0D0D0D" w:themeColor="text1" w:themeTint="F2"/>
              <w:bottom w:val="single" w:sz="8" w:space="0" w:color="0D0D0D" w:themeColor="text1" w:themeTint="F2"/>
              <w:right w:val="single" w:sz="6" w:space="0" w:color="0D0D0D" w:themeColor="text1" w:themeTint="F2"/>
            </w:tcBorders>
            <w:shd w:val="clear" w:color="auto" w:fill="FDE69A"/>
            <w:vAlign w:val="center"/>
          </w:tcPr>
          <w:p w14:paraId="65C03E2B" w14:textId="063118D0"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 if losing Qualified Facility status</w:t>
            </w:r>
          </w:p>
        </w:tc>
        <w:tc>
          <w:tcPr>
            <w:tcW w:w="1372" w:type="dxa"/>
            <w:tcBorders>
              <w:top w:val="single" w:sz="6" w:space="0" w:color="0D0D0D" w:themeColor="text1" w:themeTint="F2"/>
              <w:left w:val="single" w:sz="6" w:space="0" w:color="0D0D0D" w:themeColor="text1" w:themeTint="F2"/>
              <w:bottom w:val="single" w:sz="8" w:space="0" w:color="0D0D0D" w:themeColor="text1" w:themeTint="F2"/>
              <w:right w:val="single" w:sz="6" w:space="0" w:color="0D0D0D" w:themeColor="text1" w:themeTint="F2"/>
            </w:tcBorders>
            <w:shd w:val="clear" w:color="auto" w:fill="D9EAD3"/>
            <w:vAlign w:val="center"/>
          </w:tcPr>
          <w:p w14:paraId="1B1DDE0D" w14:textId="5E53FBCB"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w:t>
            </w:r>
          </w:p>
        </w:tc>
        <w:tc>
          <w:tcPr>
            <w:tcW w:w="1598" w:type="dxa"/>
            <w:tcBorders>
              <w:top w:val="single" w:sz="6" w:space="0" w:color="0D0D0D" w:themeColor="text1" w:themeTint="F2"/>
              <w:left w:val="single" w:sz="6" w:space="0" w:color="0D0D0D" w:themeColor="text1" w:themeTint="F2"/>
              <w:bottom w:val="single" w:sz="8" w:space="0" w:color="0D0D0D" w:themeColor="text1" w:themeTint="F2"/>
              <w:right w:val="single" w:sz="8" w:space="0" w:color="0D0D0D" w:themeColor="text1" w:themeTint="F2"/>
            </w:tcBorders>
            <w:shd w:val="clear" w:color="auto" w:fill="FDE69A"/>
            <w:vAlign w:val="center"/>
          </w:tcPr>
          <w:p w14:paraId="63DC57CF" w14:textId="1C083805" w:rsidR="00773A54" w:rsidRPr="00477C87" w:rsidRDefault="00773A54" w:rsidP="00FF5CD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7C87">
              <w:rPr>
                <w:sz w:val="22"/>
                <w:szCs w:val="22"/>
              </w:rPr>
              <w:t>Yes, unless a Qualified Facility</w:t>
            </w:r>
          </w:p>
        </w:tc>
      </w:tr>
    </w:tbl>
    <w:p w14:paraId="438F76D4" w14:textId="77777777" w:rsidR="00FF5CD0" w:rsidRDefault="00FF5CD0" w:rsidP="00441BE0">
      <w:pPr>
        <w:pStyle w:val="Heading2"/>
        <w:sectPr w:rsidR="00FF5CD0" w:rsidSect="00FF5CD0">
          <w:pgSz w:w="15840" w:h="12240" w:orient="landscape"/>
          <w:pgMar w:top="1440" w:right="1440" w:bottom="1440" w:left="1440" w:header="720" w:footer="720" w:gutter="0"/>
          <w:pgNumType w:chapStyle="1"/>
          <w:cols w:space="720"/>
          <w:docGrid w:linePitch="360"/>
        </w:sectPr>
      </w:pPr>
    </w:p>
    <w:p w14:paraId="68B8DF3C" w14:textId="50320E89" w:rsidR="00773A54" w:rsidRPr="00057061" w:rsidRDefault="003C2802" w:rsidP="00441BE0">
      <w:pPr>
        <w:pStyle w:val="Heading2"/>
      </w:pPr>
      <w:bookmarkStart w:id="38" w:name="_Toc208503158"/>
      <w:r w:rsidRPr="00057061">
        <w:lastRenderedPageBreak/>
        <w:t>State Regulations</w:t>
      </w:r>
      <w:bookmarkEnd w:id="38"/>
    </w:p>
    <w:p w14:paraId="49DCFB5E" w14:textId="77A56109" w:rsidR="003C2802" w:rsidRDefault="003C2802" w:rsidP="00156E96">
      <w:pPr>
        <w:spacing w:before="240"/>
      </w:pPr>
      <w:r w:rsidRPr="003C2802">
        <w:t>Individual states have the option to set their own food safety requirements for seaweed production within their borders.</w:t>
      </w:r>
    </w:p>
    <w:p w14:paraId="52F868D9" w14:textId="4E26EB2C" w:rsidR="003C2802" w:rsidRDefault="003C2802" w:rsidP="00846B8F">
      <w:pPr>
        <w:pStyle w:val="ListParagraph"/>
        <w:numPr>
          <w:ilvl w:val="0"/>
          <w:numId w:val="15"/>
        </w:numPr>
        <w:spacing w:before="240"/>
        <w:contextualSpacing w:val="0"/>
      </w:pPr>
      <w:r w:rsidRPr="003C2802">
        <w:rPr>
          <w:b/>
          <w:bCs/>
        </w:rPr>
        <w:t>Alaska:</w:t>
      </w:r>
      <w:r>
        <w:t xml:space="preserve"> Seaweed sold in its whole form is classified as a </w:t>
      </w:r>
      <w:hyperlink w:anchor="RAC" w:tooltip="[regulatory term] Any food in its raw or natural state, including all fruits that are washed, colored, or otherwise treated in their unpeeled natural form prior to marketing." w:history="1">
        <w:r w:rsidRPr="0051253B">
          <w:rPr>
            <w:rStyle w:val="Hyperlink"/>
          </w:rPr>
          <w:t>raw agricultural commodity</w:t>
        </w:r>
      </w:hyperlink>
      <w:r>
        <w:t xml:space="preserve">. Unlike some other states, Alaska has chosen not to apply the Seafood HACCP rules to seaweed. In fact, Alaska state regulators revised their regulations to remove aquatic plants, including seaweed, from the state’s definition of “fish and fishery products.” As a result, seaweed products in Alaska are regulated under the </w:t>
      </w:r>
      <w:r w:rsidRPr="00A5688B">
        <w:t>state’s general food safety</w:t>
      </w:r>
      <w:r>
        <w:t xml:space="preserve"> code. Other states, like Washington, follow a similar approach.</w:t>
      </w:r>
      <w:r>
        <w:rPr>
          <w:rStyle w:val="FootnoteReference"/>
        </w:rPr>
        <w:footnoteReference w:id="13"/>
      </w:r>
    </w:p>
    <w:p w14:paraId="1EDB2E2B" w14:textId="3221A2FF" w:rsidR="003C2802" w:rsidRDefault="003C2802" w:rsidP="00846B8F">
      <w:pPr>
        <w:pStyle w:val="ListParagraph"/>
        <w:numPr>
          <w:ilvl w:val="0"/>
          <w:numId w:val="15"/>
        </w:numPr>
        <w:contextualSpacing w:val="0"/>
      </w:pPr>
      <w:r w:rsidRPr="003C2802">
        <w:rPr>
          <w:b/>
          <w:bCs/>
        </w:rPr>
        <w:t>Connecticut:</w:t>
      </w:r>
      <w:r>
        <w:t xml:space="preserve"> State regulators require seaweed growers to follow the Seafood Hazard Analysis Critical Control Point (Seafood HACCP) regulation. Issued by the FDA in 1995, these regulations require processors of fish and seafood products to develop and implement a HACCP food safety plan.</w:t>
      </w:r>
      <w:r w:rsidR="00BF5660">
        <w:rPr>
          <w:rStyle w:val="FootnoteReference"/>
        </w:rPr>
        <w:footnoteReference w:id="14"/>
      </w:r>
    </w:p>
    <w:p w14:paraId="5986D939" w14:textId="68140361" w:rsidR="003C2802" w:rsidRDefault="003C2802" w:rsidP="00846B8F">
      <w:pPr>
        <w:pStyle w:val="ListParagraph"/>
        <w:numPr>
          <w:ilvl w:val="0"/>
          <w:numId w:val="15"/>
        </w:numPr>
        <w:contextualSpacing w:val="0"/>
      </w:pPr>
      <w:r w:rsidRPr="003C2802">
        <w:rPr>
          <w:b/>
          <w:bCs/>
        </w:rPr>
        <w:t>Maine:</w:t>
      </w:r>
      <w:r>
        <w:t xml:space="preserve"> Seaweed is treated as seafood during cultivation and up until the point of harvest. The Maine Department of Marine Resources approves the cultivation of kelp for human consumption in waters that meet the same water quality standards used for shellfish farming—classified as Approved or Conditionally Approved for shellfish. This approach controls water quality at the source by identifying suitable growing areas and monitoring for bacterial contaminants. However, once harvested, seaweed is no longer regulated as seafood. Post-harvest handling, processing, distribution, and sale of seaweed are managed under produce regulations, overseen by the Maine Department of Agriculture, Conservation and Forestry.</w:t>
      </w:r>
    </w:p>
    <w:p w14:paraId="254842FD" w14:textId="77777777" w:rsidR="003C2802" w:rsidRDefault="003C2802" w:rsidP="00846B8F">
      <w:pPr>
        <w:pStyle w:val="ListParagraph"/>
        <w:numPr>
          <w:ilvl w:val="0"/>
          <w:numId w:val="15"/>
        </w:numPr>
        <w:contextualSpacing w:val="0"/>
      </w:pPr>
      <w:r w:rsidRPr="003C2802">
        <w:rPr>
          <w:b/>
          <w:bCs/>
        </w:rPr>
        <w:t>New York:</w:t>
      </w:r>
      <w:r>
        <w:t xml:space="preserve"> Adopted 21 CFR Part 117 as its standard but recommends that businesses exempt from full requirements—such as qualified facilities—still use HACCP plans as a best practice.</w:t>
      </w:r>
    </w:p>
    <w:p w14:paraId="603EB13C" w14:textId="369398A4" w:rsidR="003C2802" w:rsidRDefault="003C2802" w:rsidP="00846B8F">
      <w:pPr>
        <w:pStyle w:val="ListParagraph"/>
        <w:numPr>
          <w:ilvl w:val="0"/>
          <w:numId w:val="15"/>
        </w:numPr>
        <w:contextualSpacing w:val="0"/>
      </w:pPr>
      <w:r w:rsidRPr="003C2802">
        <w:rPr>
          <w:b/>
          <w:bCs/>
        </w:rPr>
        <w:t>Other States:</w:t>
      </w:r>
      <w:r>
        <w:t xml:space="preserve"> Some states (e.g., Massachusetts) are still determining how to regulate seaweed. Currently,</w:t>
      </w:r>
      <w:r w:rsidR="00B67A7C">
        <w:t xml:space="preserve"> </w:t>
      </w:r>
      <w:r w:rsidR="00B67A7C">
        <w:rPr>
          <w:i/>
        </w:rPr>
        <w:t>Saccharina latissima</w:t>
      </w:r>
      <w:r>
        <w:t xml:space="preserve"> </w:t>
      </w:r>
      <w:r w:rsidR="00B67A7C">
        <w:t>(</w:t>
      </w:r>
      <w:r>
        <w:t>sugar kelp</w:t>
      </w:r>
      <w:r w:rsidR="00B67A7C">
        <w:t>)</w:t>
      </w:r>
      <w:r>
        <w:t xml:space="preserve"> in Massachusetts is treated as a seasonal, raw, fresh product. There are no seaweed processing facilities in the state at this time. According to the Massachusetts Department of Public Health and Division of </w:t>
      </w:r>
      <w:r>
        <w:lastRenderedPageBreak/>
        <w:t xml:space="preserve">Marine Fisheries, </w:t>
      </w:r>
      <w:r w:rsidR="00B67A7C">
        <w:rPr>
          <w:i/>
        </w:rPr>
        <w:t>Saccharina latissima</w:t>
      </w:r>
      <w:r w:rsidR="00B67A7C">
        <w:t xml:space="preserve"> </w:t>
      </w:r>
      <w:r>
        <w:t>must be sold directly to a licensed wholesale seafood dealer.</w:t>
      </w:r>
      <w:r w:rsidR="00BF5660">
        <w:rPr>
          <w:rStyle w:val="FootnoteReference"/>
        </w:rPr>
        <w:footnoteReference w:id="15"/>
      </w:r>
    </w:p>
    <w:p w14:paraId="4812E049" w14:textId="60223605" w:rsidR="003C2802" w:rsidRDefault="003C2802" w:rsidP="003C2802">
      <w:r>
        <w:t>These examples highlight the fragmented and evolving nature of seaweed regulation across the United States. With no uniform national standard, seaweed farmers and processors must work closely with state regulators to understand and comply with all applicable state and federal rules.</w:t>
      </w:r>
    </w:p>
    <w:p w14:paraId="0F88FE73" w14:textId="5D6795EB" w:rsidR="00BF5660" w:rsidRPr="00057061" w:rsidRDefault="00BF5660" w:rsidP="00441BE0">
      <w:pPr>
        <w:pStyle w:val="Heading2"/>
      </w:pPr>
      <w:bookmarkStart w:id="39" w:name="_Toc208503159"/>
      <w:r w:rsidRPr="00057061">
        <w:t>Definitions</w:t>
      </w:r>
      <w:bookmarkEnd w:id="39"/>
    </w:p>
    <w:p w14:paraId="3057F919" w14:textId="7B02C0C5" w:rsidR="00BF5660" w:rsidRPr="00BF5660" w:rsidRDefault="00BF5660" w:rsidP="004A0EDE">
      <w:pPr>
        <w:spacing w:before="240"/>
        <w:ind w:left="540" w:hanging="547"/>
        <w:rPr>
          <w:rFonts w:ascii="Times New Roman" w:hAnsi="Times New Roman" w:cs="Times New Roman"/>
        </w:rPr>
      </w:pPr>
      <w:bookmarkStart w:id="40" w:name="CFR"/>
      <w:r w:rsidRPr="00EE79C2">
        <w:rPr>
          <w:rStyle w:val="DefinitionsChar"/>
          <w:rFonts w:eastAsiaTheme="minorHAnsi"/>
        </w:rPr>
        <w:t>Code of Federal Regulations (CFR)</w:t>
      </w:r>
      <w:r w:rsidR="00EE79C2" w:rsidRPr="00EE79C2">
        <w:rPr>
          <w:rStyle w:val="DefinitionsChar"/>
          <w:rFonts w:eastAsiaTheme="minorHAnsi"/>
        </w:rPr>
        <w:t>:</w:t>
      </w:r>
      <w:r w:rsidRPr="00BF5660">
        <w:t xml:space="preserve"> </w:t>
      </w:r>
      <w:bookmarkEnd w:id="40"/>
      <w:r w:rsidRPr="00BF5660">
        <w:t>The Code of Federal Regulations (CFR) is the official legal print publication containing the codification of the general and permanent rules published in the Federal Register by the departments and agencies of the Federal Government. The Electronic Code of Federal Regulations (eCFR) is a continuously updated online version of the CFR and can be accessed at https://www.ecfr.gov/. It is not an official legal edition of the CFR.</w:t>
      </w:r>
    </w:p>
    <w:p w14:paraId="39FC13B1" w14:textId="2D44EAF0" w:rsidR="00BF5660" w:rsidRPr="00BF5660" w:rsidRDefault="00BF5660" w:rsidP="004A0EDE">
      <w:pPr>
        <w:ind w:left="540" w:hanging="547"/>
        <w:rPr>
          <w:rFonts w:ascii="Times New Roman" w:hAnsi="Times New Roman" w:cs="Times New Roman"/>
        </w:rPr>
      </w:pPr>
      <w:bookmarkStart w:id="41" w:name="Food"/>
      <w:r w:rsidRPr="00EE79C2">
        <w:rPr>
          <w:rStyle w:val="DefinitionsChar"/>
          <w:rFonts w:eastAsiaTheme="minorHAnsi"/>
        </w:rPr>
        <w:t>Food</w:t>
      </w:r>
      <w:r w:rsidR="00EE79C2" w:rsidRPr="00EE79C2">
        <w:rPr>
          <w:rStyle w:val="DefinitionsChar"/>
          <w:rFonts w:eastAsiaTheme="minorHAnsi"/>
        </w:rPr>
        <w:t>:</w:t>
      </w:r>
      <w:r w:rsidR="00EE79C2">
        <w:rPr>
          <w:b/>
          <w:bCs/>
        </w:rPr>
        <w:t xml:space="preserve"> </w:t>
      </w:r>
      <w:bookmarkEnd w:id="41"/>
      <w:r w:rsidRPr="00BF5660">
        <w:rPr>
          <w:b/>
          <w:bCs/>
        </w:rPr>
        <w:t>“</w:t>
      </w:r>
      <w:r w:rsidRPr="00BF5660">
        <w:t>(1) articles used for food or drink for man or other animals, (2) chewing gum, and (3) articles used for components of any such article.” 21 U.S.C.</w:t>
      </w:r>
      <w:r w:rsidRPr="00BF5660">
        <w:rPr>
          <w:rFonts w:ascii="section" w:hAnsi="section" w:cs="Times New Roman"/>
        </w:rPr>
        <w:t xml:space="preserve"> § 321(f).</w:t>
      </w:r>
    </w:p>
    <w:p w14:paraId="168C3E73" w14:textId="5018AF9F" w:rsidR="00BF5660" w:rsidRPr="00BF5660" w:rsidRDefault="00BF5660" w:rsidP="004A0EDE">
      <w:pPr>
        <w:ind w:left="540" w:hanging="547"/>
        <w:rPr>
          <w:rFonts w:ascii="Times New Roman" w:hAnsi="Times New Roman" w:cs="Times New Roman"/>
        </w:rPr>
      </w:pPr>
      <w:bookmarkStart w:id="42" w:name="HoldingStoring"/>
      <w:r w:rsidRPr="00EE79C2">
        <w:rPr>
          <w:rStyle w:val="DefinitionsChar"/>
          <w:rFonts w:eastAsiaTheme="minorHAnsi"/>
        </w:rPr>
        <w:t>Holding/Storing</w:t>
      </w:r>
      <w:bookmarkEnd w:id="42"/>
      <w:r w:rsidR="00EE79C2" w:rsidRPr="00EE79C2">
        <w:rPr>
          <w:rStyle w:val="DefinitionsChar"/>
          <w:rFonts w:eastAsiaTheme="minorHAnsi"/>
        </w:rPr>
        <w:t>:</w:t>
      </w:r>
      <w:r w:rsidR="00EE79C2">
        <w:rPr>
          <w:b/>
          <w:bCs/>
        </w:rPr>
        <w:t xml:space="preserve"> </w:t>
      </w:r>
      <w:r w:rsidRPr="00BF5660">
        <w:rPr>
          <w:b/>
          <w:bCs/>
        </w:rPr>
        <w:t>“</w:t>
      </w:r>
      <w:r w:rsidRPr="00BF5660">
        <w:t xml:space="preserve">Storage of food and also includes activities performed incidental to storage of a food (e.g., activities performed for the safe or effective storage of that food, such as fumigating food during storage, and drying/dehydrating raw agricultural commodities when the drying/dehydrating does not create a distinct commodity (such as drying/dehydrating hay or alfalfa)).” 21 C.F.R. </w:t>
      </w:r>
      <w:r w:rsidRPr="00BF5660">
        <w:rPr>
          <w:rFonts w:ascii="section" w:hAnsi="section" w:cs="Times New Roman"/>
        </w:rPr>
        <w:t>§ 1.227.</w:t>
      </w:r>
    </w:p>
    <w:p w14:paraId="1D4490C1" w14:textId="2D9AC628" w:rsidR="00BF5660" w:rsidRPr="00BF5660" w:rsidRDefault="00BF5660" w:rsidP="00846B8F">
      <w:pPr>
        <w:pStyle w:val="ListParagraph"/>
        <w:numPr>
          <w:ilvl w:val="0"/>
          <w:numId w:val="16"/>
        </w:numPr>
        <w:spacing w:before="240"/>
        <w:ind w:left="1440" w:hanging="547"/>
      </w:pPr>
      <w:r w:rsidRPr="00BF5660">
        <w:t xml:space="preserve">“Holding also includes activities performed as a practical necessity for the distribution of that food (such as blending of the same </w:t>
      </w:r>
      <w:r w:rsidRPr="00AE1C32">
        <w:t>raw agricultural commodity</w:t>
      </w:r>
      <w:r w:rsidRPr="00BF5660">
        <w:t xml:space="preserve"> and breaking down pallets), but it does not include activities that transform a raw agricultural commodity into a processed food….” 21 C.F.R. </w:t>
      </w:r>
      <w:r w:rsidRPr="00BF5660">
        <w:rPr>
          <w:rFonts w:ascii="section" w:hAnsi="section"/>
        </w:rPr>
        <w:t>§ 1.227.</w:t>
      </w:r>
    </w:p>
    <w:p w14:paraId="6A7200D2" w14:textId="77777777" w:rsidR="00BF5660" w:rsidRPr="00BF5660" w:rsidRDefault="00BF5660" w:rsidP="00846B8F">
      <w:pPr>
        <w:pStyle w:val="ListParagraph"/>
        <w:numPr>
          <w:ilvl w:val="0"/>
          <w:numId w:val="16"/>
        </w:numPr>
        <w:spacing w:before="240"/>
        <w:ind w:left="1440" w:hanging="547"/>
      </w:pPr>
      <w:r w:rsidRPr="00BF5660">
        <w:t xml:space="preserve">“Holding facilities could include warehouses, cold storage facilities, storage silos, grain elevators, and liquid storage tanks.” 21 C.F.R. </w:t>
      </w:r>
      <w:r w:rsidRPr="00BF5660">
        <w:rPr>
          <w:rFonts w:ascii="section" w:hAnsi="section"/>
        </w:rPr>
        <w:t>§ 1.227.</w:t>
      </w:r>
    </w:p>
    <w:p w14:paraId="329667C9" w14:textId="7F9EA9F6" w:rsidR="00BF5660" w:rsidRPr="00BF5660" w:rsidRDefault="00BF5660" w:rsidP="004A0EDE">
      <w:pPr>
        <w:ind w:left="540" w:hanging="547"/>
        <w:rPr>
          <w:rFonts w:ascii="Times New Roman" w:hAnsi="Times New Roman" w:cs="Times New Roman"/>
        </w:rPr>
      </w:pPr>
      <w:r w:rsidRPr="00EE79C2">
        <w:rPr>
          <w:rStyle w:val="DefinitionsChar"/>
          <w:rFonts w:eastAsiaTheme="minorHAnsi"/>
        </w:rPr>
        <w:t>Manufacturing/Processing</w:t>
      </w:r>
      <w:r w:rsidR="00EE79C2" w:rsidRPr="00EE79C2">
        <w:rPr>
          <w:rStyle w:val="DefinitionsChar"/>
          <w:rFonts w:eastAsiaTheme="minorHAnsi"/>
        </w:rPr>
        <w:t>:</w:t>
      </w:r>
      <w:r w:rsidR="00EE79C2">
        <w:t xml:space="preserve"> </w:t>
      </w:r>
      <w:r w:rsidRPr="00BF5660">
        <w:t xml:space="preserve">“Making food from one or more ingredients, or synthesizing, preparing, treating, modifying or manipulating food, including food crops or ingredients.” 21 C.F.R. </w:t>
      </w:r>
      <w:r w:rsidRPr="00BF5660">
        <w:rPr>
          <w:rFonts w:ascii="section" w:hAnsi="section" w:cs="Times New Roman"/>
        </w:rPr>
        <w:t>§ 1.227.</w:t>
      </w:r>
    </w:p>
    <w:p w14:paraId="4F184849" w14:textId="77777777" w:rsidR="00BF5660" w:rsidRPr="00BF5660" w:rsidRDefault="00BF5660" w:rsidP="00846B8F">
      <w:pPr>
        <w:pStyle w:val="ListParagraph"/>
        <w:numPr>
          <w:ilvl w:val="0"/>
          <w:numId w:val="17"/>
        </w:numPr>
        <w:spacing w:before="240"/>
        <w:ind w:left="1440" w:hanging="547"/>
      </w:pPr>
      <w:r w:rsidRPr="00BF5660">
        <w:lastRenderedPageBreak/>
        <w:t xml:space="preserve">Examples include: “baking, boiling, bottling, canning, cooking, cooling, cutting, distilling, drying/dehydrating raw agricultural commodities to create a distinct commodity (such as drying/dehydrating grapes to produce raisins), evaporating, eviscerating, extracting juice, formulating, freezing, grinding, homogenizing, irradiating, labeling, milling, mixing, packaging (including modified atmosphere packaging), pasteurizing, peeling, rendering, treating to manipulate ripening, trimming, washing, or waxing.” 21 C.F.R. </w:t>
      </w:r>
      <w:r w:rsidRPr="00BF5660">
        <w:rPr>
          <w:rFonts w:ascii="section" w:hAnsi="section"/>
        </w:rPr>
        <w:t>§ 1.227.</w:t>
      </w:r>
    </w:p>
    <w:p w14:paraId="7199F02F" w14:textId="77777777" w:rsidR="00BF5660" w:rsidRPr="00BF5660" w:rsidRDefault="00BF5660" w:rsidP="00846B8F">
      <w:pPr>
        <w:pStyle w:val="ListParagraph"/>
        <w:numPr>
          <w:ilvl w:val="0"/>
          <w:numId w:val="17"/>
        </w:numPr>
        <w:spacing w:before="240"/>
        <w:ind w:left="1440" w:hanging="547"/>
      </w:pPr>
      <w:r w:rsidRPr="00BF5660">
        <w:t xml:space="preserve">“For farms or farm mixed-type facilities, manufacturing/processing does not include activities that are part of harvesting, packing, or holding.” 21 C.F.R. </w:t>
      </w:r>
      <w:r w:rsidRPr="00BF5660">
        <w:rPr>
          <w:rFonts w:ascii="section" w:hAnsi="section"/>
        </w:rPr>
        <w:t>§ 1.227.</w:t>
      </w:r>
    </w:p>
    <w:p w14:paraId="39A028D8" w14:textId="20AB2732" w:rsidR="00BF5660" w:rsidRPr="00BF5660" w:rsidRDefault="00BF5660" w:rsidP="004A0EDE">
      <w:pPr>
        <w:ind w:left="540" w:hanging="547"/>
        <w:rPr>
          <w:rFonts w:ascii="Times New Roman" w:hAnsi="Times New Roman" w:cs="Times New Roman"/>
        </w:rPr>
      </w:pPr>
      <w:r w:rsidRPr="00EE79C2">
        <w:rPr>
          <w:rStyle w:val="DefinitionsChar"/>
          <w:rFonts w:eastAsiaTheme="minorHAnsi"/>
        </w:rPr>
        <w:t>Packaging (when used as a verb)</w:t>
      </w:r>
      <w:r w:rsidR="00EE79C2" w:rsidRPr="00EE79C2">
        <w:rPr>
          <w:rStyle w:val="DefinitionsChar"/>
          <w:rFonts w:eastAsiaTheme="minorHAnsi"/>
        </w:rPr>
        <w:t>:</w:t>
      </w:r>
      <w:r w:rsidRPr="00BF5660">
        <w:t xml:space="preserve"> “Placing food into a container that directly contacts the food and that the consumer receives.” 21 C.F.R. </w:t>
      </w:r>
      <w:r w:rsidRPr="00BF5660">
        <w:rPr>
          <w:rFonts w:ascii="section" w:hAnsi="section" w:cs="Times New Roman"/>
        </w:rPr>
        <w:t>§ 1.227.</w:t>
      </w:r>
    </w:p>
    <w:p w14:paraId="504BC45A" w14:textId="5CFB9470" w:rsidR="00BF5660" w:rsidRPr="00BF5660" w:rsidRDefault="00BF5660" w:rsidP="004A0EDE">
      <w:pPr>
        <w:ind w:left="540" w:hanging="547"/>
        <w:rPr>
          <w:rFonts w:ascii="Times New Roman" w:hAnsi="Times New Roman" w:cs="Times New Roman"/>
        </w:rPr>
      </w:pPr>
      <w:r w:rsidRPr="00EE79C2">
        <w:rPr>
          <w:rStyle w:val="DefinitionsChar"/>
          <w:rFonts w:eastAsiaTheme="minorHAnsi"/>
        </w:rPr>
        <w:t>Packing</w:t>
      </w:r>
      <w:r w:rsidR="00EE79C2" w:rsidRPr="00EE79C2">
        <w:rPr>
          <w:rStyle w:val="DefinitionsChar"/>
          <w:rFonts w:eastAsiaTheme="minorHAnsi"/>
        </w:rPr>
        <w:t>:</w:t>
      </w:r>
      <w:r w:rsidRPr="00BF5660">
        <w:t xml:space="preserve"> “Placing food into a container other than packaging the food and also includes re-packing and activities performed incidental to packing or re-packing a food (e.g., activities performed for the safe or effective packing or re-packing of that food (such as sorting, culling, grading, and weighing or conveying incidental to packing or re-packing)).” 21 C.F.R. </w:t>
      </w:r>
      <w:r w:rsidRPr="00BF5660">
        <w:rPr>
          <w:rFonts w:ascii="section" w:hAnsi="section" w:cs="Times New Roman"/>
        </w:rPr>
        <w:t>§ 1.227</w:t>
      </w:r>
      <w:r w:rsidR="00EE79C2">
        <w:rPr>
          <w:rFonts w:ascii="section" w:hAnsi="section" w:cs="Times New Roman"/>
        </w:rPr>
        <w:t>.</w:t>
      </w:r>
    </w:p>
    <w:p w14:paraId="05B8A164" w14:textId="77777777" w:rsidR="00BF5660" w:rsidRPr="00BF5660" w:rsidRDefault="00BF5660" w:rsidP="00846B8F">
      <w:pPr>
        <w:pStyle w:val="ListParagraph"/>
        <w:numPr>
          <w:ilvl w:val="0"/>
          <w:numId w:val="18"/>
        </w:numPr>
        <w:ind w:hanging="547"/>
        <w:contextualSpacing w:val="0"/>
      </w:pPr>
      <w:r w:rsidRPr="00BF5660">
        <w:t xml:space="preserve">It “does not include activities that transform a raw agricultural commodity…into a processed food…” 21 C.F.R. </w:t>
      </w:r>
      <w:r w:rsidRPr="00BF5660">
        <w:rPr>
          <w:rFonts w:ascii="section" w:hAnsi="section"/>
        </w:rPr>
        <w:t>§ 1.227.</w:t>
      </w:r>
    </w:p>
    <w:p w14:paraId="17143400" w14:textId="1F1B39FC" w:rsidR="00BF5660" w:rsidRPr="00BF5660" w:rsidRDefault="00BF5660" w:rsidP="004A0EDE">
      <w:pPr>
        <w:ind w:left="540" w:hanging="547"/>
        <w:rPr>
          <w:rFonts w:ascii="Times New Roman" w:hAnsi="Times New Roman" w:cs="Times New Roman"/>
        </w:rPr>
      </w:pPr>
      <w:bookmarkStart w:id="43" w:name="PCQI"/>
      <w:bookmarkEnd w:id="43"/>
      <w:r w:rsidRPr="00EE79C2">
        <w:rPr>
          <w:rStyle w:val="DefinitionsChar"/>
          <w:rFonts w:eastAsiaTheme="minorHAnsi"/>
        </w:rPr>
        <w:t>Preventive Controls Qualified Individual (PCQI)</w:t>
      </w:r>
      <w:r w:rsidR="00EE79C2" w:rsidRPr="00EE79C2">
        <w:rPr>
          <w:rStyle w:val="DefinitionsChar"/>
          <w:rFonts w:eastAsiaTheme="minorHAnsi"/>
        </w:rPr>
        <w:t>:</w:t>
      </w:r>
      <w:r w:rsidRPr="00BF5660">
        <w:t xml:space="preserve"> “A qualified individual who has successfully completed training in the development and application of risk-based preventive controls at least equivalent to that received under a standardized curriculum recognized as adequate by FDA or is otherwise qualified through job experience to develop and apply a food safety system.” 21 C.F.R. </w:t>
      </w:r>
      <w:r w:rsidRPr="00BF5660">
        <w:rPr>
          <w:rFonts w:ascii="section" w:hAnsi="section" w:cs="Times New Roman"/>
        </w:rPr>
        <w:t>§ 117.3.</w:t>
      </w:r>
    </w:p>
    <w:p w14:paraId="7D1BA017" w14:textId="3A671867" w:rsidR="00BF5660" w:rsidRPr="00BF5660" w:rsidRDefault="00BF5660" w:rsidP="004A0EDE">
      <w:pPr>
        <w:ind w:left="540" w:hanging="547"/>
        <w:rPr>
          <w:rFonts w:ascii="Times New Roman" w:hAnsi="Times New Roman" w:cs="Times New Roman"/>
        </w:rPr>
      </w:pPr>
      <w:r w:rsidRPr="00EE79C2">
        <w:rPr>
          <w:rStyle w:val="DefinitionsChar"/>
          <w:rFonts w:eastAsiaTheme="minorHAnsi"/>
        </w:rPr>
        <w:t>Processed Food</w:t>
      </w:r>
      <w:r w:rsidR="00EE79C2" w:rsidRPr="00EE79C2">
        <w:rPr>
          <w:rStyle w:val="DefinitionsChar"/>
          <w:rFonts w:eastAsiaTheme="minorHAnsi"/>
        </w:rPr>
        <w:t>:</w:t>
      </w:r>
      <w:r w:rsidRPr="00BF5660">
        <w:t xml:space="preserve"> “Any food other than a raw agricultural commodity and includes any raw agricultural commodity that has been subject to processing, such as canning, cooking, freezing, dehydration, or milling.” 21 U.S.C. 321(gg).</w:t>
      </w:r>
    </w:p>
    <w:p w14:paraId="27D9861F" w14:textId="7D90F00A" w:rsidR="00BF5660" w:rsidRPr="00BF5660" w:rsidRDefault="00BF5660" w:rsidP="004A0EDE">
      <w:pPr>
        <w:ind w:left="540" w:hanging="547"/>
        <w:rPr>
          <w:rFonts w:ascii="Times New Roman" w:hAnsi="Times New Roman" w:cs="Times New Roman"/>
        </w:rPr>
      </w:pPr>
      <w:r w:rsidRPr="00EE79C2">
        <w:rPr>
          <w:rStyle w:val="DefinitionsChar"/>
          <w:rFonts w:eastAsiaTheme="minorHAnsi"/>
        </w:rPr>
        <w:t>Qualified Individual (QI)</w:t>
      </w:r>
      <w:r w:rsidR="00EE79C2" w:rsidRPr="00EE79C2">
        <w:rPr>
          <w:rStyle w:val="DefinitionsChar"/>
          <w:rFonts w:eastAsiaTheme="minorHAnsi"/>
        </w:rPr>
        <w:t>:</w:t>
      </w:r>
      <w:r w:rsidR="00EE79C2">
        <w:t xml:space="preserve"> </w:t>
      </w:r>
      <w:r w:rsidRPr="00BF5660">
        <w:t xml:space="preserve">“A person who has the education, training, or experience (or a combination thereof) necessary to manufacture, process, pack, or hold clean and safe food as appropriate to the individual’s assigned duties. A qualified individual may be, but is not required to be, an employee of the establishment.” 21 C.F.R. </w:t>
      </w:r>
      <w:r w:rsidRPr="00BF5660">
        <w:rPr>
          <w:rFonts w:ascii="section" w:hAnsi="section" w:cs="Times New Roman"/>
        </w:rPr>
        <w:t>§ 117.3.</w:t>
      </w:r>
    </w:p>
    <w:p w14:paraId="5529BE56" w14:textId="77777777" w:rsidR="000B5E2E" w:rsidRDefault="00BF5660" w:rsidP="004A0EDE">
      <w:pPr>
        <w:ind w:left="540" w:hanging="547"/>
        <w:sectPr w:rsidR="000B5E2E" w:rsidSect="00FF5CD0">
          <w:pgSz w:w="12240" w:h="15840"/>
          <w:pgMar w:top="1440" w:right="1440" w:bottom="1440" w:left="1440" w:header="720" w:footer="720" w:gutter="0"/>
          <w:pgNumType w:chapStyle="1"/>
          <w:cols w:space="720"/>
          <w:docGrid w:linePitch="360"/>
        </w:sectPr>
      </w:pPr>
      <w:r w:rsidRPr="00EE79C2">
        <w:rPr>
          <w:rStyle w:val="DefinitionsChar"/>
          <w:rFonts w:eastAsiaTheme="minorHAnsi"/>
        </w:rPr>
        <w:t>Raw Agricultural Commodity (RAC)</w:t>
      </w:r>
      <w:r w:rsidR="00EE79C2" w:rsidRPr="00EE79C2">
        <w:rPr>
          <w:rStyle w:val="DefinitionsChar"/>
          <w:rFonts w:eastAsiaTheme="minorHAnsi"/>
        </w:rPr>
        <w:t>:</w:t>
      </w:r>
      <w:r w:rsidR="00EE79C2">
        <w:t xml:space="preserve"> </w:t>
      </w:r>
      <w:r w:rsidRPr="00BF5660">
        <w:t>“Any food in its raw or natural state, including all fruits that are washed, colored, or otherwise treated in their unpeeled natural form prior to marketing.” 21 U.S.C § 321(r).</w:t>
      </w:r>
    </w:p>
    <w:p w14:paraId="7D64EECE" w14:textId="79D2EFD4" w:rsidR="00BF5660" w:rsidRDefault="00BF5660" w:rsidP="00441BE0">
      <w:pPr>
        <w:pStyle w:val="Heading2"/>
      </w:pPr>
      <w:bookmarkStart w:id="44" w:name="_Toc208503160"/>
      <w:r>
        <w:lastRenderedPageBreak/>
        <w:t>References</w:t>
      </w:r>
      <w:bookmarkEnd w:id="44"/>
    </w:p>
    <w:p w14:paraId="1B9FC1D3" w14:textId="77777777" w:rsidR="000B5E2E" w:rsidRDefault="000B5E2E" w:rsidP="000B5E2E">
      <w:pPr>
        <w:pStyle w:val="NormalWeb"/>
        <w:spacing w:before="0" w:beforeAutospacing="0" w:after="200" w:afterAutospacing="0"/>
      </w:pPr>
      <w:r>
        <w:rPr>
          <w:rFonts w:ascii="Calibri" w:hAnsi="Calibri" w:cs="Calibri"/>
          <w:color w:val="000000"/>
        </w:rPr>
        <w:t>21 C.F.R. § 1.227. </w:t>
      </w:r>
    </w:p>
    <w:p w14:paraId="5ADB738C" w14:textId="77777777" w:rsidR="000B5E2E" w:rsidRDefault="000B5E2E" w:rsidP="000B5E2E">
      <w:pPr>
        <w:pStyle w:val="NormalWeb"/>
        <w:spacing w:before="0" w:beforeAutospacing="0" w:after="200" w:afterAutospacing="0"/>
      </w:pPr>
      <w:r>
        <w:rPr>
          <w:rFonts w:ascii="Calibri" w:hAnsi="Calibri" w:cs="Calibri"/>
          <w:color w:val="000000"/>
        </w:rPr>
        <w:t>21 C.F.R. Part 117, Current Good Manufacturing Practice, Hazard Analysis, and Risk-Based Preventive Controls for Human Food Rule.</w:t>
      </w:r>
    </w:p>
    <w:p w14:paraId="2FECAF08" w14:textId="77777777" w:rsidR="000B5E2E" w:rsidRDefault="000B5E2E" w:rsidP="000B5E2E">
      <w:pPr>
        <w:pStyle w:val="NormalWeb"/>
        <w:spacing w:before="0" w:beforeAutospacing="0" w:after="200" w:afterAutospacing="0"/>
      </w:pPr>
      <w:r>
        <w:rPr>
          <w:rFonts w:ascii="Calibri" w:hAnsi="Calibri" w:cs="Calibri"/>
          <w:color w:val="000000"/>
        </w:rPr>
        <w:t>Ciaramella, Concepcion, Janasie &amp; Otts. Seaweed Food Safety: Comparing Compliance with Preventive Controls for Human Foods and Seafood HACCP. 2023.</w:t>
      </w:r>
    </w:p>
    <w:p w14:paraId="26039256" w14:textId="77777777" w:rsidR="000B5E2E" w:rsidRDefault="000B5E2E" w:rsidP="000B5E2E">
      <w:pPr>
        <w:pStyle w:val="NormalWeb"/>
        <w:spacing w:before="0" w:beforeAutospacing="0" w:after="200" w:afterAutospacing="0"/>
      </w:pPr>
      <w:r>
        <w:rPr>
          <w:rFonts w:ascii="Calibri" w:hAnsi="Calibri" w:cs="Calibri"/>
          <w:color w:val="000000"/>
        </w:rPr>
        <w:t>Seafood HACCP:</w:t>
      </w:r>
      <w:hyperlink r:id="rId43" w:history="1">
        <w:r>
          <w:rPr>
            <w:rStyle w:val="Hyperlink"/>
            <w:rFonts w:ascii="Calibri" w:eastAsiaTheme="majorEastAsia" w:hAnsi="Calibri" w:cs="Calibri"/>
            <w:b/>
            <w:bCs/>
            <w:color w:val="000000"/>
          </w:rPr>
          <w:t xml:space="preserve"> </w:t>
        </w:r>
        <w:r>
          <w:rPr>
            <w:rStyle w:val="Hyperlink"/>
            <w:rFonts w:ascii="Calibri" w:eastAsiaTheme="majorEastAsia" w:hAnsi="Calibri" w:cs="Calibri"/>
            <w:color w:val="1155CC"/>
          </w:rPr>
          <w:t>Final Rule</w:t>
        </w:r>
      </w:hyperlink>
      <w:r>
        <w:rPr>
          <w:rFonts w:ascii="Calibri" w:hAnsi="Calibri" w:cs="Calibri"/>
          <w:b/>
          <w:bCs/>
          <w:color w:val="000000"/>
        </w:rPr>
        <w:t xml:space="preserve"> </w:t>
      </w:r>
      <w:r>
        <w:rPr>
          <w:rFonts w:ascii="Calibri" w:hAnsi="Calibri" w:cs="Calibri"/>
          <w:color w:val="000000"/>
        </w:rPr>
        <w:t>- 60 FR 65096 - December 18, 1995.</w:t>
      </w:r>
    </w:p>
    <w:p w14:paraId="7211AB35" w14:textId="0D91108F" w:rsidR="000B5E2E" w:rsidRDefault="000B5E2E" w:rsidP="000B5E2E">
      <w:pPr>
        <w:pStyle w:val="NormalWeb"/>
        <w:spacing w:before="0" w:beforeAutospacing="0" w:after="200" w:afterAutospacing="0"/>
      </w:pPr>
      <w:r>
        <w:rPr>
          <w:rFonts w:ascii="Calibri" w:hAnsi="Calibri" w:cs="Calibri"/>
          <w:color w:val="000000"/>
        </w:rPr>
        <w:t xml:space="preserve">Sea Grant Seaweed Hub State of the States, available at </w:t>
      </w:r>
      <w:hyperlink r:id="rId44" w:history="1">
        <w:r>
          <w:rPr>
            <w:rStyle w:val="Hyperlink"/>
            <w:rFonts w:ascii="Calibri" w:eastAsiaTheme="majorEastAsia" w:hAnsi="Calibri" w:cs="Calibri"/>
            <w:color w:val="1155CC"/>
          </w:rPr>
          <w:t>https://seaweedhub.org/symposium/</w:t>
        </w:r>
      </w:hyperlink>
      <w:r>
        <w:rPr>
          <w:rFonts w:ascii="Calibri" w:hAnsi="Calibri" w:cs="Calibri"/>
          <w:color w:val="000000"/>
        </w:rPr>
        <w:t>.</w:t>
      </w:r>
    </w:p>
    <w:p w14:paraId="4B19780F" w14:textId="2AE1F269" w:rsidR="00BF5660" w:rsidRDefault="000B5E2E" w:rsidP="000B5E2E">
      <w:r>
        <w:rPr>
          <w:rFonts w:cs="Calibri"/>
          <w:smallCaps/>
          <w:color w:val="000000"/>
        </w:rPr>
        <w:t xml:space="preserve">U.S.D.A. Nat’l Organic Program, </w:t>
      </w:r>
      <w:hyperlink r:id="rId45" w:history="1">
        <w:r>
          <w:rPr>
            <w:rStyle w:val="Hyperlink"/>
            <w:rFonts w:cs="Calibri"/>
            <w:smallCaps/>
            <w:color w:val="1155CC"/>
          </w:rPr>
          <w:t>USDA NOP 5027, Guidance: The Use of Kelp in Organic Livestock Feed</w:t>
        </w:r>
      </w:hyperlink>
      <w:r>
        <w:rPr>
          <w:rFonts w:cs="Calibri"/>
          <w:color w:val="000000"/>
        </w:rPr>
        <w:t xml:space="preserve"> (2013).</w:t>
      </w:r>
    </w:p>
    <w:p w14:paraId="7A48C7E6" w14:textId="77777777" w:rsidR="000B5E2E" w:rsidRDefault="000B5E2E" w:rsidP="00BF5660"/>
    <w:p w14:paraId="2AFB188C" w14:textId="77777777" w:rsidR="000B5E2E" w:rsidRDefault="000B5E2E" w:rsidP="00BF5660">
      <w:pPr>
        <w:sectPr w:rsidR="000B5E2E" w:rsidSect="00FF5CD0">
          <w:pgSz w:w="12240" w:h="15840"/>
          <w:pgMar w:top="1440" w:right="1440" w:bottom="1440" w:left="1440" w:header="720" w:footer="720" w:gutter="0"/>
          <w:pgNumType w:chapStyle="1"/>
          <w:cols w:space="720"/>
          <w:docGrid w:linePitch="360"/>
        </w:sectPr>
      </w:pPr>
    </w:p>
    <w:p w14:paraId="51E3CB4D" w14:textId="35A4CE08" w:rsidR="00BF5660" w:rsidRPr="00057061" w:rsidRDefault="00BF5660" w:rsidP="00691E23">
      <w:pPr>
        <w:pStyle w:val="Heading1"/>
      </w:pPr>
      <w:bookmarkStart w:id="45" w:name="_Prerequisite_Programs"/>
      <w:bookmarkStart w:id="46" w:name="_Toc208503161"/>
      <w:bookmarkStart w:id="47" w:name="_Toc210042852"/>
      <w:bookmarkEnd w:id="45"/>
      <w:r w:rsidRPr="00057061">
        <w:lastRenderedPageBreak/>
        <w:t>Prerequisite Programs</w:t>
      </w:r>
      <w:bookmarkEnd w:id="46"/>
      <w:bookmarkEnd w:id="47"/>
    </w:p>
    <w:p w14:paraId="5DB2DC00" w14:textId="370646EF" w:rsidR="00BF5660" w:rsidRDefault="00BF5660" w:rsidP="00441BE0">
      <w:pPr>
        <w:pStyle w:val="Heading2"/>
      </w:pPr>
      <w:bookmarkStart w:id="48" w:name="_Toc208503162"/>
      <w:r>
        <w:t>Introduction</w:t>
      </w:r>
      <w:bookmarkEnd w:id="48"/>
    </w:p>
    <w:p w14:paraId="4506FF4B" w14:textId="63D1F380" w:rsidR="00BF5660" w:rsidRDefault="00655A92" w:rsidP="004A0EDE">
      <w:pPr>
        <w:spacing w:before="240"/>
      </w:pPr>
      <w:r w:rsidRPr="00655A92">
        <w:t>All food producers must implement general prerequisite programs (certain foundational safety practices) as part of a robust food safety system. These core programs include current Good Manufacturing Practices (GMPs)—standards for how facilities are maintained and how work is done—and Sanitation Control Procedures (SCPs), which outline how equipment, workspaces, and personnel should operate to reduce food safety risks. These practices apply broadly across all types of food production, not just to specific products like seaweed. While GMPs and SCPs are standard for all producers, additional programs may be needed depending on the specific operations and processes involved.</w:t>
      </w:r>
    </w:p>
    <w:p w14:paraId="5E384242" w14:textId="38AF03ED" w:rsidR="00655A92" w:rsidRPr="00655A92" w:rsidRDefault="00655A92" w:rsidP="00441BE0">
      <w:pPr>
        <w:pStyle w:val="Heading2"/>
      </w:pPr>
      <w:bookmarkStart w:id="49" w:name="_Toc208503163"/>
      <w:r w:rsidRPr="00655A92">
        <w:t>Good Manufacturing Practices (GMP)</w:t>
      </w:r>
      <w:bookmarkEnd w:id="49"/>
    </w:p>
    <w:p w14:paraId="3AC59566" w14:textId="1B53F629" w:rsidR="00655A92" w:rsidRDefault="00655A92" w:rsidP="004A0EDE">
      <w:pPr>
        <w:spacing w:before="240"/>
      </w:pPr>
      <w:r>
        <w:t xml:space="preserve">Current GMP regulations can be found in </w:t>
      </w:r>
      <w:hyperlink r:id="rId46" w:history="1">
        <w:r w:rsidRPr="00655A92">
          <w:rPr>
            <w:rStyle w:val="Hyperlink"/>
          </w:rPr>
          <w:t>Title 21 Part 117 Subpart B</w:t>
        </w:r>
      </w:hyperlink>
      <w:r>
        <w:t xml:space="preserve"> of the </w:t>
      </w:r>
      <w:hyperlink r:id="rId47" w:history="1">
        <w:r w:rsidRPr="00655A92">
          <w:rPr>
            <w:rStyle w:val="Hyperlink"/>
          </w:rPr>
          <w:t>Code of Federal Regulations</w:t>
        </w:r>
      </w:hyperlink>
      <w:r>
        <w:t xml:space="preserve"> and serve as a core prerequisite program that applies to all businesses that process, pack, or hold food for human consumption in the United States. They set the minimum standards facilities must meet to ensure food is produced safely and is fit for consumption. These regulations cover essential aspects such as methods, equipment, facilities, and controls used in food processing. A brief overview of each requirement is provided below:</w:t>
      </w:r>
    </w:p>
    <w:p w14:paraId="49013C67" w14:textId="77777777" w:rsidR="00655A92" w:rsidRPr="00655A92" w:rsidRDefault="00655A92" w:rsidP="00691E23">
      <w:pPr>
        <w:pStyle w:val="Heading3"/>
      </w:pPr>
      <w:bookmarkStart w:id="50" w:name="_Toc208503164"/>
      <w:r w:rsidRPr="00655A92">
        <w:t>21 CFR 117.10 Personnel</w:t>
      </w:r>
      <w:bookmarkEnd w:id="50"/>
    </w:p>
    <w:p w14:paraId="4F7706CC" w14:textId="77777777" w:rsidR="00655A92" w:rsidRDefault="00655A92" w:rsidP="004A0EDE">
      <w:pPr>
        <w:spacing w:before="240"/>
      </w:pPr>
      <w:r>
        <w:t>All personnel must be in good health and maintain good hygiene when working with food for human consumption to limit the potential for contamination. Personnel should be properly trained and supervised to ensure their health and hygiene do not compromise food safety.</w:t>
      </w:r>
    </w:p>
    <w:p w14:paraId="244C8F9C" w14:textId="77777777" w:rsidR="00655A92" w:rsidRDefault="00655A92" w:rsidP="00691E23">
      <w:pPr>
        <w:pStyle w:val="Heading3"/>
      </w:pPr>
      <w:bookmarkStart w:id="51" w:name="_Toc208503165"/>
      <w:r>
        <w:t>21 CFR 117.20 Plants and Grounds</w:t>
      </w:r>
      <w:bookmarkEnd w:id="51"/>
    </w:p>
    <w:p w14:paraId="282E22CC" w14:textId="77777777" w:rsidR="00655A92" w:rsidRDefault="00655A92" w:rsidP="004A0EDE">
      <w:pPr>
        <w:spacing w:before="240"/>
      </w:pPr>
      <w:r>
        <w:t>The grounds surrounding a food facility must be adequately maintained and in good condition to limit the potential for contamination. The plant (facility) must be constructed and designed to support its intended operations and allow for effective maintenance and sanitary operations to limit the potential for contamination.</w:t>
      </w:r>
    </w:p>
    <w:p w14:paraId="0CF9BEC2" w14:textId="77777777" w:rsidR="00655A92" w:rsidRDefault="00655A92" w:rsidP="00691E23">
      <w:pPr>
        <w:pStyle w:val="Heading3"/>
      </w:pPr>
      <w:bookmarkStart w:id="52" w:name="_Toc208503166"/>
      <w:r>
        <w:t>21 CFR 117.35 Sanitary Operations</w:t>
      </w:r>
      <w:bookmarkEnd w:id="52"/>
    </w:p>
    <w:p w14:paraId="6417D95D" w14:textId="17D7941D" w:rsidR="00655A92" w:rsidRDefault="00655A92" w:rsidP="004A0EDE">
      <w:pPr>
        <w:spacing w:before="240"/>
      </w:pPr>
      <w:r>
        <w:t>All food facilities must maintain certain sanitary operations when food production, packaging, and storage are taking place. These include:</w:t>
      </w:r>
    </w:p>
    <w:p w14:paraId="01FAAA2B" w14:textId="77777777" w:rsidR="00655A92" w:rsidRDefault="00655A92" w:rsidP="00846B8F">
      <w:pPr>
        <w:pStyle w:val="ListParagraph"/>
        <w:numPr>
          <w:ilvl w:val="0"/>
          <w:numId w:val="18"/>
        </w:numPr>
        <w:ind w:left="806"/>
        <w:contextualSpacing w:val="0"/>
      </w:pPr>
      <w:r w:rsidRPr="00EC549D">
        <w:rPr>
          <w:b/>
          <w:bCs/>
        </w:rPr>
        <w:lastRenderedPageBreak/>
        <w:t>General Maintenance:</w:t>
      </w:r>
      <w:r>
        <w:t xml:space="preserve"> Buildings, fixtures and other physical areas within a facility must be kept clean, sanitary, and in good repair.</w:t>
      </w:r>
    </w:p>
    <w:p w14:paraId="085EDDE2" w14:textId="47B2B08D" w:rsidR="00655A92" w:rsidRDefault="00655A92" w:rsidP="00846B8F">
      <w:pPr>
        <w:pStyle w:val="ListParagraph"/>
        <w:numPr>
          <w:ilvl w:val="0"/>
          <w:numId w:val="18"/>
        </w:numPr>
        <w:ind w:left="806"/>
        <w:contextualSpacing w:val="0"/>
      </w:pPr>
      <w:r w:rsidRPr="00EC549D">
        <w:rPr>
          <w:b/>
          <w:bCs/>
        </w:rPr>
        <w:t>Substances Used in Cleaning and Sanitizing:</w:t>
      </w:r>
      <w:r>
        <w:t xml:space="preserve"> Cleaning and sanitizing agents must be appropriate for the manner in which they are being used. Toxic compounds must be properly labeled and stored away from food and food production areas to limit the risk of contaminating the food and food-contact surfaces. Your suppliers and food safety professionals can assist you in determining what cleaning and sanitizing products are appropriate for your operation.</w:t>
      </w:r>
    </w:p>
    <w:p w14:paraId="3A72EBAA" w14:textId="4459E4FE" w:rsidR="00655A92" w:rsidRDefault="00655A92" w:rsidP="00846B8F">
      <w:pPr>
        <w:pStyle w:val="ListParagraph"/>
        <w:numPr>
          <w:ilvl w:val="0"/>
          <w:numId w:val="18"/>
        </w:numPr>
        <w:ind w:left="806"/>
        <w:contextualSpacing w:val="0"/>
      </w:pPr>
      <w:r w:rsidRPr="00EC549D">
        <w:rPr>
          <w:b/>
          <w:bCs/>
        </w:rPr>
        <w:t>Pest Control:</w:t>
      </w:r>
      <w:r>
        <w:t xml:space="preserve"> Effective pest control methods should be implemented to ensure pests are excluded from all areas of a food facility.</w:t>
      </w:r>
    </w:p>
    <w:p w14:paraId="65C7AAF1" w14:textId="32CC255B" w:rsidR="00655A92" w:rsidRDefault="00655A92" w:rsidP="00846B8F">
      <w:pPr>
        <w:pStyle w:val="ListParagraph"/>
        <w:numPr>
          <w:ilvl w:val="0"/>
          <w:numId w:val="18"/>
        </w:numPr>
        <w:ind w:left="806"/>
        <w:contextualSpacing w:val="0"/>
      </w:pPr>
      <w:r w:rsidRPr="00EC549D">
        <w:rPr>
          <w:b/>
          <w:bCs/>
        </w:rPr>
        <w:t>Sanitation of Food-Contact Surfaces:</w:t>
      </w:r>
      <w:r>
        <w:t xml:space="preserve"> Any surface within a facility that comes in contact with food (food-contact surface) must be cleaned as frequently as necessary to protect foods from microbial and chemical contamination and allergen cross-contact. How often cleaning and sanitizing needs to happen will vary from operation to operation. The factors that will influence this frequency include: equipment design and complexity, potential for contamination, historical data and results of past inspections, number of personnel who have had contact with these surfaces, frequency of use, and types of foods being processed, etc.</w:t>
      </w:r>
    </w:p>
    <w:p w14:paraId="37F5DA6F" w14:textId="08615C70" w:rsidR="00655A92" w:rsidRDefault="00655A92" w:rsidP="00846B8F">
      <w:pPr>
        <w:pStyle w:val="ListParagraph"/>
        <w:numPr>
          <w:ilvl w:val="0"/>
          <w:numId w:val="18"/>
        </w:numPr>
        <w:ind w:left="806"/>
        <w:contextualSpacing w:val="0"/>
      </w:pPr>
      <w:r w:rsidRPr="00EC549D">
        <w:rPr>
          <w:b/>
          <w:bCs/>
        </w:rPr>
        <w:t>Sanitation of Non-Food-Contact Surfaces:</w:t>
      </w:r>
      <w:r>
        <w:t xml:space="preserve"> Any surface within a facility that does not come in direct contact with food (non-food-contact surface) must be cleaned as frequently as necessary to protect foods, food-contact surfaces, and food packaging from microbial and chemical contamination and allergen cross-contact.</w:t>
      </w:r>
    </w:p>
    <w:p w14:paraId="6DC9A9F7" w14:textId="6E26E995" w:rsidR="00655A92" w:rsidRDefault="00655A92" w:rsidP="00846B8F">
      <w:pPr>
        <w:pStyle w:val="ListParagraph"/>
        <w:numPr>
          <w:ilvl w:val="0"/>
          <w:numId w:val="18"/>
        </w:numPr>
        <w:ind w:left="806"/>
        <w:contextualSpacing w:val="0"/>
      </w:pPr>
      <w:r w:rsidRPr="00EC549D">
        <w:rPr>
          <w:b/>
          <w:bCs/>
        </w:rPr>
        <w:t>Storage and Handling of Cleaned Equipment:</w:t>
      </w:r>
      <w:r>
        <w:t xml:space="preserve"> All clean and sanitized equipment and utensils must be stored in a manner that protects them from contamination.</w:t>
      </w:r>
    </w:p>
    <w:p w14:paraId="6C8A5A2B" w14:textId="77777777" w:rsidR="00655A92" w:rsidRDefault="00655A92" w:rsidP="00691E23">
      <w:pPr>
        <w:pStyle w:val="Heading3"/>
      </w:pPr>
      <w:bookmarkStart w:id="53" w:name="_Toc208503167"/>
      <w:r>
        <w:t>21 CFR 117.37 Sanitary Facilities and Controls</w:t>
      </w:r>
      <w:bookmarkEnd w:id="53"/>
    </w:p>
    <w:p w14:paraId="12B22420" w14:textId="4F76E275" w:rsidR="00655A92" w:rsidRDefault="00655A92" w:rsidP="004A0EDE">
      <w:pPr>
        <w:spacing w:before="240"/>
      </w:pPr>
      <w:r>
        <w:t>All food facilities must have water that is safe and suitable for each of its intended uses, such as for cleaning equipment, processing food, or handwashing—along with proper plumbing, sewage disposal, toilet facilities, hand washing stations and waste disposal.</w:t>
      </w:r>
    </w:p>
    <w:p w14:paraId="5720A6E1" w14:textId="77777777" w:rsidR="00655A92" w:rsidRDefault="00655A92" w:rsidP="00691E23">
      <w:pPr>
        <w:pStyle w:val="Heading3"/>
      </w:pPr>
      <w:bookmarkStart w:id="54" w:name="_Toc208503168"/>
      <w:r>
        <w:t>21 CFR 117.40 Equipment and Utensils</w:t>
      </w:r>
      <w:bookmarkEnd w:id="54"/>
    </w:p>
    <w:p w14:paraId="1AAEFBFA" w14:textId="77777777" w:rsidR="00655A92" w:rsidRDefault="00655A92" w:rsidP="004A0EDE">
      <w:pPr>
        <w:spacing w:before="240"/>
      </w:pPr>
      <w:r>
        <w:t>Equipment and utensils in a facility should be designed and built for their intended purpose and in a way that makes them easy to maintain and clean, helping to prevent contamination. This includes having smooth seams and surfaces without cracks or crevices where dirt or bacteria can collect.</w:t>
      </w:r>
    </w:p>
    <w:p w14:paraId="4605716C" w14:textId="77777777" w:rsidR="00655A92" w:rsidRDefault="00655A92" w:rsidP="00691E23">
      <w:pPr>
        <w:pStyle w:val="Heading3"/>
      </w:pPr>
      <w:bookmarkStart w:id="55" w:name="_Toc208503169"/>
      <w:r>
        <w:lastRenderedPageBreak/>
        <w:t>21 CFR 117.80 General Processes and Controls</w:t>
      </w:r>
      <w:bookmarkEnd w:id="55"/>
    </w:p>
    <w:p w14:paraId="59DD20A3" w14:textId="42244D32" w:rsidR="00655A92" w:rsidRDefault="00655A92" w:rsidP="004A0EDE">
      <w:pPr>
        <w:spacing w:before="240"/>
      </w:pPr>
      <w:r>
        <w:t>General Processes and Controls within any food facility must be implemented to control hazards associated with:</w:t>
      </w:r>
    </w:p>
    <w:p w14:paraId="1339F658" w14:textId="05B25594" w:rsidR="00655A92" w:rsidRDefault="00655A92" w:rsidP="00846B8F">
      <w:pPr>
        <w:pStyle w:val="ListParagraph"/>
        <w:numPr>
          <w:ilvl w:val="0"/>
          <w:numId w:val="124"/>
        </w:numPr>
      </w:pPr>
      <w:r w:rsidRPr="004A0EDE">
        <w:rPr>
          <w:b/>
          <w:bCs/>
        </w:rPr>
        <w:t>Raw Materials and Other Ingredients:</w:t>
      </w:r>
      <w:r>
        <w:t xml:space="preserve"> All ingredients must be unadulterated (safe) and suitable for processing into food and stored in a way that minimizes deterioration and protects against microbial and chemical contamination and allergen cross-contact.</w:t>
      </w:r>
    </w:p>
    <w:p w14:paraId="31AC3B60" w14:textId="2589BD26" w:rsidR="00655A92" w:rsidRDefault="00655A92" w:rsidP="00846B8F">
      <w:pPr>
        <w:pStyle w:val="ListParagraph"/>
        <w:numPr>
          <w:ilvl w:val="0"/>
          <w:numId w:val="124"/>
        </w:numPr>
      </w:pPr>
      <w:r w:rsidRPr="004A0EDE">
        <w:rPr>
          <w:b/>
          <w:bCs/>
        </w:rPr>
        <w:t>Manufacturing Operations:</w:t>
      </w:r>
      <w:r>
        <w:t xml:space="preserve"> All manufacturing, processing, packing, and storage activities within a facility must be carried out in ways that prevent or minimize the risk of microbial and chemical contamination and allergen cross-contact. This can include using physical and chemical controls such as temperature, pH, salinity, as well as thorough cleaning and sanitation practices.</w:t>
      </w:r>
    </w:p>
    <w:p w14:paraId="376EAE90" w14:textId="77777777" w:rsidR="00655A92" w:rsidRDefault="00655A92" w:rsidP="00691E23">
      <w:pPr>
        <w:pStyle w:val="Heading3"/>
      </w:pPr>
      <w:bookmarkStart w:id="56" w:name="_Toc208503170"/>
      <w:r>
        <w:t>21 CFR 117.93 Warehousing and Distribution</w:t>
      </w:r>
      <w:bookmarkEnd w:id="56"/>
    </w:p>
    <w:p w14:paraId="2C2B983D" w14:textId="302A1EFE" w:rsidR="00655A92" w:rsidRDefault="00655A92" w:rsidP="004A0EDE">
      <w:pPr>
        <w:spacing w:before="240"/>
      </w:pPr>
      <w:r>
        <w:t>Warehousing—storing food and its packaging before it is sold or distributed—and distribution practices should be designed and managed in a way that ensures foods are protected from contamination and deterioration of the food and its packaging.</w:t>
      </w:r>
    </w:p>
    <w:p w14:paraId="1F7C3268" w14:textId="77777777" w:rsidR="00655A92" w:rsidRDefault="00655A92" w:rsidP="00691E23">
      <w:pPr>
        <w:pStyle w:val="Heading3"/>
      </w:pPr>
      <w:bookmarkStart w:id="57" w:name="_Toc208503171"/>
      <w:r>
        <w:t>21 CFR 117.95 Holding and Distribution of Human Food By-Products for Use as Animal Food</w:t>
      </w:r>
      <w:bookmarkEnd w:id="57"/>
    </w:p>
    <w:p w14:paraId="7AA675E0" w14:textId="77777777" w:rsidR="00655A92" w:rsidRDefault="00655A92" w:rsidP="004A0EDE">
      <w:pPr>
        <w:spacing w:before="240"/>
      </w:pPr>
      <w:r>
        <w:t>Food waste intended for use as animal feed must be stored and handled in ways that prevent contamination, such as keeping it covered or protected and maintaining appropriate temperature controls.</w:t>
      </w:r>
    </w:p>
    <w:p w14:paraId="5F05181F" w14:textId="77777777" w:rsidR="00655A92" w:rsidRDefault="00655A92" w:rsidP="00691E23">
      <w:pPr>
        <w:pStyle w:val="Heading3"/>
      </w:pPr>
      <w:bookmarkStart w:id="58" w:name="_Toc208503172"/>
      <w:r>
        <w:t>21 CFR 117.110 Action Defect Level</w:t>
      </w:r>
      <w:bookmarkEnd w:id="58"/>
    </w:p>
    <w:p w14:paraId="617B3FF1" w14:textId="1EDA89D5" w:rsidR="00655A92" w:rsidRDefault="00655A92" w:rsidP="004A0EDE">
      <w:pPr>
        <w:spacing w:before="240"/>
      </w:pPr>
      <w:r>
        <w:t xml:space="preserve">Food manufacturers, processors, packers, and handlers are required to follow protocols that minimize natural or unavoidable “defects” in food. For seaweed, these defects may include the presence of fouling organisms and mold. </w:t>
      </w:r>
      <w:r w:rsidRPr="000A6B5D">
        <w:t xml:space="preserve">The </w:t>
      </w:r>
      <w:hyperlink r:id="rId48" w:history="1">
        <w:r w:rsidRPr="000A6B5D">
          <w:rPr>
            <w:rStyle w:val="Hyperlink"/>
          </w:rPr>
          <w:t xml:space="preserve">FDA’s </w:t>
        </w:r>
        <w:r w:rsidRPr="00D31328">
          <w:rPr>
            <w:rStyle w:val="Hyperlink"/>
            <w:i/>
            <w:iCs/>
          </w:rPr>
          <w:t>Defect Action Levels Handbook</w:t>
        </w:r>
      </w:hyperlink>
      <w:r w:rsidRPr="000A6B5D">
        <w:t xml:space="preserve"> provides</w:t>
      </w:r>
      <w:r>
        <w:t xml:space="preserve"> information on acceptable limits for defects in various foods; however, no defect </w:t>
      </w:r>
      <w:hyperlink w:anchor="ActionLevel" w:tooltip="A threshold established by regulatory bodies, such as the U.S. Food and Drug Administration (FDA), indicating the maximum concentration of a contaminant (e.g., arsenic, cadmium, lead, or mercury) in food or feed." w:history="1">
        <w:r w:rsidRPr="009B4748">
          <w:rPr>
            <w:rStyle w:val="Hyperlink"/>
          </w:rPr>
          <w:t>action levels</w:t>
        </w:r>
      </w:hyperlink>
      <w:r>
        <w:t xml:space="preserve"> have been published for seaweed or seaweed products. Until such levels are established, any potential defects in seaweed will be evaluated on a case-by-case basis.</w:t>
      </w:r>
    </w:p>
    <w:p w14:paraId="5050E2DB" w14:textId="77777777" w:rsidR="00655A92" w:rsidRDefault="00655A92" w:rsidP="00846B8F">
      <w:pPr>
        <w:pStyle w:val="Heading2"/>
        <w:numPr>
          <w:ilvl w:val="1"/>
          <w:numId w:val="129"/>
        </w:numPr>
      </w:pPr>
      <w:bookmarkStart w:id="59" w:name="_Toc208503173"/>
      <w:r>
        <w:t>Sanitation Control Procedures (SCP)</w:t>
      </w:r>
      <w:bookmarkEnd w:id="59"/>
    </w:p>
    <w:p w14:paraId="4A1BD163" w14:textId="5AF3B4FD" w:rsidR="00655A92" w:rsidRDefault="00655A92" w:rsidP="004A0EDE">
      <w:pPr>
        <w:spacing w:before="240"/>
      </w:pPr>
      <w:r>
        <w:t>Sanitation is an important component of any Food Safety program. SCP are a compilation of all sanitary practices within a facility including the sanitation standard operating procedures (SSOPs). SSOPs are specific procedures or instructions for maintaining sanitary facilities, equipment, and practices within a facility.</w:t>
      </w:r>
    </w:p>
    <w:p w14:paraId="283C9709" w14:textId="52732906" w:rsidR="00655A92" w:rsidRDefault="00655A92" w:rsidP="004A0EDE">
      <w:pPr>
        <w:spacing w:before="240"/>
        <w:contextualSpacing/>
      </w:pPr>
      <w:r>
        <w:lastRenderedPageBreak/>
        <w:t>SSOPs should clearly describe the appropriate procedures for cleaning, sanitizing, and maintaining facilities and equipment. Effective SSOPs should include:</w:t>
      </w:r>
    </w:p>
    <w:p w14:paraId="377B0677" w14:textId="77777777" w:rsidR="00655A92" w:rsidRDefault="00655A92" w:rsidP="00846B8F">
      <w:pPr>
        <w:pStyle w:val="ListParagraph"/>
        <w:numPr>
          <w:ilvl w:val="0"/>
          <w:numId w:val="18"/>
        </w:numPr>
        <w:spacing w:before="240"/>
      </w:pPr>
      <w:r>
        <w:t>The sanitation procedures, including how to clean and sanitize equipment and work areas, control pests, and maintain the building and grounds.</w:t>
      </w:r>
    </w:p>
    <w:p w14:paraId="05B3E70A" w14:textId="77777777" w:rsidR="00655A92" w:rsidRDefault="00655A92" w:rsidP="00846B8F">
      <w:pPr>
        <w:pStyle w:val="ListParagraph"/>
        <w:numPr>
          <w:ilvl w:val="0"/>
          <w:numId w:val="18"/>
        </w:numPr>
        <w:spacing w:before="240"/>
      </w:pPr>
      <w:r>
        <w:t>When and how often procedures should be conducted.</w:t>
      </w:r>
    </w:p>
    <w:p w14:paraId="61B31C02" w14:textId="77777777" w:rsidR="00655A92" w:rsidRDefault="00655A92" w:rsidP="00846B8F">
      <w:pPr>
        <w:pStyle w:val="ListParagraph"/>
        <w:numPr>
          <w:ilvl w:val="0"/>
          <w:numId w:val="18"/>
        </w:numPr>
        <w:spacing w:before="240"/>
      </w:pPr>
      <w:r>
        <w:t>The individual(s) responsible for conducting and/or monitoring sanitation activities.</w:t>
      </w:r>
    </w:p>
    <w:p w14:paraId="2F466D77" w14:textId="77777777" w:rsidR="00655A92" w:rsidRDefault="00655A92" w:rsidP="00846B8F">
      <w:pPr>
        <w:pStyle w:val="ListParagraph"/>
        <w:numPr>
          <w:ilvl w:val="0"/>
          <w:numId w:val="18"/>
        </w:numPr>
        <w:spacing w:before="240"/>
      </w:pPr>
      <w:r>
        <w:t>The monitoring procedures that are in place to verify that the sanitation controls implemented are effective.</w:t>
      </w:r>
    </w:p>
    <w:p w14:paraId="3BE247EC" w14:textId="77777777" w:rsidR="00655A92" w:rsidRDefault="00655A92" w:rsidP="00846B8F">
      <w:pPr>
        <w:pStyle w:val="ListParagraph"/>
        <w:numPr>
          <w:ilvl w:val="0"/>
          <w:numId w:val="18"/>
        </w:numPr>
        <w:spacing w:before="240"/>
      </w:pPr>
      <w:r>
        <w:t>Description of the actions or corrections that will be taken when a sanitation problem is identified. This should also specify how any product that may have been contaminated or otherwise affected will be handled.</w:t>
      </w:r>
    </w:p>
    <w:p w14:paraId="72EDEC77" w14:textId="77777777" w:rsidR="00655A92" w:rsidRDefault="00655A92" w:rsidP="00846B8F">
      <w:pPr>
        <w:pStyle w:val="ListParagraph"/>
        <w:numPr>
          <w:ilvl w:val="0"/>
          <w:numId w:val="18"/>
        </w:numPr>
        <w:spacing w:before="240"/>
      </w:pPr>
      <w:r>
        <w:t>Identify the records that will be kept to document monitoring activities and any corrections made.</w:t>
      </w:r>
    </w:p>
    <w:p w14:paraId="2C95993A" w14:textId="77777777" w:rsidR="00655A92" w:rsidRDefault="00655A92" w:rsidP="004A0EDE">
      <w:pPr>
        <w:spacing w:before="240"/>
      </w:pPr>
      <w:r w:rsidRPr="00655A92">
        <w:rPr>
          <w:b/>
          <w:bCs/>
        </w:rPr>
        <w:t>Note to users:</w:t>
      </w:r>
      <w:r>
        <w:t xml:space="preserve"> The way sanitation control procedures fit into a facility’s overall food safety program will depend on the regulations that apply to that facility. Qualified facilities that are exempt from having a Preventive Controls for Human Food (PCHF) food safety plan, as well as facilities in states that regulate seaweed under Seafood HACCP, will generally follow HACCP requirements. Facilities that are not considered qualified facilities are regulated under the Preventive Controls for Human Food rule. The following two sections outline how these different regulatory frameworks affect sanitation-related compliance requirements.</w:t>
      </w:r>
    </w:p>
    <w:p w14:paraId="022413A0" w14:textId="77777777" w:rsidR="00655A92" w:rsidRDefault="00655A92" w:rsidP="00691E23">
      <w:pPr>
        <w:pStyle w:val="Heading3"/>
      </w:pPr>
      <w:bookmarkStart w:id="60" w:name="_Toc208503174"/>
      <w:r>
        <w:t>Sanitation and Hazard Analysis and Critical Control Points (HACCP)</w:t>
      </w:r>
      <w:bookmarkEnd w:id="60"/>
    </w:p>
    <w:p w14:paraId="3D119487" w14:textId="26F9A03A" w:rsidR="00655A92" w:rsidRDefault="00655A92" w:rsidP="004A0EDE">
      <w:pPr>
        <w:spacing w:before="240"/>
      </w:pPr>
      <w:r>
        <w:t>The GMPs outlined above address sanitation and the maintenance of sanitary conditions within a facility. Under the Seafood HACCP regulation 21 CFR 123, eight key sanitation areas—drawn from the GMPs—are written directly into the regulation. Facilities must monitor each of these areas and keep records of that monitoring, to ensure compliance with these sanitation requirements. If operating under a HACCP system, it is important to address all eight key sanitation areas and maintain the required records for each. Sanitation practices are considered prerequisite programs and therefore do not need to be included in the facility’s HACCP plan.</w:t>
      </w:r>
    </w:p>
    <w:p w14:paraId="667BC9BF" w14:textId="51848AC4" w:rsidR="00655A92" w:rsidRDefault="00655A92" w:rsidP="004A0EDE">
      <w:pPr>
        <w:spacing w:before="240"/>
      </w:pPr>
      <w:r>
        <w:t>The 8 key areas of sanitation include:</w:t>
      </w:r>
    </w:p>
    <w:p w14:paraId="35F798E7" w14:textId="77777777" w:rsidR="00655A92" w:rsidRDefault="00655A92" w:rsidP="00846B8F">
      <w:pPr>
        <w:pStyle w:val="ListParagraph"/>
        <w:numPr>
          <w:ilvl w:val="0"/>
          <w:numId w:val="19"/>
        </w:numPr>
        <w:spacing w:before="240"/>
      </w:pPr>
      <w:r>
        <w:t>Safety of water</w:t>
      </w:r>
    </w:p>
    <w:p w14:paraId="76B19AB3" w14:textId="77777777" w:rsidR="00655A92" w:rsidRDefault="00655A92" w:rsidP="00846B8F">
      <w:pPr>
        <w:pStyle w:val="ListParagraph"/>
        <w:numPr>
          <w:ilvl w:val="0"/>
          <w:numId w:val="19"/>
        </w:numPr>
        <w:spacing w:before="240"/>
      </w:pPr>
      <w:r>
        <w:t>Condition and cleanliness of food contact surfaces</w:t>
      </w:r>
    </w:p>
    <w:p w14:paraId="1688BB7E" w14:textId="77777777" w:rsidR="00655A92" w:rsidRDefault="00655A92" w:rsidP="00846B8F">
      <w:pPr>
        <w:pStyle w:val="ListParagraph"/>
        <w:numPr>
          <w:ilvl w:val="0"/>
          <w:numId w:val="19"/>
        </w:numPr>
        <w:spacing w:before="240"/>
      </w:pPr>
      <w:r>
        <w:t>Prevention of cross-contamination</w:t>
      </w:r>
    </w:p>
    <w:p w14:paraId="168D8AFF" w14:textId="77777777" w:rsidR="00655A92" w:rsidRDefault="00655A92" w:rsidP="00846B8F">
      <w:pPr>
        <w:pStyle w:val="ListParagraph"/>
        <w:numPr>
          <w:ilvl w:val="0"/>
          <w:numId w:val="19"/>
        </w:numPr>
        <w:spacing w:before="240"/>
      </w:pPr>
      <w:r>
        <w:t>Maintenance of hand washing, hand sanitizing, and toilet facilities</w:t>
      </w:r>
    </w:p>
    <w:p w14:paraId="4F1A1148" w14:textId="77777777" w:rsidR="00655A92" w:rsidRDefault="00655A92" w:rsidP="00846B8F">
      <w:pPr>
        <w:pStyle w:val="ListParagraph"/>
        <w:numPr>
          <w:ilvl w:val="0"/>
          <w:numId w:val="19"/>
        </w:numPr>
        <w:spacing w:before="240"/>
      </w:pPr>
      <w:r>
        <w:lastRenderedPageBreak/>
        <w:t>Protection from adulterants</w:t>
      </w:r>
    </w:p>
    <w:p w14:paraId="3615DD49" w14:textId="77777777" w:rsidR="00655A92" w:rsidRDefault="00655A92" w:rsidP="00846B8F">
      <w:pPr>
        <w:pStyle w:val="ListParagraph"/>
        <w:numPr>
          <w:ilvl w:val="0"/>
          <w:numId w:val="19"/>
        </w:numPr>
        <w:spacing w:before="240"/>
      </w:pPr>
      <w:r>
        <w:t>Labeling, storage and use of toxic compounds</w:t>
      </w:r>
    </w:p>
    <w:p w14:paraId="7FD70318" w14:textId="77777777" w:rsidR="00655A92" w:rsidRDefault="00655A92" w:rsidP="00846B8F">
      <w:pPr>
        <w:pStyle w:val="ListParagraph"/>
        <w:numPr>
          <w:ilvl w:val="0"/>
          <w:numId w:val="19"/>
        </w:numPr>
        <w:spacing w:before="240"/>
      </w:pPr>
      <w:r>
        <w:t>Employee health</w:t>
      </w:r>
    </w:p>
    <w:p w14:paraId="769EBE28" w14:textId="77777777" w:rsidR="00655A92" w:rsidRDefault="00655A92" w:rsidP="00846B8F">
      <w:pPr>
        <w:pStyle w:val="ListParagraph"/>
        <w:numPr>
          <w:ilvl w:val="0"/>
          <w:numId w:val="19"/>
        </w:numPr>
        <w:spacing w:before="240"/>
      </w:pPr>
      <w:r>
        <w:t>Exclusion of pests</w:t>
      </w:r>
    </w:p>
    <w:p w14:paraId="42F1E9E9" w14:textId="77777777" w:rsidR="00655A92" w:rsidRDefault="00655A92" w:rsidP="00846B8F">
      <w:pPr>
        <w:pStyle w:val="Heading3"/>
        <w:numPr>
          <w:ilvl w:val="2"/>
          <w:numId w:val="130"/>
        </w:numPr>
      </w:pPr>
      <w:bookmarkStart w:id="61" w:name="_Toc208503175"/>
      <w:r>
        <w:t>Sanitation and Preventive Controls for Human Foods (PCHF)</w:t>
      </w:r>
      <w:bookmarkEnd w:id="61"/>
    </w:p>
    <w:p w14:paraId="55A76057" w14:textId="59A76209" w:rsidR="00655A92" w:rsidRDefault="00655A92" w:rsidP="004A0EDE">
      <w:pPr>
        <w:spacing w:before="240"/>
      </w:pPr>
      <w:r>
        <w:t>Under the Preventive Controls for Human Food Rule (</w:t>
      </w:r>
      <w:hyperlink r:id="rId49" w:history="1">
        <w:r w:rsidRPr="00655A92">
          <w:rPr>
            <w:rStyle w:val="Hyperlink"/>
          </w:rPr>
          <w:t>21 CFR Part 117 Subpart C</w:t>
        </w:r>
      </w:hyperlink>
      <w:r>
        <w:t>), sanitation procedures are generally part of current Good Manufacturing Practices (GMP) and serve as prerequisite programs. However, in some cases, a hazard analysis may identify post-process contamination risks—such as cross-contact or cross-contamination from the processing environment—that require a specific Sanitation Preventive Control.</w:t>
      </w:r>
    </w:p>
    <w:p w14:paraId="1127DB80" w14:textId="77777777" w:rsidR="00655A92" w:rsidRDefault="00655A92" w:rsidP="00655A92">
      <w:r>
        <w:t>This situation often arises when a product is exposed to the environment after a kill step (e.g., thermal processing) but before it is packaged. In these cases, standard GMP sanitation procedures must be elevated to the level of a Preventive Control. This elevation requires the development of written procedures, as well as documented monitoring, corrective actions, and verification activities.</w:t>
      </w:r>
    </w:p>
    <w:p w14:paraId="411C7493" w14:textId="77777777" w:rsidR="00655A92" w:rsidRDefault="00655A92" w:rsidP="00655A92">
      <w:r>
        <w:t>It is also recommended that facilities implement an environmental monitoring program to assess the effectiveness of the Sanitation Preventive Control. While GMP sanitation practices are not required to be documented under the PCHF rule, a Sanitation Preventive Control must be written and included in the facility’s Food Safety Plan.</w:t>
      </w:r>
    </w:p>
    <w:p w14:paraId="7BB0F248" w14:textId="56FA6E9C" w:rsidR="00655A92" w:rsidRDefault="00655A92" w:rsidP="00655A92">
      <w:r>
        <w:t xml:space="preserve">Sanitation Preventive Controls are especially important for </w:t>
      </w:r>
      <w:hyperlink w:anchor="RTE" w:tooltip="Foods being sold with the intention of being consumed without any further processing or preparation." w:history="1">
        <w:r w:rsidRPr="00AE1C32">
          <w:rPr>
            <w:rStyle w:val="Hyperlink"/>
          </w:rPr>
          <w:t>ready-to-eat (RTE)</w:t>
        </w:r>
      </w:hyperlink>
      <w:r>
        <w:t xml:space="preserve"> foods that will not be cooked before consumption, such as seaweed salad or vegetable maki rolls.</w:t>
      </w:r>
    </w:p>
    <w:p w14:paraId="4E4BADEA" w14:textId="77777777" w:rsidR="00655A92" w:rsidRDefault="00655A92" w:rsidP="00846B8F">
      <w:pPr>
        <w:pStyle w:val="Heading2"/>
        <w:numPr>
          <w:ilvl w:val="1"/>
          <w:numId w:val="130"/>
        </w:numPr>
      </w:pPr>
      <w:bookmarkStart w:id="62" w:name="_Toc208503176"/>
      <w:r>
        <w:t>Other Prerequisite Programs</w:t>
      </w:r>
      <w:bookmarkEnd w:id="62"/>
    </w:p>
    <w:p w14:paraId="485BCA4A" w14:textId="77777777" w:rsidR="00655A92" w:rsidRDefault="00655A92" w:rsidP="004A0EDE">
      <w:pPr>
        <w:spacing w:before="160"/>
        <w:contextualSpacing/>
      </w:pPr>
      <w:r>
        <w:t>While GMPs and SCPs are the most common prerequisite programs for most food producers, there can be a variety of other regulations and prerequisite programs that should or must be in place to ensure you have an effective food safety system. Some additional regulations and programs to consider are listed below. This list is not exhaustive, and it is important to work with state and federal regulatory agencies and subject matter experts to ensure you are building an effective food safety system.</w:t>
      </w:r>
    </w:p>
    <w:p w14:paraId="046C6263" w14:textId="140D461F" w:rsidR="00655A92" w:rsidRDefault="00655A92" w:rsidP="00846B8F">
      <w:pPr>
        <w:pStyle w:val="ListParagraph"/>
        <w:numPr>
          <w:ilvl w:val="0"/>
          <w:numId w:val="20"/>
        </w:numPr>
        <w:spacing w:before="160"/>
      </w:pPr>
      <w:hyperlink r:id="rId50" w:history="1">
        <w:r w:rsidRPr="00655A92">
          <w:rPr>
            <w:rStyle w:val="Hyperlink"/>
          </w:rPr>
          <w:t>Preventive controls for animal food</w:t>
        </w:r>
      </w:hyperlink>
    </w:p>
    <w:p w14:paraId="4D0719D9" w14:textId="77777777" w:rsidR="00655A92" w:rsidRDefault="00655A92" w:rsidP="00846B8F">
      <w:pPr>
        <w:pStyle w:val="ListParagraph"/>
        <w:numPr>
          <w:ilvl w:val="1"/>
          <w:numId w:val="20"/>
        </w:numPr>
        <w:spacing w:before="160"/>
      </w:pPr>
      <w:r>
        <w:t>If selling or diverting seaweed or seaweed by-products for animal food production.</w:t>
      </w:r>
    </w:p>
    <w:p w14:paraId="24778847" w14:textId="127BDB65" w:rsidR="00655A92" w:rsidRDefault="00655A92" w:rsidP="00846B8F">
      <w:pPr>
        <w:pStyle w:val="ListParagraph"/>
        <w:numPr>
          <w:ilvl w:val="0"/>
          <w:numId w:val="20"/>
        </w:numPr>
        <w:spacing w:before="160"/>
      </w:pPr>
      <w:hyperlink r:id="rId51" w:history="1">
        <w:r w:rsidRPr="00655A92">
          <w:rPr>
            <w:rStyle w:val="Hyperlink"/>
          </w:rPr>
          <w:t>Mitigation for intentional adulteration</w:t>
        </w:r>
      </w:hyperlink>
      <w:r>
        <w:t xml:space="preserve"> (21 CFR Part 121)</w:t>
      </w:r>
    </w:p>
    <w:p w14:paraId="18B3DB98" w14:textId="5747ECDA" w:rsidR="00655A92" w:rsidRDefault="00655A92" w:rsidP="00846B8F">
      <w:pPr>
        <w:pStyle w:val="ListParagraph"/>
        <w:numPr>
          <w:ilvl w:val="0"/>
          <w:numId w:val="20"/>
        </w:numPr>
        <w:spacing w:before="160"/>
      </w:pPr>
      <w:hyperlink r:id="rId52" w:history="1">
        <w:r w:rsidRPr="00655A92">
          <w:rPr>
            <w:rStyle w:val="Hyperlink"/>
          </w:rPr>
          <w:t>Sanitary transportation of human and animal food</w:t>
        </w:r>
      </w:hyperlink>
      <w:r>
        <w:t xml:space="preserve"> (21 CFR Part 1 Subpart O)</w:t>
      </w:r>
    </w:p>
    <w:p w14:paraId="46FC1ADA" w14:textId="07806C44" w:rsidR="00655A92" w:rsidRDefault="00655A92" w:rsidP="00846B8F">
      <w:pPr>
        <w:pStyle w:val="ListParagraph"/>
        <w:numPr>
          <w:ilvl w:val="0"/>
          <w:numId w:val="20"/>
        </w:numPr>
        <w:spacing w:before="160"/>
      </w:pPr>
      <w:r>
        <w:t>Employee Training and Training Records (</w:t>
      </w:r>
      <w:hyperlink r:id="rId53" w:history="1">
        <w:r w:rsidRPr="00655A92">
          <w:rPr>
            <w:rStyle w:val="Hyperlink"/>
          </w:rPr>
          <w:t>21 CFR 117 Subpart A 117.4</w:t>
        </w:r>
      </w:hyperlink>
      <w:r>
        <w:t>)</w:t>
      </w:r>
    </w:p>
    <w:p w14:paraId="509F05B8" w14:textId="2F0196C4" w:rsidR="00655A92" w:rsidRDefault="00655A92" w:rsidP="00846B8F">
      <w:pPr>
        <w:pStyle w:val="ListParagraph"/>
        <w:numPr>
          <w:ilvl w:val="0"/>
          <w:numId w:val="20"/>
        </w:numPr>
        <w:spacing w:before="160"/>
      </w:pPr>
      <w:hyperlink r:id="rId54" w:history="1">
        <w:r w:rsidRPr="00655A92">
          <w:rPr>
            <w:rStyle w:val="Hyperlink"/>
          </w:rPr>
          <w:t>Food allergen Labeling and Consumer Protection Act of 2004</w:t>
        </w:r>
      </w:hyperlink>
    </w:p>
    <w:p w14:paraId="7FAB4C97" w14:textId="17253F5B" w:rsidR="00655A92" w:rsidRDefault="00655A92" w:rsidP="00846B8F">
      <w:pPr>
        <w:pStyle w:val="ListParagraph"/>
        <w:numPr>
          <w:ilvl w:val="0"/>
          <w:numId w:val="20"/>
        </w:numPr>
        <w:spacing w:before="160"/>
      </w:pPr>
      <w:hyperlink r:id="rId55" w:history="1">
        <w:r w:rsidRPr="00655A92">
          <w:rPr>
            <w:rStyle w:val="Hyperlink"/>
          </w:rPr>
          <w:t>Food Labeling and Nutrition</w:t>
        </w:r>
      </w:hyperlink>
      <w:r>
        <w:t xml:space="preserve"> (</w:t>
      </w:r>
      <w:hyperlink r:id="rId56" w:history="1">
        <w:r w:rsidRPr="00655A92">
          <w:rPr>
            <w:rStyle w:val="Hyperlink"/>
          </w:rPr>
          <w:t>21 CFR Part 101</w:t>
        </w:r>
      </w:hyperlink>
      <w:r>
        <w:t>)</w:t>
      </w:r>
    </w:p>
    <w:p w14:paraId="69A63A82" w14:textId="102B5F2D" w:rsidR="00655A92" w:rsidRDefault="00655A92" w:rsidP="00846B8F">
      <w:pPr>
        <w:pStyle w:val="ListParagraph"/>
        <w:numPr>
          <w:ilvl w:val="0"/>
          <w:numId w:val="20"/>
        </w:numPr>
        <w:spacing w:before="160"/>
      </w:pPr>
      <w:hyperlink r:id="rId57" w:history="1">
        <w:r w:rsidRPr="00655A92">
          <w:rPr>
            <w:rStyle w:val="Hyperlink"/>
          </w:rPr>
          <w:t>Country of Origin Labeling</w:t>
        </w:r>
      </w:hyperlink>
      <w:r>
        <w:t xml:space="preserve"> (</w:t>
      </w:r>
      <w:hyperlink r:id="rId58" w:history="1">
        <w:r w:rsidRPr="00572150">
          <w:rPr>
            <w:rStyle w:val="Hyperlink"/>
          </w:rPr>
          <w:t>Title 7 CFR Part 60</w:t>
        </w:r>
      </w:hyperlink>
      <w:r>
        <w:t>)</w:t>
      </w:r>
    </w:p>
    <w:p w14:paraId="291F7E98" w14:textId="77777777" w:rsidR="00655A92" w:rsidRDefault="00655A92" w:rsidP="00846B8F">
      <w:pPr>
        <w:pStyle w:val="ListParagraph"/>
        <w:numPr>
          <w:ilvl w:val="0"/>
          <w:numId w:val="20"/>
        </w:numPr>
        <w:spacing w:before="160"/>
      </w:pPr>
      <w:r>
        <w:t>Local/Overseas Requirements/Regulations</w:t>
      </w:r>
    </w:p>
    <w:p w14:paraId="3848603D" w14:textId="77777777" w:rsidR="00655A92" w:rsidRDefault="00655A92" w:rsidP="00846B8F">
      <w:pPr>
        <w:pStyle w:val="ListParagraph"/>
        <w:numPr>
          <w:ilvl w:val="1"/>
          <w:numId w:val="20"/>
        </w:numPr>
        <w:spacing w:before="160"/>
      </w:pPr>
      <w:r>
        <w:t>State Specific requirements</w:t>
      </w:r>
    </w:p>
    <w:p w14:paraId="4BA0E7E4" w14:textId="77777777" w:rsidR="00655A92" w:rsidRDefault="00655A92" w:rsidP="00846B8F">
      <w:pPr>
        <w:pStyle w:val="ListParagraph"/>
        <w:numPr>
          <w:ilvl w:val="1"/>
          <w:numId w:val="20"/>
        </w:numPr>
        <w:spacing w:before="160"/>
      </w:pPr>
      <w:r>
        <w:t xml:space="preserve">Country/International requirements </w:t>
      </w:r>
    </w:p>
    <w:p w14:paraId="65312282" w14:textId="38C3F048" w:rsidR="00655A92" w:rsidRDefault="00655A92" w:rsidP="00846B8F">
      <w:pPr>
        <w:pStyle w:val="ListParagraph"/>
        <w:numPr>
          <w:ilvl w:val="2"/>
          <w:numId w:val="20"/>
        </w:numPr>
        <w:spacing w:before="160"/>
      </w:pPr>
      <w:r>
        <w:t xml:space="preserve">For Example, the </w:t>
      </w:r>
      <w:hyperlink r:id="rId59" w:history="1">
        <w:r w:rsidRPr="00572150">
          <w:rPr>
            <w:rStyle w:val="Hyperlink"/>
          </w:rPr>
          <w:t>Codex Alimentarius International Food Standards</w:t>
        </w:r>
      </w:hyperlink>
    </w:p>
    <w:p w14:paraId="21A37102" w14:textId="77777777" w:rsidR="00160618" w:rsidRDefault="00160618" w:rsidP="00160618">
      <w:pPr>
        <w:sectPr w:rsidR="00160618" w:rsidSect="00B91D83">
          <w:pgSz w:w="12240" w:h="15840"/>
          <w:pgMar w:top="1440" w:right="1440" w:bottom="1440" w:left="1440" w:header="720" w:footer="720" w:gutter="0"/>
          <w:pgNumType w:start="1" w:chapStyle="1"/>
          <w:cols w:space="720"/>
          <w:docGrid w:linePitch="360"/>
        </w:sectPr>
      </w:pPr>
    </w:p>
    <w:p w14:paraId="4B02BA24" w14:textId="1B7AC4E8" w:rsidR="00160618" w:rsidRPr="00057061" w:rsidRDefault="00160618" w:rsidP="00691E23">
      <w:pPr>
        <w:pStyle w:val="Heading1"/>
      </w:pPr>
      <w:bookmarkStart w:id="63" w:name="_Toc208503177"/>
      <w:bookmarkStart w:id="64" w:name="_Toc210042853"/>
      <w:r w:rsidRPr="00057061">
        <w:lastRenderedPageBreak/>
        <w:t>Seaweed Food Safety Hazards and Definitions</w:t>
      </w:r>
      <w:bookmarkEnd w:id="63"/>
      <w:bookmarkEnd w:id="64"/>
    </w:p>
    <w:p w14:paraId="4E94D917" w14:textId="44B9049F" w:rsidR="002F6074" w:rsidRDefault="002033A6" w:rsidP="004A0EDE">
      <w:pPr>
        <w:spacing w:before="240"/>
      </w:pPr>
      <w:r>
        <w:t>This chapter</w:t>
      </w:r>
      <w:r w:rsidR="002F6074">
        <w:t xml:space="preserve"> discusses the potential hazards of edible seaweeds and seaweed products, drawing on historical data and the scientific literature available at the time of publication. The tables in this chapter can be used to help identify potential hazards that may be associated with specific seaweed species and products. While the hazards listed are considered potential, it is the processor’s responsibility to evaluate their own products and processes to determine which hazards are significant</w:t>
      </w:r>
      <w:r w:rsidR="00173FBA" w:rsidRPr="00173FBA">
        <w:t>—either “reasonably likely to occur” (HACCP) or “hazard requiring a preventive control” (PCHF)—</w:t>
      </w:r>
      <w:r w:rsidR="002F6074">
        <w:t xml:space="preserve">and require controls. While the tables include a variety of edible species from around the world, it is likely not inclusive. If a species is not listed in </w:t>
      </w:r>
      <w:r w:rsidR="002D13BE">
        <w:t>T</w:t>
      </w:r>
      <w:r w:rsidR="002F6074">
        <w:t>able 4-1, processors should identify a similar or closely related species as a reference point. In general, the list below provides potential food safety hazards often associated with each of the three main categories of seaweed:</w:t>
      </w:r>
    </w:p>
    <w:p w14:paraId="3F592444" w14:textId="62C43953" w:rsidR="002F6074" w:rsidRDefault="002F6074" w:rsidP="00846B8F">
      <w:pPr>
        <w:pStyle w:val="ListParagraph"/>
        <w:numPr>
          <w:ilvl w:val="0"/>
          <w:numId w:val="21"/>
        </w:numPr>
        <w:contextualSpacing w:val="0"/>
      </w:pPr>
      <w:r w:rsidRPr="002F6074">
        <w:rPr>
          <w:b/>
          <w:bCs/>
        </w:rPr>
        <w:t>Brown seaweed potential species-related hazards:</w:t>
      </w:r>
      <w:r>
        <w:t xml:space="preserve"> </w:t>
      </w:r>
      <w:hyperlink w:anchor="_Pathogens" w:tooltip="Microorganisms that cause disease." w:history="1">
        <w:r w:rsidRPr="0051253B">
          <w:rPr>
            <w:rStyle w:val="Hyperlink"/>
          </w:rPr>
          <w:t>Pathogens</w:t>
        </w:r>
      </w:hyperlink>
      <w:r>
        <w:t xml:space="preserve"> in the harvest area, environmental chemicals, iodine, and natural toxins</w:t>
      </w:r>
    </w:p>
    <w:p w14:paraId="59D12788" w14:textId="79FC4933" w:rsidR="002F6074" w:rsidRDefault="002F6074" w:rsidP="00846B8F">
      <w:pPr>
        <w:pStyle w:val="ListParagraph"/>
        <w:numPr>
          <w:ilvl w:val="0"/>
          <w:numId w:val="21"/>
        </w:numPr>
        <w:contextualSpacing w:val="0"/>
      </w:pPr>
      <w:r w:rsidRPr="002F6074">
        <w:rPr>
          <w:b/>
          <w:bCs/>
        </w:rPr>
        <w:t xml:space="preserve">Red </w:t>
      </w:r>
      <w:r w:rsidR="009C5A4A">
        <w:rPr>
          <w:b/>
          <w:bCs/>
        </w:rPr>
        <w:t>s</w:t>
      </w:r>
      <w:r w:rsidRPr="002F6074">
        <w:rPr>
          <w:b/>
          <w:bCs/>
        </w:rPr>
        <w:t>eaweed potential species-related hazards:</w:t>
      </w:r>
      <w:r>
        <w:t xml:space="preserve"> Pathogens in the harvest area, environmental chemicals, and natural toxins</w:t>
      </w:r>
    </w:p>
    <w:p w14:paraId="47E67CA6" w14:textId="7F265D44" w:rsidR="002F6074" w:rsidRDefault="002F6074" w:rsidP="00846B8F">
      <w:pPr>
        <w:pStyle w:val="ListParagraph"/>
        <w:numPr>
          <w:ilvl w:val="0"/>
          <w:numId w:val="21"/>
        </w:numPr>
        <w:contextualSpacing w:val="0"/>
      </w:pPr>
      <w:r w:rsidRPr="002F6074">
        <w:rPr>
          <w:b/>
          <w:bCs/>
        </w:rPr>
        <w:t xml:space="preserve">Green </w:t>
      </w:r>
      <w:r w:rsidR="009C5A4A">
        <w:rPr>
          <w:b/>
          <w:bCs/>
        </w:rPr>
        <w:t>s</w:t>
      </w:r>
      <w:r w:rsidRPr="002F6074">
        <w:rPr>
          <w:b/>
          <w:bCs/>
        </w:rPr>
        <w:t>eaweed potential species-related hazards:</w:t>
      </w:r>
      <w:r>
        <w:t xml:space="preserve"> Pathogens in the harvest area, environmental chemicals, and natural toxins</w:t>
      </w:r>
    </w:p>
    <w:p w14:paraId="7048C9E3" w14:textId="77777777" w:rsidR="002F6074" w:rsidRDefault="002F6074" w:rsidP="002F6074">
      <w:r>
        <w:t xml:space="preserve">The end of this chapter provides definitions for various terms that may be used throughout the guide or when discussing the processing of seaweeds and seaweed products. These definitions are for reference within this document and are not intended to serve as official definitions accepted by all agencies or organizations. </w:t>
      </w:r>
    </w:p>
    <w:p w14:paraId="337604A6" w14:textId="77777777" w:rsidR="002F6074" w:rsidRPr="002F6074" w:rsidRDefault="002F6074" w:rsidP="00441BE0">
      <w:pPr>
        <w:pStyle w:val="Heading2"/>
      </w:pPr>
      <w:bookmarkStart w:id="65" w:name="_Toc208503178"/>
      <w:r w:rsidRPr="002F6074">
        <w:t>Seaweed Food Safety Hazards Tables</w:t>
      </w:r>
      <w:bookmarkEnd w:id="65"/>
    </w:p>
    <w:p w14:paraId="519D1F75" w14:textId="3FB04DFD" w:rsidR="002F6074" w:rsidRDefault="002F6074" w:rsidP="002F6074">
      <w:r>
        <w:t>Table</w:t>
      </w:r>
      <w:r w:rsidR="002D13BE">
        <w:t>s</w:t>
      </w:r>
      <w:r>
        <w:t xml:space="preserve"> 4-1</w:t>
      </w:r>
      <w:r w:rsidR="002D13BE">
        <w:t xml:space="preserve"> to 4-3</w:t>
      </w:r>
      <w:r>
        <w:t xml:space="preserve"> list potential hazards associated with specific seaweed species. To use the table</w:t>
      </w:r>
      <w:r w:rsidR="002D13BE">
        <w:t>s</w:t>
      </w:r>
      <w:r>
        <w:t>, start by finding the species by common name. Species are organized into 3 categories</w:t>
      </w:r>
      <w:r w:rsidR="002D13BE">
        <w:t>—brown (Table 4-1), green (Table 4-2), and red (Table 4-3)—</w:t>
      </w:r>
      <w:r>
        <w:t xml:space="preserve">and listed alphabetically. Verify the scientific name, then read across the row. A check mark in any hazard column indicates that the species may potentially be associated with that hazard. </w:t>
      </w:r>
      <w:r w:rsidR="002D13BE">
        <w:t>Superscripts</w:t>
      </w:r>
      <w:r>
        <w:t xml:space="preserve"> link to additional details provided </w:t>
      </w:r>
      <w:r w:rsidR="002D13BE">
        <w:t>in the footnotes for</w:t>
      </w:r>
      <w:r>
        <w:t xml:space="preserve"> each table.</w:t>
      </w:r>
    </w:p>
    <w:p w14:paraId="5C1110DC" w14:textId="69ACB614" w:rsidR="002F6074" w:rsidRDefault="002F6074">
      <w:pPr>
        <w:sectPr w:rsidR="002F6074" w:rsidSect="00FC5EB5">
          <w:pgSz w:w="12240" w:h="15840"/>
          <w:pgMar w:top="1440" w:right="1440" w:bottom="1440" w:left="1440" w:header="720" w:footer="720" w:gutter="0"/>
          <w:pgNumType w:start="1" w:chapStyle="1"/>
          <w:cols w:space="720"/>
          <w:docGrid w:linePitch="360"/>
        </w:sectPr>
      </w:pPr>
      <w:r>
        <w:t xml:space="preserve">Currently, all species within each seaweed category (brown, green, or red) share the same set of potential hazards. However, the hazards differ among the three categories. The detailed tables </w:t>
      </w:r>
      <w:r>
        <w:lastRenderedPageBreak/>
        <w:t>below show which species were assessed during development and can be updated in the future if new species-specific data becomes available</w:t>
      </w:r>
      <w:r w:rsidR="00045395">
        <w:t>.</w:t>
      </w:r>
    </w:p>
    <w:p w14:paraId="244BC10C" w14:textId="29495117" w:rsidR="00045395" w:rsidRDefault="00045395" w:rsidP="00C54E07">
      <w:pPr>
        <w:pStyle w:val="Caption"/>
      </w:pPr>
      <w:r w:rsidRPr="00045395">
        <w:rPr>
          <w:b/>
          <w:bCs/>
        </w:rPr>
        <w:lastRenderedPageBreak/>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4</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1</w:t>
      </w:r>
      <w:r w:rsidR="00896F22">
        <w:rPr>
          <w:b/>
          <w:bCs/>
        </w:rPr>
        <w:fldChar w:fldCharType="end"/>
      </w:r>
      <w:r w:rsidRPr="00045395">
        <w:rPr>
          <w:b/>
          <w:bCs/>
        </w:rPr>
        <w:t>:</w:t>
      </w:r>
      <w:r>
        <w:t xml:space="preserve"> </w:t>
      </w:r>
      <w:r w:rsidRPr="00E46662">
        <w:t>Species-related seaweed hazards for edible brown seaweeds known to be used for human consumption.</w:t>
      </w:r>
    </w:p>
    <w:tbl>
      <w:tblPr>
        <w:tblStyle w:val="GridTable4"/>
        <w:tblW w:w="14585" w:type="dxa"/>
        <w:tblInd w:w="-815" w:type="dxa"/>
        <w:tblLayout w:type="fixed"/>
        <w:tblLook w:val="04A0" w:firstRow="1" w:lastRow="0" w:firstColumn="1" w:lastColumn="0" w:noHBand="0" w:noVBand="1"/>
      </w:tblPr>
      <w:tblGrid>
        <w:gridCol w:w="3335"/>
        <w:gridCol w:w="2880"/>
        <w:gridCol w:w="1674"/>
        <w:gridCol w:w="1674"/>
        <w:gridCol w:w="1674"/>
        <w:gridCol w:w="1674"/>
        <w:gridCol w:w="1674"/>
      </w:tblGrid>
      <w:tr w:rsidR="00FF2014" w14:paraId="2EC7503F" w14:textId="77777777" w:rsidTr="006A051B">
        <w:trPr>
          <w:cnfStyle w:val="100000000000" w:firstRow="1" w:lastRow="0" w:firstColumn="0" w:lastColumn="0" w:oddVBand="0" w:evenVBand="0" w:oddHBand="0" w:evenHBand="0" w:firstRowFirstColumn="0" w:firstRowLastColumn="0" w:lastRowFirstColumn="0" w:lastRowLastColumn="0"/>
          <w:trHeight w:val="953"/>
          <w:tblHeader/>
        </w:trPr>
        <w:tc>
          <w:tcPr>
            <w:cnfStyle w:val="001000000000" w:firstRow="0" w:lastRow="0" w:firstColumn="1" w:lastColumn="0" w:oddVBand="0" w:evenVBand="0" w:oddHBand="0" w:evenHBand="0" w:firstRowFirstColumn="0" w:firstRowLastColumn="0" w:lastRowFirstColumn="0" w:lastRowLastColumn="0"/>
            <w:tcW w:w="3335" w:type="dxa"/>
            <w:tcBorders>
              <w:top w:val="single" w:sz="12"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855E0F"/>
            <w:vAlign w:val="center"/>
          </w:tcPr>
          <w:p w14:paraId="4C373BBF" w14:textId="1A5D6F7E" w:rsidR="000B2159" w:rsidRPr="00FF2014" w:rsidRDefault="000B2159" w:rsidP="00FF2014">
            <w:pPr>
              <w:rPr>
                <w:b w:val="0"/>
                <w:bCs w:val="0"/>
              </w:rPr>
            </w:pPr>
            <w:r w:rsidRPr="00FF2014">
              <w:t>Common Name/ Scientific Name</w:t>
            </w:r>
          </w:p>
        </w:tc>
        <w:tc>
          <w:tcPr>
            <w:tcW w:w="2880" w:type="dxa"/>
            <w:tcBorders>
              <w:top w:val="single" w:sz="1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855E0F"/>
            <w:vAlign w:val="center"/>
          </w:tcPr>
          <w:p w14:paraId="7DFBFDA7" w14:textId="4937DC2E" w:rsidR="000B2159" w:rsidRPr="00FF2014" w:rsidRDefault="000B2159"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Scientific Name</w:t>
            </w:r>
          </w:p>
        </w:tc>
        <w:tc>
          <w:tcPr>
            <w:tcW w:w="1674" w:type="dxa"/>
            <w:tcBorders>
              <w:top w:val="single" w:sz="1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855E0F"/>
            <w:vAlign w:val="center"/>
          </w:tcPr>
          <w:p w14:paraId="652E4F07" w14:textId="4A0F8534" w:rsidR="000B2159" w:rsidRPr="00FF2014" w:rsidRDefault="000B2159" w:rsidP="00FF2014">
            <w:pPr>
              <w:cnfStyle w:val="100000000000" w:firstRow="1" w:lastRow="0" w:firstColumn="0" w:lastColumn="0" w:oddVBand="0" w:evenVBand="0" w:oddHBand="0" w:evenHBand="0" w:firstRowFirstColumn="0" w:firstRowLastColumn="0" w:lastRowFirstColumn="0" w:lastRowLastColumn="0"/>
              <w:rPr>
                <w:b w:val="0"/>
                <w:bCs w:val="0"/>
                <w:vertAlign w:val="superscript"/>
              </w:rPr>
            </w:pPr>
            <w:r w:rsidRPr="00FF2014">
              <w:t>Pathogens</w:t>
            </w:r>
            <w:r w:rsidR="00FF2014">
              <w:rPr>
                <w:rStyle w:val="FootnoteReference"/>
              </w:rPr>
              <w:footnoteReference w:id="16"/>
            </w:r>
            <w:r w:rsidRPr="00FF2014">
              <w:t xml:space="preserve"> in Harvest Area</w:t>
            </w:r>
          </w:p>
          <w:p w14:paraId="473EE5C1" w14:textId="395EA497" w:rsidR="000B2159" w:rsidRPr="00FF2014" w:rsidRDefault="000B2159"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Chapter 5</w:t>
            </w:r>
          </w:p>
        </w:tc>
        <w:tc>
          <w:tcPr>
            <w:tcW w:w="1674" w:type="dxa"/>
            <w:tcBorders>
              <w:top w:val="single" w:sz="1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855E0F"/>
            <w:vAlign w:val="center"/>
          </w:tcPr>
          <w:p w14:paraId="0508230A" w14:textId="481149D5" w:rsidR="000B2159" w:rsidRPr="00FF2014" w:rsidRDefault="000B2159"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Parasites</w:t>
            </w:r>
            <w:r w:rsidR="00FF2014">
              <w:rPr>
                <w:rStyle w:val="FootnoteReference"/>
              </w:rPr>
              <w:footnoteReference w:id="17"/>
            </w:r>
            <w:r w:rsidRPr="00FF2014">
              <w:t xml:space="preserve"> in Harvest Area</w:t>
            </w:r>
          </w:p>
          <w:p w14:paraId="53010124" w14:textId="65C3B3E3" w:rsidR="000B2159" w:rsidRPr="00FF2014" w:rsidRDefault="000B2159"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Chapter 6</w:t>
            </w:r>
          </w:p>
        </w:tc>
        <w:tc>
          <w:tcPr>
            <w:tcW w:w="1674" w:type="dxa"/>
            <w:tcBorders>
              <w:top w:val="single" w:sz="1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855E0F"/>
            <w:vAlign w:val="center"/>
          </w:tcPr>
          <w:p w14:paraId="12CF9DF0" w14:textId="77777777" w:rsidR="000B2159" w:rsidRPr="00FF2014" w:rsidRDefault="000B2159"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Environmental Chemicals</w:t>
            </w:r>
          </w:p>
          <w:p w14:paraId="6895AEB9" w14:textId="201F2E6F" w:rsidR="000B2159" w:rsidRPr="00FF2014" w:rsidRDefault="000B2159"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Chapter 7</w:t>
            </w:r>
          </w:p>
        </w:tc>
        <w:tc>
          <w:tcPr>
            <w:tcW w:w="1674" w:type="dxa"/>
            <w:tcBorders>
              <w:top w:val="single" w:sz="1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855E0F"/>
            <w:vAlign w:val="center"/>
          </w:tcPr>
          <w:p w14:paraId="1527A34D" w14:textId="77777777" w:rsidR="000B2159" w:rsidRPr="00FF2014" w:rsidRDefault="000B2159"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Iodine</w:t>
            </w:r>
          </w:p>
          <w:p w14:paraId="515CD795" w14:textId="6CAD1CA8" w:rsidR="000B2159" w:rsidRPr="00FF2014" w:rsidRDefault="000B2159"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Chapter 8</w:t>
            </w:r>
          </w:p>
        </w:tc>
        <w:tc>
          <w:tcPr>
            <w:tcW w:w="1674" w:type="dxa"/>
            <w:tcBorders>
              <w:top w:val="single" w:sz="12"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855E0F"/>
            <w:vAlign w:val="center"/>
          </w:tcPr>
          <w:p w14:paraId="1531BE18" w14:textId="77777777" w:rsidR="000B2159" w:rsidRPr="00FF2014" w:rsidRDefault="000B2159"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Natural Toxins</w:t>
            </w:r>
          </w:p>
          <w:p w14:paraId="71C749F0" w14:textId="6521EA29" w:rsidR="000B2159" w:rsidRPr="00FF2014" w:rsidRDefault="000B2159"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Chapter 9</w:t>
            </w:r>
          </w:p>
        </w:tc>
      </w:tr>
      <w:tr w:rsidR="00FF2014" w14:paraId="6D20713A" w14:textId="77777777" w:rsidTr="006A05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8C295"/>
          </w:tcPr>
          <w:p w14:paraId="2F5E5AF4" w14:textId="6DF42F90" w:rsidR="000B2159" w:rsidRDefault="000B2159" w:rsidP="000B2159">
            <w:r w:rsidRPr="00B834E1">
              <w:t>Arame</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51D402DA" w14:textId="1033E42A" w:rsidR="000B2159" w:rsidRPr="000B2159" w:rsidRDefault="000B2159" w:rsidP="000B2159">
            <w:pPr>
              <w:cnfStyle w:val="000000100000" w:firstRow="0" w:lastRow="0" w:firstColumn="0" w:lastColumn="0" w:oddVBand="0" w:evenVBand="0" w:oddHBand="1" w:evenHBand="0" w:firstRowFirstColumn="0" w:firstRowLastColumn="0" w:lastRowFirstColumn="0" w:lastRowLastColumn="0"/>
              <w:rPr>
                <w:i/>
                <w:iCs/>
              </w:rPr>
            </w:pPr>
            <w:r w:rsidRPr="000B2159">
              <w:rPr>
                <w:i/>
                <w:iCs/>
              </w:rPr>
              <w:t>Eisenia bicyclis</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4D7E5896" w14:textId="20F1EFEA"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rFonts w:cs="Calibri"/>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031941D8" w14:textId="77777777" w:rsidR="000B2159" w:rsidRDefault="000B2159" w:rsidP="008F4735">
            <w:pPr>
              <w:jc w:val="center"/>
              <w:cnfStyle w:val="000000100000" w:firstRow="0" w:lastRow="0" w:firstColumn="0" w:lastColumn="0" w:oddVBand="0" w:evenVBand="0" w:oddHBand="1"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7AFFBCA7" w14:textId="403D16C6"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3FF553EC" w14:textId="1C29A245"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8C295"/>
          </w:tcPr>
          <w:p w14:paraId="41A15BE0" w14:textId="6DBB0A67"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FE3150" w14:paraId="24F6C82D" w14:textId="77777777" w:rsidTr="006A051B">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10A4A52D" w14:textId="39358F26" w:rsidR="000B2159" w:rsidRDefault="000B2159" w:rsidP="000B2159">
            <w:r w:rsidRPr="00B834E1">
              <w:t>Bell-</w:t>
            </w:r>
            <w:r w:rsidR="008F4735">
              <w:t>B</w:t>
            </w:r>
            <w:r w:rsidRPr="00B834E1">
              <w:t>laded Sargassum</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761606E" w14:textId="31C4CAA4" w:rsidR="000B2159" w:rsidRPr="000B2159" w:rsidRDefault="000B2159" w:rsidP="000B2159">
            <w:pPr>
              <w:cnfStyle w:val="000000000000" w:firstRow="0" w:lastRow="0" w:firstColumn="0" w:lastColumn="0" w:oddVBand="0" w:evenVBand="0" w:oddHBand="0" w:evenHBand="0" w:firstRowFirstColumn="0" w:firstRowLastColumn="0" w:lastRowFirstColumn="0" w:lastRowLastColumn="0"/>
              <w:rPr>
                <w:i/>
                <w:iCs/>
              </w:rPr>
            </w:pPr>
            <w:r w:rsidRPr="000B2159">
              <w:rPr>
                <w:i/>
                <w:iCs/>
              </w:rPr>
              <w:t>Sargassum turbinarioides</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DBD0E77" w14:textId="63998C6F"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8E0AF0B" w14:textId="77777777" w:rsidR="000B2159" w:rsidRDefault="000B2159" w:rsidP="008F4735">
            <w:pPr>
              <w:jc w:val="center"/>
              <w:cnfStyle w:val="000000000000" w:firstRow="0" w:lastRow="0" w:firstColumn="0" w:lastColumn="0" w:oddVBand="0" w:evenVBand="0" w:oddHBand="0"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EA7FB3B" w14:textId="029F89B1"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D5DF627" w14:textId="0442E06D"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38B90957" w14:textId="3B8B0DA6"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FF2014" w14:paraId="7B02CB55" w14:textId="77777777" w:rsidTr="006A05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right w:val="single" w:sz="6" w:space="0" w:color="0D0D0D" w:themeColor="text1" w:themeTint="F2"/>
            </w:tcBorders>
            <w:shd w:val="clear" w:color="auto" w:fill="D8C295"/>
          </w:tcPr>
          <w:p w14:paraId="2A6A3998" w14:textId="421A870C" w:rsidR="000B2159" w:rsidRDefault="000B2159" w:rsidP="000B2159">
            <w:r w:rsidRPr="00B834E1">
              <w:t>Bladderwrack</w:t>
            </w:r>
          </w:p>
        </w:tc>
        <w:tc>
          <w:tcPr>
            <w:tcW w:w="2880" w:type="dxa"/>
            <w:tcBorders>
              <w:top w:val="single" w:sz="6" w:space="0" w:color="0D0D0D" w:themeColor="text1" w:themeTint="F2"/>
              <w:left w:val="single" w:sz="6" w:space="0" w:color="0D0D0D" w:themeColor="text1" w:themeTint="F2"/>
              <w:right w:val="single" w:sz="6" w:space="0" w:color="0D0D0D" w:themeColor="text1" w:themeTint="F2"/>
            </w:tcBorders>
            <w:shd w:val="clear" w:color="auto" w:fill="D8C295"/>
          </w:tcPr>
          <w:p w14:paraId="48304E7D" w14:textId="659ED5EF" w:rsidR="000B2159" w:rsidRPr="000B2159" w:rsidRDefault="000B2159" w:rsidP="000B2159">
            <w:pPr>
              <w:cnfStyle w:val="000000100000" w:firstRow="0" w:lastRow="0" w:firstColumn="0" w:lastColumn="0" w:oddVBand="0" w:evenVBand="0" w:oddHBand="1" w:evenHBand="0" w:firstRowFirstColumn="0" w:firstRowLastColumn="0" w:lastRowFirstColumn="0" w:lastRowLastColumn="0"/>
              <w:rPr>
                <w:i/>
                <w:iCs/>
              </w:rPr>
            </w:pPr>
            <w:r w:rsidRPr="000B2159">
              <w:rPr>
                <w:i/>
                <w:iCs/>
              </w:rPr>
              <w:t>Fucus vesiculosus</w:t>
            </w:r>
          </w:p>
        </w:tc>
        <w:tc>
          <w:tcPr>
            <w:tcW w:w="1674" w:type="dxa"/>
            <w:tcBorders>
              <w:top w:val="single" w:sz="6" w:space="0" w:color="0D0D0D" w:themeColor="text1" w:themeTint="F2"/>
              <w:left w:val="single" w:sz="6" w:space="0" w:color="0D0D0D" w:themeColor="text1" w:themeTint="F2"/>
              <w:right w:val="single" w:sz="6" w:space="0" w:color="0D0D0D" w:themeColor="text1" w:themeTint="F2"/>
            </w:tcBorders>
            <w:shd w:val="clear" w:color="auto" w:fill="D8C295"/>
          </w:tcPr>
          <w:p w14:paraId="003FFC30" w14:textId="5D54E44D"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right w:val="single" w:sz="6" w:space="0" w:color="0D0D0D" w:themeColor="text1" w:themeTint="F2"/>
            </w:tcBorders>
            <w:shd w:val="clear" w:color="auto" w:fill="D8C295"/>
          </w:tcPr>
          <w:p w14:paraId="31BA6AB2" w14:textId="77777777" w:rsidR="000B2159" w:rsidRDefault="000B2159" w:rsidP="008F4735">
            <w:pPr>
              <w:jc w:val="center"/>
              <w:cnfStyle w:val="000000100000" w:firstRow="0" w:lastRow="0" w:firstColumn="0" w:lastColumn="0" w:oddVBand="0" w:evenVBand="0" w:oddHBand="1"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right w:val="single" w:sz="6" w:space="0" w:color="0D0D0D" w:themeColor="text1" w:themeTint="F2"/>
            </w:tcBorders>
            <w:shd w:val="clear" w:color="auto" w:fill="D8C295"/>
          </w:tcPr>
          <w:p w14:paraId="579BFD6A" w14:textId="3D720406"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right w:val="single" w:sz="6" w:space="0" w:color="0D0D0D" w:themeColor="text1" w:themeTint="F2"/>
            </w:tcBorders>
            <w:shd w:val="clear" w:color="auto" w:fill="D8C295"/>
          </w:tcPr>
          <w:p w14:paraId="1655B010" w14:textId="14A86149"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right w:val="single" w:sz="12" w:space="0" w:color="0D0D0D" w:themeColor="text1" w:themeTint="F2"/>
            </w:tcBorders>
            <w:shd w:val="clear" w:color="auto" w:fill="D8C295"/>
          </w:tcPr>
          <w:p w14:paraId="70502682" w14:textId="60977970"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FE3150" w14:paraId="2C4C845F" w14:textId="77777777" w:rsidTr="006A051B">
        <w:tc>
          <w:tcPr>
            <w:cnfStyle w:val="001000000000" w:firstRow="0" w:lastRow="0" w:firstColumn="1" w:lastColumn="0" w:oddVBand="0" w:evenVBand="0" w:oddHBand="0" w:evenHBand="0" w:firstRowFirstColumn="0" w:firstRowLastColumn="0" w:lastRowFirstColumn="0" w:lastRowLastColumn="0"/>
            <w:tcW w:w="3335" w:type="dxa"/>
            <w:tcBorders>
              <w:left w:val="single" w:sz="12" w:space="0" w:color="0D0D0D" w:themeColor="text1" w:themeTint="F2"/>
              <w:bottom w:val="single" w:sz="6" w:space="0" w:color="0D0D0D" w:themeColor="text1" w:themeTint="F2"/>
              <w:right w:val="single" w:sz="6" w:space="0" w:color="0D0D0D" w:themeColor="text1" w:themeTint="F2"/>
            </w:tcBorders>
          </w:tcPr>
          <w:p w14:paraId="353F6920" w14:textId="0EBBAA3C" w:rsidR="000B2159" w:rsidRDefault="000B2159" w:rsidP="000B2159">
            <w:r w:rsidRPr="00B834E1">
              <w:t>Bull Kelp</w:t>
            </w:r>
          </w:p>
        </w:tc>
        <w:tc>
          <w:tcPr>
            <w:tcW w:w="2880" w:type="dxa"/>
            <w:tcBorders>
              <w:left w:val="single" w:sz="6" w:space="0" w:color="0D0D0D" w:themeColor="text1" w:themeTint="F2"/>
              <w:bottom w:val="single" w:sz="6" w:space="0" w:color="0D0D0D" w:themeColor="text1" w:themeTint="F2"/>
              <w:right w:val="single" w:sz="6" w:space="0" w:color="0D0D0D" w:themeColor="text1" w:themeTint="F2"/>
            </w:tcBorders>
          </w:tcPr>
          <w:p w14:paraId="5CB0C42B" w14:textId="1982224B" w:rsidR="000B2159" w:rsidRPr="000B2159" w:rsidRDefault="000B2159" w:rsidP="000B2159">
            <w:pPr>
              <w:cnfStyle w:val="000000000000" w:firstRow="0" w:lastRow="0" w:firstColumn="0" w:lastColumn="0" w:oddVBand="0" w:evenVBand="0" w:oddHBand="0" w:evenHBand="0" w:firstRowFirstColumn="0" w:firstRowLastColumn="0" w:lastRowFirstColumn="0" w:lastRowLastColumn="0"/>
              <w:rPr>
                <w:i/>
                <w:iCs/>
              </w:rPr>
            </w:pPr>
            <w:r w:rsidRPr="000B2159">
              <w:rPr>
                <w:i/>
                <w:iCs/>
              </w:rPr>
              <w:t>Nereocystis luetkeana</w:t>
            </w:r>
          </w:p>
        </w:tc>
        <w:tc>
          <w:tcPr>
            <w:tcW w:w="1674" w:type="dxa"/>
            <w:tcBorders>
              <w:left w:val="single" w:sz="6" w:space="0" w:color="0D0D0D" w:themeColor="text1" w:themeTint="F2"/>
              <w:bottom w:val="single" w:sz="6" w:space="0" w:color="0D0D0D" w:themeColor="text1" w:themeTint="F2"/>
              <w:right w:val="single" w:sz="6" w:space="0" w:color="0D0D0D" w:themeColor="text1" w:themeTint="F2"/>
            </w:tcBorders>
          </w:tcPr>
          <w:p w14:paraId="046293C5" w14:textId="252490AA"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left w:val="single" w:sz="6" w:space="0" w:color="0D0D0D" w:themeColor="text1" w:themeTint="F2"/>
              <w:bottom w:val="single" w:sz="6" w:space="0" w:color="0D0D0D" w:themeColor="text1" w:themeTint="F2"/>
              <w:right w:val="single" w:sz="6" w:space="0" w:color="0D0D0D" w:themeColor="text1" w:themeTint="F2"/>
            </w:tcBorders>
          </w:tcPr>
          <w:p w14:paraId="54CBA07E" w14:textId="77777777" w:rsidR="000B2159" w:rsidRDefault="000B2159" w:rsidP="008F4735">
            <w:pPr>
              <w:jc w:val="center"/>
              <w:cnfStyle w:val="000000000000" w:firstRow="0" w:lastRow="0" w:firstColumn="0" w:lastColumn="0" w:oddVBand="0" w:evenVBand="0" w:oddHBand="0" w:evenHBand="0" w:firstRowFirstColumn="0" w:firstRowLastColumn="0" w:lastRowFirstColumn="0" w:lastRowLastColumn="0"/>
            </w:pPr>
          </w:p>
        </w:tc>
        <w:tc>
          <w:tcPr>
            <w:tcW w:w="1674" w:type="dxa"/>
            <w:tcBorders>
              <w:left w:val="single" w:sz="6" w:space="0" w:color="0D0D0D" w:themeColor="text1" w:themeTint="F2"/>
              <w:bottom w:val="single" w:sz="6" w:space="0" w:color="0D0D0D" w:themeColor="text1" w:themeTint="F2"/>
              <w:right w:val="single" w:sz="6" w:space="0" w:color="0D0D0D" w:themeColor="text1" w:themeTint="F2"/>
            </w:tcBorders>
          </w:tcPr>
          <w:p w14:paraId="22D8D6E5" w14:textId="5A1120EA"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left w:val="single" w:sz="6" w:space="0" w:color="0D0D0D" w:themeColor="text1" w:themeTint="F2"/>
              <w:bottom w:val="single" w:sz="6" w:space="0" w:color="0D0D0D" w:themeColor="text1" w:themeTint="F2"/>
              <w:right w:val="single" w:sz="6" w:space="0" w:color="0D0D0D" w:themeColor="text1" w:themeTint="F2"/>
            </w:tcBorders>
          </w:tcPr>
          <w:p w14:paraId="73B8CFDA" w14:textId="1AA8DD07"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left w:val="single" w:sz="6" w:space="0" w:color="0D0D0D" w:themeColor="text1" w:themeTint="F2"/>
              <w:bottom w:val="single" w:sz="6" w:space="0" w:color="0D0D0D" w:themeColor="text1" w:themeTint="F2"/>
              <w:right w:val="single" w:sz="12" w:space="0" w:color="0D0D0D" w:themeColor="text1" w:themeTint="F2"/>
            </w:tcBorders>
          </w:tcPr>
          <w:p w14:paraId="140AD509" w14:textId="2E1A9940"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FF2014" w14:paraId="7384B30A" w14:textId="77777777" w:rsidTr="006A05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8C295"/>
          </w:tcPr>
          <w:p w14:paraId="0E7EEE2E" w14:textId="507E6F3A" w:rsidR="000B2159" w:rsidRDefault="000B2159" w:rsidP="000B2159">
            <w:r w:rsidRPr="00B834E1">
              <w:t>Channeled Wrack</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368420FF" w14:textId="306A6360" w:rsidR="000B2159" w:rsidRPr="000B2159" w:rsidRDefault="000B2159" w:rsidP="000B2159">
            <w:pPr>
              <w:cnfStyle w:val="000000100000" w:firstRow="0" w:lastRow="0" w:firstColumn="0" w:lastColumn="0" w:oddVBand="0" w:evenVBand="0" w:oddHBand="1" w:evenHBand="0" w:firstRowFirstColumn="0" w:firstRowLastColumn="0" w:lastRowFirstColumn="0" w:lastRowLastColumn="0"/>
              <w:rPr>
                <w:i/>
                <w:iCs/>
              </w:rPr>
            </w:pPr>
            <w:r w:rsidRPr="000B2159">
              <w:rPr>
                <w:i/>
                <w:iCs/>
              </w:rPr>
              <w:t>Pelvetia canaliculata</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05F298A7" w14:textId="06CE81BC"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46D6F31E" w14:textId="77777777" w:rsidR="000B2159" w:rsidRDefault="000B2159" w:rsidP="008F4735">
            <w:pPr>
              <w:jc w:val="center"/>
              <w:cnfStyle w:val="000000100000" w:firstRow="0" w:lastRow="0" w:firstColumn="0" w:lastColumn="0" w:oddVBand="0" w:evenVBand="0" w:oddHBand="1"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3F39A56F" w14:textId="5E288D78"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218C5D81" w14:textId="5B340F29"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8C295"/>
          </w:tcPr>
          <w:p w14:paraId="20EBF0F6" w14:textId="4D7604BD"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FE3150" w14:paraId="43765131" w14:textId="77777777" w:rsidTr="006A051B">
        <w:trPr>
          <w:trHeight w:val="288"/>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0D3EAC67" w14:textId="1D7DDD16" w:rsidR="000B2159" w:rsidRDefault="000B2159" w:rsidP="000B2159">
            <w:r w:rsidRPr="00B834E1">
              <w:t>Cochayuyo</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8689CF2" w14:textId="7C732254" w:rsidR="000B2159" w:rsidRPr="000B2159" w:rsidRDefault="000B2159" w:rsidP="000B2159">
            <w:pPr>
              <w:cnfStyle w:val="000000000000" w:firstRow="0" w:lastRow="0" w:firstColumn="0" w:lastColumn="0" w:oddVBand="0" w:evenVBand="0" w:oddHBand="0" w:evenHBand="0" w:firstRowFirstColumn="0" w:firstRowLastColumn="0" w:lastRowFirstColumn="0" w:lastRowLastColumn="0"/>
              <w:rPr>
                <w:i/>
                <w:iCs/>
              </w:rPr>
            </w:pPr>
            <w:r w:rsidRPr="000B2159">
              <w:rPr>
                <w:i/>
                <w:iCs/>
              </w:rPr>
              <w:t>Durvillaea antarctica</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059CC3A" w14:textId="3B53B0B6"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FFC9E85" w14:textId="77777777" w:rsidR="000B2159" w:rsidRDefault="000B2159" w:rsidP="008F4735">
            <w:pPr>
              <w:jc w:val="center"/>
              <w:cnfStyle w:val="000000000000" w:firstRow="0" w:lastRow="0" w:firstColumn="0" w:lastColumn="0" w:oddVBand="0" w:evenVBand="0" w:oddHBand="0"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95A18CE" w14:textId="54C813FA"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0764B0F" w14:textId="77368BE1"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352A6F71" w14:textId="43A0B45B"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FF2014" w14:paraId="2486DB15" w14:textId="77777777" w:rsidTr="006A05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8C295"/>
          </w:tcPr>
          <w:p w14:paraId="2D1593B4" w14:textId="009766BE" w:rsidR="000B2159" w:rsidRPr="008F4735" w:rsidRDefault="000B2159" w:rsidP="000B2159">
            <w:pPr>
              <w:rPr>
                <w:i/>
                <w:iCs/>
              </w:rPr>
            </w:pPr>
            <w:r w:rsidRPr="008F4735">
              <w:rPr>
                <w:i/>
                <w:iCs/>
              </w:rPr>
              <w:t>Cystoseira barbata</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2FD01E22" w14:textId="67F8E327" w:rsidR="000B2159" w:rsidRPr="000B2159" w:rsidRDefault="000B2159" w:rsidP="000B2159">
            <w:pPr>
              <w:cnfStyle w:val="000000100000" w:firstRow="0" w:lastRow="0" w:firstColumn="0" w:lastColumn="0" w:oddVBand="0" w:evenVBand="0" w:oddHBand="1" w:evenHBand="0" w:firstRowFirstColumn="0" w:firstRowLastColumn="0" w:lastRowFirstColumn="0" w:lastRowLastColumn="0"/>
              <w:rPr>
                <w:i/>
                <w:iCs/>
              </w:rPr>
            </w:pPr>
            <w:r w:rsidRPr="000B2159">
              <w:rPr>
                <w:i/>
                <w:iCs/>
              </w:rPr>
              <w:t>Cystoseira barbata</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5E20CB9A" w14:textId="14AEFE6D"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2B2FB733" w14:textId="77777777" w:rsidR="000B2159" w:rsidRDefault="000B2159" w:rsidP="008F4735">
            <w:pPr>
              <w:jc w:val="center"/>
              <w:cnfStyle w:val="000000100000" w:firstRow="0" w:lastRow="0" w:firstColumn="0" w:lastColumn="0" w:oddVBand="0" w:evenVBand="0" w:oddHBand="1"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6093FAB7" w14:textId="1AB3406E"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28061A7F" w14:textId="02A13DD7"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8C295"/>
          </w:tcPr>
          <w:p w14:paraId="0D332FB7" w14:textId="0733DDE7"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FE3150" w14:paraId="4F924FA1" w14:textId="77777777" w:rsidTr="006A051B">
        <w:trPr>
          <w:trHeight w:val="288"/>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648F8D6B" w14:textId="4B4D4104" w:rsidR="000B2159" w:rsidRDefault="000B2159" w:rsidP="000B2159">
            <w:r w:rsidRPr="00B834E1">
              <w:t>Forkweed</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2312513" w14:textId="522F4C13" w:rsidR="000B2159" w:rsidRPr="000B2159" w:rsidRDefault="000B2159" w:rsidP="000B2159">
            <w:pPr>
              <w:cnfStyle w:val="000000000000" w:firstRow="0" w:lastRow="0" w:firstColumn="0" w:lastColumn="0" w:oddVBand="0" w:evenVBand="0" w:oddHBand="0" w:evenHBand="0" w:firstRowFirstColumn="0" w:firstRowLastColumn="0" w:lastRowFirstColumn="0" w:lastRowLastColumn="0"/>
              <w:rPr>
                <w:i/>
                <w:iCs/>
              </w:rPr>
            </w:pPr>
            <w:r w:rsidRPr="000B2159">
              <w:rPr>
                <w:i/>
                <w:iCs/>
              </w:rPr>
              <w:t xml:space="preserve">Dictyota dichotoma </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268369F" w14:textId="186359F1"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304612E" w14:textId="77777777" w:rsidR="000B2159" w:rsidRDefault="000B2159" w:rsidP="008F4735">
            <w:pPr>
              <w:jc w:val="center"/>
              <w:cnfStyle w:val="000000000000" w:firstRow="0" w:lastRow="0" w:firstColumn="0" w:lastColumn="0" w:oddVBand="0" w:evenVBand="0" w:oddHBand="0"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A10FF5E" w14:textId="69BB70EF"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921BB4D" w14:textId="7ECE0165"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0E1B4002" w14:textId="6BD4AE66"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FF2014" w14:paraId="42CBA0A6" w14:textId="77777777" w:rsidTr="006A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8C295"/>
          </w:tcPr>
          <w:p w14:paraId="3B05B6C5" w14:textId="6DC426EB" w:rsidR="000B2159" w:rsidRDefault="000B2159" w:rsidP="000B2159">
            <w:r w:rsidRPr="00B834E1">
              <w:t>Hijiki</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654170E4" w14:textId="7B8646DF" w:rsidR="000B2159" w:rsidRPr="000B2159" w:rsidRDefault="000B2159" w:rsidP="000B2159">
            <w:pPr>
              <w:cnfStyle w:val="000000100000" w:firstRow="0" w:lastRow="0" w:firstColumn="0" w:lastColumn="0" w:oddVBand="0" w:evenVBand="0" w:oddHBand="1" w:evenHBand="0" w:firstRowFirstColumn="0" w:firstRowLastColumn="0" w:lastRowFirstColumn="0" w:lastRowLastColumn="0"/>
              <w:rPr>
                <w:i/>
                <w:iCs/>
              </w:rPr>
            </w:pPr>
            <w:r w:rsidRPr="000B2159">
              <w:rPr>
                <w:i/>
                <w:iCs/>
              </w:rPr>
              <w:t>Sargassum fusiforme</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1A94C60E" w14:textId="367E2AD3"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587EB7CA" w14:textId="77777777" w:rsidR="000B2159" w:rsidRDefault="000B2159" w:rsidP="008F4735">
            <w:pPr>
              <w:jc w:val="center"/>
              <w:cnfStyle w:val="000000100000" w:firstRow="0" w:lastRow="0" w:firstColumn="0" w:lastColumn="0" w:oddVBand="0" w:evenVBand="0" w:oddHBand="1"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105D9CC6" w14:textId="56E86AC6"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725409FB" w14:textId="40188AE9"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8C295"/>
          </w:tcPr>
          <w:p w14:paraId="1D0FC8EA" w14:textId="593363D5"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FE3150" w14:paraId="58D6D0EB" w14:textId="77777777" w:rsidTr="006A051B">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18DEE47D" w14:textId="6BBC44AB" w:rsidR="000B2159" w:rsidRPr="008F4735" w:rsidRDefault="000B2159" w:rsidP="000B2159">
            <w:pPr>
              <w:rPr>
                <w:i/>
                <w:iCs/>
              </w:rPr>
            </w:pPr>
            <w:r w:rsidRPr="008F4735">
              <w:rPr>
                <w:i/>
                <w:iCs/>
              </w:rPr>
              <w:t>Jania capillacea</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9F048BB" w14:textId="30A344E4" w:rsidR="000B2159" w:rsidRPr="000B2159" w:rsidRDefault="000B2159" w:rsidP="000B2159">
            <w:pPr>
              <w:cnfStyle w:val="000000000000" w:firstRow="0" w:lastRow="0" w:firstColumn="0" w:lastColumn="0" w:oddVBand="0" w:evenVBand="0" w:oddHBand="0" w:evenHBand="0" w:firstRowFirstColumn="0" w:firstRowLastColumn="0" w:lastRowFirstColumn="0" w:lastRowLastColumn="0"/>
              <w:rPr>
                <w:i/>
                <w:iCs/>
              </w:rPr>
            </w:pPr>
            <w:r w:rsidRPr="000B2159">
              <w:rPr>
                <w:i/>
                <w:iCs/>
              </w:rPr>
              <w:t>Jania capillacea</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223060C" w14:textId="213DA3F1"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4ABEB94" w14:textId="77777777" w:rsidR="000B2159" w:rsidRDefault="000B2159" w:rsidP="008F4735">
            <w:pPr>
              <w:jc w:val="center"/>
              <w:cnfStyle w:val="000000000000" w:firstRow="0" w:lastRow="0" w:firstColumn="0" w:lastColumn="0" w:oddVBand="0" w:evenVBand="0" w:oddHBand="0"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27951D9" w14:textId="2D5501A0"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345DDCE" w14:textId="0895E9EF"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1A5AF7F0" w14:textId="2389C80F"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FF2014" w14:paraId="4F6D4D1C" w14:textId="77777777" w:rsidTr="006A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8C295"/>
          </w:tcPr>
          <w:p w14:paraId="4419B19F" w14:textId="7C8A6E07" w:rsidR="000B2159" w:rsidRDefault="000B2159" w:rsidP="000B2159">
            <w:r w:rsidRPr="00B834E1">
              <w:t>Japanese Wireweed</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28BFE9F8" w14:textId="354B379C" w:rsidR="000B2159" w:rsidRPr="000B2159" w:rsidRDefault="000B2159" w:rsidP="000B2159">
            <w:pPr>
              <w:cnfStyle w:val="000000100000" w:firstRow="0" w:lastRow="0" w:firstColumn="0" w:lastColumn="0" w:oddVBand="0" w:evenVBand="0" w:oddHBand="1" w:evenHBand="0" w:firstRowFirstColumn="0" w:firstRowLastColumn="0" w:lastRowFirstColumn="0" w:lastRowLastColumn="0"/>
              <w:rPr>
                <w:i/>
                <w:iCs/>
              </w:rPr>
            </w:pPr>
            <w:r w:rsidRPr="000B2159">
              <w:rPr>
                <w:i/>
                <w:iCs/>
              </w:rPr>
              <w:t>Sargassum muticum</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657F9453" w14:textId="54C70C5F"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6A6A2E0F" w14:textId="77777777" w:rsidR="000B2159" w:rsidRDefault="000B2159" w:rsidP="008F4735">
            <w:pPr>
              <w:jc w:val="center"/>
              <w:cnfStyle w:val="000000100000" w:firstRow="0" w:lastRow="0" w:firstColumn="0" w:lastColumn="0" w:oddVBand="0" w:evenVBand="0" w:oddHBand="1"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0675E399" w14:textId="312C2CD8"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73A91881" w14:textId="7A3C2EC4"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8C295"/>
          </w:tcPr>
          <w:p w14:paraId="391E0859" w14:textId="77CCAD94"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FE3150" w14:paraId="55BE9BD2" w14:textId="77777777" w:rsidTr="006A051B">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64AB69B9" w14:textId="65ABEB71" w:rsidR="000B2159" w:rsidRPr="008F4735" w:rsidRDefault="000B2159" w:rsidP="000B2159">
            <w:pPr>
              <w:rPr>
                <w:i/>
                <w:iCs/>
              </w:rPr>
            </w:pPr>
            <w:r w:rsidRPr="008F4735">
              <w:rPr>
                <w:i/>
                <w:iCs/>
              </w:rPr>
              <w:t>Kappaphycus</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F03DB44" w14:textId="21A12FE5" w:rsidR="000B2159" w:rsidRPr="000B2159" w:rsidRDefault="000B2159" w:rsidP="000B2159">
            <w:pPr>
              <w:cnfStyle w:val="000000000000" w:firstRow="0" w:lastRow="0" w:firstColumn="0" w:lastColumn="0" w:oddVBand="0" w:evenVBand="0" w:oddHBand="0" w:evenHBand="0" w:firstRowFirstColumn="0" w:firstRowLastColumn="0" w:lastRowFirstColumn="0" w:lastRowLastColumn="0"/>
              <w:rPr>
                <w:i/>
                <w:iCs/>
              </w:rPr>
            </w:pPr>
            <w:r w:rsidRPr="000B2159">
              <w:rPr>
                <w:i/>
                <w:iCs/>
              </w:rPr>
              <w:t>Kappaphycus</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1FF793F" w14:textId="73327EB6"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0DB52E8" w14:textId="77777777" w:rsidR="000B2159" w:rsidRDefault="000B2159" w:rsidP="008F4735">
            <w:pPr>
              <w:jc w:val="center"/>
              <w:cnfStyle w:val="000000000000" w:firstRow="0" w:lastRow="0" w:firstColumn="0" w:lastColumn="0" w:oddVBand="0" w:evenVBand="0" w:oddHBand="0"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9087336" w14:textId="06C12C85"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438ABDE" w14:textId="71DB1733"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4D2647E7" w14:textId="022C0792"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FF2014" w14:paraId="16001CDB" w14:textId="77777777" w:rsidTr="006A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8C295"/>
          </w:tcPr>
          <w:p w14:paraId="0C6CA33B" w14:textId="0F743348" w:rsidR="000B2159" w:rsidRDefault="000B2159" w:rsidP="000B2159">
            <w:r w:rsidRPr="00B834E1">
              <w:t>Kombu</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3EBEBD0A" w14:textId="3FB71DF6" w:rsidR="000B2159" w:rsidRPr="000B2159" w:rsidRDefault="000B2159" w:rsidP="000B2159">
            <w:pPr>
              <w:cnfStyle w:val="000000100000" w:firstRow="0" w:lastRow="0" w:firstColumn="0" w:lastColumn="0" w:oddVBand="0" w:evenVBand="0" w:oddHBand="1" w:evenHBand="0" w:firstRowFirstColumn="0" w:firstRowLastColumn="0" w:lastRowFirstColumn="0" w:lastRowLastColumn="0"/>
              <w:rPr>
                <w:i/>
                <w:iCs/>
              </w:rPr>
            </w:pPr>
            <w:r w:rsidRPr="000B2159">
              <w:rPr>
                <w:i/>
                <w:iCs/>
              </w:rPr>
              <w:t>Saccharina japonica</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366701B9" w14:textId="73340307"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28B9EEED" w14:textId="77777777" w:rsidR="000B2159" w:rsidRDefault="000B2159" w:rsidP="008F4735">
            <w:pPr>
              <w:jc w:val="center"/>
              <w:cnfStyle w:val="000000100000" w:firstRow="0" w:lastRow="0" w:firstColumn="0" w:lastColumn="0" w:oddVBand="0" w:evenVBand="0" w:oddHBand="1"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000FAFFA" w14:textId="3BD599D2"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74DEADEF" w14:textId="7D16056C"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8C295"/>
          </w:tcPr>
          <w:p w14:paraId="1DC398CC" w14:textId="6E2B28CE"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FE3150" w14:paraId="1EE9A937" w14:textId="77777777" w:rsidTr="006A051B">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1D5FA93F" w14:textId="5CE7576B" w:rsidR="000B2159" w:rsidRDefault="000B2159">
            <w:r>
              <w:t>Mozuku</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9EC8563" w14:textId="394F1A7F" w:rsidR="000B2159" w:rsidRPr="000B2159" w:rsidRDefault="000B2159">
            <w:pPr>
              <w:cnfStyle w:val="000000000000" w:firstRow="0" w:lastRow="0" w:firstColumn="0" w:lastColumn="0" w:oddVBand="0" w:evenVBand="0" w:oddHBand="0" w:evenHBand="0" w:firstRowFirstColumn="0" w:firstRowLastColumn="0" w:lastRowFirstColumn="0" w:lastRowLastColumn="0"/>
              <w:rPr>
                <w:i/>
                <w:iCs/>
              </w:rPr>
            </w:pPr>
            <w:r w:rsidRPr="000B2159">
              <w:rPr>
                <w:i/>
                <w:iCs/>
              </w:rPr>
              <w:t>Cladosiphon okamuranus</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1C62D51" w14:textId="2D650793"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AC523C4" w14:textId="77777777" w:rsidR="000B2159" w:rsidRDefault="000B2159" w:rsidP="008F4735">
            <w:pPr>
              <w:jc w:val="center"/>
              <w:cnfStyle w:val="000000000000" w:firstRow="0" w:lastRow="0" w:firstColumn="0" w:lastColumn="0" w:oddVBand="0" w:evenVBand="0" w:oddHBand="0"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7F9D78A" w14:textId="0C7AED47"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6CEC8F5" w14:textId="50DAF0DA"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76005A8F" w14:textId="08C94C98"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FF2014" w14:paraId="3DB2AEA3" w14:textId="77777777" w:rsidTr="006A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8C295"/>
          </w:tcPr>
          <w:p w14:paraId="050D5CD4" w14:textId="022FC909" w:rsidR="000B2159" w:rsidRDefault="000B2159">
            <w:r>
              <w:t>Mozuku</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6CAEED2E" w14:textId="66732C94" w:rsidR="000B2159" w:rsidRPr="000B2159" w:rsidRDefault="000B2159">
            <w:pPr>
              <w:cnfStyle w:val="000000100000" w:firstRow="0" w:lastRow="0" w:firstColumn="0" w:lastColumn="0" w:oddVBand="0" w:evenVBand="0" w:oddHBand="1" w:evenHBand="0" w:firstRowFirstColumn="0" w:firstRowLastColumn="0" w:lastRowFirstColumn="0" w:lastRowLastColumn="0"/>
              <w:rPr>
                <w:i/>
                <w:iCs/>
              </w:rPr>
            </w:pPr>
            <w:r w:rsidRPr="000B2159">
              <w:rPr>
                <w:i/>
                <w:iCs/>
              </w:rPr>
              <w:t>Nemacystus decipiens</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0DCDF872" w14:textId="17E058C3"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31C0F546" w14:textId="77777777" w:rsidR="000B2159" w:rsidRDefault="000B2159" w:rsidP="008F4735">
            <w:pPr>
              <w:jc w:val="center"/>
              <w:cnfStyle w:val="000000100000" w:firstRow="0" w:lastRow="0" w:firstColumn="0" w:lastColumn="0" w:oddVBand="0" w:evenVBand="0" w:oddHBand="1"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528E3953" w14:textId="62ED640E"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3539F627" w14:textId="7A56B555"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8C295"/>
          </w:tcPr>
          <w:p w14:paraId="0BA4F736" w14:textId="2D8C2109"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FE3150" w14:paraId="786F459F" w14:textId="77777777" w:rsidTr="006A051B">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0AE26887" w14:textId="0166A130" w:rsidR="000B2159" w:rsidRDefault="000B2159" w:rsidP="000B2159">
            <w:r>
              <w:t>Oarweed</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AD0B732" w14:textId="4290565B" w:rsidR="000B2159" w:rsidRPr="000B2159" w:rsidRDefault="000B2159" w:rsidP="000B2159">
            <w:pPr>
              <w:cnfStyle w:val="000000000000" w:firstRow="0" w:lastRow="0" w:firstColumn="0" w:lastColumn="0" w:oddVBand="0" w:evenVBand="0" w:oddHBand="0" w:evenHBand="0" w:firstRowFirstColumn="0" w:firstRowLastColumn="0" w:lastRowFirstColumn="0" w:lastRowLastColumn="0"/>
              <w:rPr>
                <w:i/>
                <w:iCs/>
              </w:rPr>
            </w:pPr>
            <w:r w:rsidRPr="000B2159">
              <w:rPr>
                <w:i/>
                <w:iCs/>
              </w:rPr>
              <w:t>Laminaria digitata</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410BCD4" w14:textId="14B9F9D3"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128C551" w14:textId="77777777" w:rsidR="000B2159" w:rsidRDefault="000B2159" w:rsidP="008F4735">
            <w:pPr>
              <w:jc w:val="center"/>
              <w:cnfStyle w:val="000000000000" w:firstRow="0" w:lastRow="0" w:firstColumn="0" w:lastColumn="0" w:oddVBand="0" w:evenVBand="0" w:oddHBand="0"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4268607" w14:textId="48244DD1"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4F0669A" w14:textId="6B776B6C"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259CF44B" w14:textId="73DC2A7C"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FF2014" w14:paraId="2753CEAD" w14:textId="77777777" w:rsidTr="006A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8C295"/>
          </w:tcPr>
          <w:p w14:paraId="5FCEDA3F" w14:textId="2C6F16B6" w:rsidR="000B2159" w:rsidRDefault="000B2159" w:rsidP="000B2159">
            <w:r>
              <w:t>Ocean Ribbons</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1D979BE6" w14:textId="364DAE16" w:rsidR="000B2159" w:rsidRPr="000B2159" w:rsidRDefault="000B2159" w:rsidP="000B2159">
            <w:pPr>
              <w:cnfStyle w:val="000000100000" w:firstRow="0" w:lastRow="0" w:firstColumn="0" w:lastColumn="0" w:oddVBand="0" w:evenVBand="0" w:oddHBand="1" w:evenHBand="0" w:firstRowFirstColumn="0" w:firstRowLastColumn="0" w:lastRowFirstColumn="0" w:lastRowLastColumn="0"/>
              <w:rPr>
                <w:i/>
                <w:iCs/>
              </w:rPr>
            </w:pPr>
            <w:r w:rsidRPr="000B2159">
              <w:rPr>
                <w:i/>
                <w:iCs/>
              </w:rPr>
              <w:t>Lessionopsis littoralis</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5C448771" w14:textId="3DB1C3FB"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4C0CDF6E" w14:textId="77777777" w:rsidR="000B2159" w:rsidRDefault="000B2159" w:rsidP="008F4735">
            <w:pPr>
              <w:jc w:val="center"/>
              <w:cnfStyle w:val="000000100000" w:firstRow="0" w:lastRow="0" w:firstColumn="0" w:lastColumn="0" w:oddVBand="0" w:evenVBand="0" w:oddHBand="1"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24E44F96" w14:textId="33CA37DF"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65CDF20D" w14:textId="5F60FDA7"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8C295"/>
          </w:tcPr>
          <w:p w14:paraId="28CBBE48" w14:textId="6056DD8B"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FE3150" w14:paraId="2CE508BE" w14:textId="77777777" w:rsidTr="006A051B">
        <w:trPr>
          <w:trHeight w:val="143"/>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69D98C17" w14:textId="076C046A" w:rsidR="000B2159" w:rsidRDefault="000B2159" w:rsidP="000B2159">
            <w:r>
              <w:t>Peacock’s Tail</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9E034A2" w14:textId="5D1C5157" w:rsidR="000B2159" w:rsidRPr="000B2159" w:rsidRDefault="000B2159" w:rsidP="000B2159">
            <w:pPr>
              <w:cnfStyle w:val="000000000000" w:firstRow="0" w:lastRow="0" w:firstColumn="0" w:lastColumn="0" w:oddVBand="0" w:evenVBand="0" w:oddHBand="0" w:evenHBand="0" w:firstRowFirstColumn="0" w:firstRowLastColumn="0" w:lastRowFirstColumn="0" w:lastRowLastColumn="0"/>
              <w:rPr>
                <w:i/>
                <w:iCs/>
              </w:rPr>
            </w:pPr>
            <w:r w:rsidRPr="000B2159">
              <w:rPr>
                <w:i/>
                <w:iCs/>
              </w:rPr>
              <w:t>Padina pavonica</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950025F" w14:textId="67B85417"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D77AFFB" w14:textId="77777777" w:rsidR="000B2159" w:rsidRDefault="000B2159" w:rsidP="008F4735">
            <w:pPr>
              <w:jc w:val="center"/>
              <w:cnfStyle w:val="000000000000" w:firstRow="0" w:lastRow="0" w:firstColumn="0" w:lastColumn="0" w:oddVBand="0" w:evenVBand="0" w:oddHBand="0"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3A7163C" w14:textId="6FCE43E5"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C0CE4C5" w14:textId="26EFCD68"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25B145C4" w14:textId="7F7DF921"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FF2014" w14:paraId="14106BFD" w14:textId="77777777" w:rsidTr="006A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8C295"/>
          </w:tcPr>
          <w:p w14:paraId="698D3E4F" w14:textId="212D56CE" w:rsidR="000B2159" w:rsidRDefault="000B2159" w:rsidP="000B2159">
            <w:r>
              <w:t>Ribbon Kelp</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6A9C3C01" w14:textId="22695E29" w:rsidR="000B2159" w:rsidRPr="000B2159" w:rsidRDefault="000B2159" w:rsidP="000B2159">
            <w:pPr>
              <w:cnfStyle w:val="000000100000" w:firstRow="0" w:lastRow="0" w:firstColumn="0" w:lastColumn="0" w:oddVBand="0" w:evenVBand="0" w:oddHBand="1" w:evenHBand="0" w:firstRowFirstColumn="0" w:firstRowLastColumn="0" w:lastRowFirstColumn="0" w:lastRowLastColumn="0"/>
              <w:rPr>
                <w:i/>
                <w:iCs/>
              </w:rPr>
            </w:pPr>
            <w:r w:rsidRPr="000B2159">
              <w:rPr>
                <w:i/>
                <w:iCs/>
              </w:rPr>
              <w:t>Alaria marginata</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06B6F45E" w14:textId="257EE361"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33C9733F" w14:textId="77777777" w:rsidR="000B2159" w:rsidRDefault="000B2159" w:rsidP="008F4735">
            <w:pPr>
              <w:jc w:val="center"/>
              <w:cnfStyle w:val="000000100000" w:firstRow="0" w:lastRow="0" w:firstColumn="0" w:lastColumn="0" w:oddVBand="0" w:evenVBand="0" w:oddHBand="1"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5256FB19" w14:textId="570F98E2"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6DEBC54C" w14:textId="58A7CB2C"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8C295"/>
          </w:tcPr>
          <w:p w14:paraId="08FCDEF0" w14:textId="1ECB6CD0"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FE3150" w14:paraId="16023DC8" w14:textId="77777777" w:rsidTr="006A051B">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550B7258" w14:textId="2D455535" w:rsidR="000B2159" w:rsidRDefault="000B2159">
            <w:r>
              <w:t>Rockweed</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32E84F8" w14:textId="45793F4B" w:rsidR="000B2159" w:rsidRPr="000B2159" w:rsidRDefault="000B2159">
            <w:pPr>
              <w:cnfStyle w:val="000000000000" w:firstRow="0" w:lastRow="0" w:firstColumn="0" w:lastColumn="0" w:oddVBand="0" w:evenVBand="0" w:oddHBand="0" w:evenHBand="0" w:firstRowFirstColumn="0" w:firstRowLastColumn="0" w:lastRowFirstColumn="0" w:lastRowLastColumn="0"/>
              <w:rPr>
                <w:i/>
                <w:iCs/>
              </w:rPr>
            </w:pPr>
            <w:r w:rsidRPr="000B2159">
              <w:rPr>
                <w:i/>
                <w:iCs/>
              </w:rPr>
              <w:t>Ascophyllum nodosum</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AAFE042" w14:textId="0FE5BEBB"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83B065C" w14:textId="77777777" w:rsidR="000B2159" w:rsidRDefault="000B2159" w:rsidP="008F4735">
            <w:pPr>
              <w:jc w:val="center"/>
              <w:cnfStyle w:val="000000000000" w:firstRow="0" w:lastRow="0" w:firstColumn="0" w:lastColumn="0" w:oddVBand="0" w:evenVBand="0" w:oddHBand="0"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B6FF514" w14:textId="0C68F723"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119CB31" w14:textId="382A4042"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65950937" w14:textId="7D1A2AEB"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FF2014" w14:paraId="4C4373B5" w14:textId="77777777" w:rsidTr="006A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8C295"/>
          </w:tcPr>
          <w:p w14:paraId="6F08D14F" w14:textId="52261986" w:rsidR="000B2159" w:rsidRDefault="000B2159">
            <w:r>
              <w:t>Rockweed</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4052B19F" w14:textId="0A419BE4" w:rsidR="000B2159" w:rsidRPr="000B2159" w:rsidRDefault="000B2159" w:rsidP="008F4735">
            <w:pPr>
              <w:cnfStyle w:val="000000100000" w:firstRow="0" w:lastRow="0" w:firstColumn="0" w:lastColumn="0" w:oddVBand="0" w:evenVBand="0" w:oddHBand="1" w:evenHBand="0" w:firstRowFirstColumn="0" w:firstRowLastColumn="0" w:lastRowFirstColumn="0" w:lastRowLastColumn="0"/>
              <w:rPr>
                <w:i/>
                <w:iCs/>
              </w:rPr>
            </w:pPr>
            <w:r w:rsidRPr="000B2159">
              <w:rPr>
                <w:i/>
                <w:iCs/>
              </w:rPr>
              <w:t>Fucus distichus</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3F74E638" w14:textId="7BD2D223"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02B0DACC" w14:textId="77777777" w:rsidR="000B2159" w:rsidRDefault="000B2159" w:rsidP="008F4735">
            <w:pPr>
              <w:jc w:val="center"/>
              <w:cnfStyle w:val="000000100000" w:firstRow="0" w:lastRow="0" w:firstColumn="0" w:lastColumn="0" w:oddVBand="0" w:evenVBand="0" w:oddHBand="1"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55C67F87" w14:textId="31DDB5CF"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3B173975" w14:textId="47F005AF"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8C295"/>
          </w:tcPr>
          <w:p w14:paraId="05041F11" w14:textId="6FED84E3"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FE3150" w14:paraId="4A3A8687" w14:textId="77777777" w:rsidTr="006A051B">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right w:val="single" w:sz="6" w:space="0" w:color="0D0D0D" w:themeColor="text1" w:themeTint="F2"/>
            </w:tcBorders>
          </w:tcPr>
          <w:p w14:paraId="52BAB534" w14:textId="0A99C7EB" w:rsidR="000B2159" w:rsidRDefault="000B2159" w:rsidP="000B2159">
            <w:r>
              <w:t>Sea Fern Weed</w:t>
            </w:r>
          </w:p>
        </w:tc>
        <w:tc>
          <w:tcPr>
            <w:tcW w:w="2880" w:type="dxa"/>
            <w:tcBorders>
              <w:top w:val="single" w:sz="6" w:space="0" w:color="0D0D0D" w:themeColor="text1" w:themeTint="F2"/>
              <w:left w:val="single" w:sz="6" w:space="0" w:color="0D0D0D" w:themeColor="text1" w:themeTint="F2"/>
              <w:right w:val="single" w:sz="6" w:space="0" w:color="0D0D0D" w:themeColor="text1" w:themeTint="F2"/>
            </w:tcBorders>
          </w:tcPr>
          <w:p w14:paraId="5FC66C8C" w14:textId="2C959588" w:rsidR="000B2159" w:rsidRPr="000B2159" w:rsidRDefault="000B2159" w:rsidP="000B2159">
            <w:pPr>
              <w:cnfStyle w:val="000000000000" w:firstRow="0" w:lastRow="0" w:firstColumn="0" w:lastColumn="0" w:oddVBand="0" w:evenVBand="0" w:oddHBand="0" w:evenHBand="0" w:firstRowFirstColumn="0" w:firstRowLastColumn="0" w:lastRowFirstColumn="0" w:lastRowLastColumn="0"/>
              <w:rPr>
                <w:i/>
                <w:iCs/>
              </w:rPr>
            </w:pPr>
            <w:r w:rsidRPr="000B2159">
              <w:rPr>
                <w:i/>
                <w:iCs/>
              </w:rPr>
              <w:t>Halopteris filicina</w:t>
            </w:r>
          </w:p>
        </w:tc>
        <w:tc>
          <w:tcPr>
            <w:tcW w:w="1674" w:type="dxa"/>
            <w:tcBorders>
              <w:top w:val="single" w:sz="6" w:space="0" w:color="0D0D0D" w:themeColor="text1" w:themeTint="F2"/>
              <w:left w:val="single" w:sz="6" w:space="0" w:color="0D0D0D" w:themeColor="text1" w:themeTint="F2"/>
              <w:right w:val="single" w:sz="6" w:space="0" w:color="0D0D0D" w:themeColor="text1" w:themeTint="F2"/>
            </w:tcBorders>
          </w:tcPr>
          <w:p w14:paraId="5A3F1CD6" w14:textId="61D4907C"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right w:val="single" w:sz="6" w:space="0" w:color="0D0D0D" w:themeColor="text1" w:themeTint="F2"/>
            </w:tcBorders>
          </w:tcPr>
          <w:p w14:paraId="42421FC0" w14:textId="77777777" w:rsidR="000B2159" w:rsidRDefault="000B2159" w:rsidP="008F4735">
            <w:pPr>
              <w:jc w:val="center"/>
              <w:cnfStyle w:val="000000000000" w:firstRow="0" w:lastRow="0" w:firstColumn="0" w:lastColumn="0" w:oddVBand="0" w:evenVBand="0" w:oddHBand="0"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right w:val="single" w:sz="6" w:space="0" w:color="0D0D0D" w:themeColor="text1" w:themeTint="F2"/>
            </w:tcBorders>
          </w:tcPr>
          <w:p w14:paraId="7DC8D2B3" w14:textId="2194939A"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right w:val="single" w:sz="6" w:space="0" w:color="0D0D0D" w:themeColor="text1" w:themeTint="F2"/>
            </w:tcBorders>
          </w:tcPr>
          <w:p w14:paraId="1C4827F2" w14:textId="5E16DF04"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right w:val="single" w:sz="12" w:space="0" w:color="0D0D0D" w:themeColor="text1" w:themeTint="F2"/>
            </w:tcBorders>
          </w:tcPr>
          <w:p w14:paraId="17313FC4" w14:textId="060FDAB3"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FF2014" w14:paraId="61CA7C2C" w14:textId="77777777" w:rsidTr="006A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8C295"/>
          </w:tcPr>
          <w:p w14:paraId="4247D70A" w14:textId="105109A1" w:rsidR="000B2159" w:rsidRDefault="000B2159" w:rsidP="000B2159">
            <w:r>
              <w:lastRenderedPageBreak/>
              <w:t>Sea Flax Weed</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591166FC" w14:textId="5046B817" w:rsidR="000B2159" w:rsidRPr="000B2159" w:rsidRDefault="000B2159" w:rsidP="000B2159">
            <w:pPr>
              <w:cnfStyle w:val="000000100000" w:firstRow="0" w:lastRow="0" w:firstColumn="0" w:lastColumn="0" w:oddVBand="0" w:evenVBand="0" w:oddHBand="1" w:evenHBand="0" w:firstRowFirstColumn="0" w:firstRowLastColumn="0" w:lastRowFirstColumn="0" w:lastRowLastColumn="0"/>
              <w:rPr>
                <w:i/>
                <w:iCs/>
              </w:rPr>
            </w:pPr>
            <w:r w:rsidRPr="000B2159">
              <w:rPr>
                <w:i/>
                <w:iCs/>
              </w:rPr>
              <w:t>Halopteris scoparia</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0BA8AEE9" w14:textId="32B7C3FB"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614AE08F" w14:textId="77777777" w:rsidR="000B2159" w:rsidRDefault="000B2159" w:rsidP="008F4735">
            <w:pPr>
              <w:jc w:val="center"/>
              <w:cnfStyle w:val="000000100000" w:firstRow="0" w:lastRow="0" w:firstColumn="0" w:lastColumn="0" w:oddVBand="0" w:evenVBand="0" w:oddHBand="1"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1095A578" w14:textId="5BEF46C5"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57F9A610" w14:textId="2E76917E"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8C295"/>
          </w:tcPr>
          <w:p w14:paraId="1F6499DE" w14:textId="2945BD9A"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FE3150" w14:paraId="06E134F0" w14:textId="77777777" w:rsidTr="006A051B">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632FD825" w14:textId="67B6A20D" w:rsidR="000B2159" w:rsidRDefault="000B2159" w:rsidP="000B2159">
            <w:r>
              <w:t>Sea Palm</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D83EE37" w14:textId="44112219" w:rsidR="000B2159" w:rsidRPr="000B2159" w:rsidRDefault="000B2159" w:rsidP="000B2159">
            <w:pPr>
              <w:cnfStyle w:val="000000000000" w:firstRow="0" w:lastRow="0" w:firstColumn="0" w:lastColumn="0" w:oddVBand="0" w:evenVBand="0" w:oddHBand="0" w:evenHBand="0" w:firstRowFirstColumn="0" w:firstRowLastColumn="0" w:lastRowFirstColumn="0" w:lastRowLastColumn="0"/>
              <w:rPr>
                <w:i/>
                <w:iCs/>
              </w:rPr>
            </w:pPr>
            <w:r w:rsidRPr="000B2159">
              <w:rPr>
                <w:i/>
                <w:iCs/>
              </w:rPr>
              <w:t>Postelsia palmaeformis</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956879B" w14:textId="4EE65358"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79CEDB2" w14:textId="77777777" w:rsidR="000B2159" w:rsidRDefault="000B2159" w:rsidP="008F4735">
            <w:pPr>
              <w:jc w:val="center"/>
              <w:cnfStyle w:val="000000000000" w:firstRow="0" w:lastRow="0" w:firstColumn="0" w:lastColumn="0" w:oddVBand="0" w:evenVBand="0" w:oddHBand="0"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A579BD5" w14:textId="057AECE1"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E020FDF" w14:textId="15B85DFA"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4027C184" w14:textId="738775BD"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FF2014" w14:paraId="3CE67E10" w14:textId="77777777" w:rsidTr="006A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8C295"/>
          </w:tcPr>
          <w:p w14:paraId="08B88D05" w14:textId="4369E572" w:rsidR="000B2159" w:rsidRDefault="000B2159" w:rsidP="000B2159">
            <w:r>
              <w:t>Seaweed Spaghetti</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2B06A447" w14:textId="6055E775" w:rsidR="000B2159" w:rsidRPr="000B2159" w:rsidRDefault="000B2159" w:rsidP="000B2159">
            <w:pPr>
              <w:cnfStyle w:val="000000100000" w:firstRow="0" w:lastRow="0" w:firstColumn="0" w:lastColumn="0" w:oddVBand="0" w:evenVBand="0" w:oddHBand="1" w:evenHBand="0" w:firstRowFirstColumn="0" w:firstRowLastColumn="0" w:lastRowFirstColumn="0" w:lastRowLastColumn="0"/>
              <w:rPr>
                <w:i/>
                <w:iCs/>
              </w:rPr>
            </w:pPr>
            <w:r w:rsidRPr="000B2159">
              <w:rPr>
                <w:i/>
                <w:iCs/>
              </w:rPr>
              <w:t>Himanthalia elongata</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38D8F8C2" w14:textId="751824AB"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76CBF075" w14:textId="77777777" w:rsidR="000B2159" w:rsidRDefault="000B2159" w:rsidP="008F4735">
            <w:pPr>
              <w:jc w:val="center"/>
              <w:cnfStyle w:val="000000100000" w:firstRow="0" w:lastRow="0" w:firstColumn="0" w:lastColumn="0" w:oddVBand="0" w:evenVBand="0" w:oddHBand="1"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08D4AB5F" w14:textId="57DE2A23"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61BF2085" w14:textId="5CF9F312"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8C295"/>
          </w:tcPr>
          <w:p w14:paraId="7C4F7351" w14:textId="2EBCC7BA"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FE3150" w14:paraId="5E763420" w14:textId="77777777" w:rsidTr="006A051B">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717F1276" w14:textId="4159F767" w:rsidR="000B2159" w:rsidRDefault="000B2159" w:rsidP="000B2159">
            <w:r>
              <w:t>Serrated Wrack</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2F4333A" w14:textId="5A9D4D31" w:rsidR="000B2159" w:rsidRPr="000B2159" w:rsidRDefault="000B2159" w:rsidP="000B2159">
            <w:pPr>
              <w:cnfStyle w:val="000000000000" w:firstRow="0" w:lastRow="0" w:firstColumn="0" w:lastColumn="0" w:oddVBand="0" w:evenVBand="0" w:oddHBand="0" w:evenHBand="0" w:firstRowFirstColumn="0" w:firstRowLastColumn="0" w:lastRowFirstColumn="0" w:lastRowLastColumn="0"/>
              <w:rPr>
                <w:i/>
                <w:iCs/>
              </w:rPr>
            </w:pPr>
            <w:r w:rsidRPr="000B2159">
              <w:rPr>
                <w:i/>
                <w:iCs/>
              </w:rPr>
              <w:t>Fucus serratus</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D5E035F" w14:textId="3A439BD3"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AB44267" w14:textId="77777777" w:rsidR="000B2159" w:rsidRDefault="000B2159" w:rsidP="008F4735">
            <w:pPr>
              <w:jc w:val="center"/>
              <w:cnfStyle w:val="000000000000" w:firstRow="0" w:lastRow="0" w:firstColumn="0" w:lastColumn="0" w:oddVBand="0" w:evenVBand="0" w:oddHBand="0"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0646306" w14:textId="0103559D"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637D5E3" w14:textId="7BEEDCAA"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37155748" w14:textId="1B46EBFC"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FF2014" w14:paraId="5D94292C" w14:textId="77777777" w:rsidTr="006A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8C295"/>
          </w:tcPr>
          <w:p w14:paraId="77BAA901" w14:textId="6EFAD1C7" w:rsidR="000B2159" w:rsidRDefault="000B2159" w:rsidP="000B2159">
            <w:r>
              <w:t>Spiral Wrack</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4EF29575" w14:textId="5FA73AE6" w:rsidR="000B2159" w:rsidRPr="000B2159" w:rsidRDefault="000B2159" w:rsidP="000B2159">
            <w:pPr>
              <w:cnfStyle w:val="000000100000" w:firstRow="0" w:lastRow="0" w:firstColumn="0" w:lastColumn="0" w:oddVBand="0" w:evenVBand="0" w:oddHBand="1" w:evenHBand="0" w:firstRowFirstColumn="0" w:firstRowLastColumn="0" w:lastRowFirstColumn="0" w:lastRowLastColumn="0"/>
              <w:rPr>
                <w:i/>
                <w:iCs/>
              </w:rPr>
            </w:pPr>
            <w:r w:rsidRPr="000B2159">
              <w:rPr>
                <w:i/>
                <w:iCs/>
              </w:rPr>
              <w:t>Fucus spiralis</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4B5C7A5A" w14:textId="4EBDB01D"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35CEA829" w14:textId="77777777" w:rsidR="000B2159" w:rsidRDefault="000B2159" w:rsidP="008F4735">
            <w:pPr>
              <w:jc w:val="center"/>
              <w:cnfStyle w:val="000000100000" w:firstRow="0" w:lastRow="0" w:firstColumn="0" w:lastColumn="0" w:oddVBand="0" w:evenVBand="0" w:oddHBand="1"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54160216" w14:textId="77F813CA"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6B5AF3FC" w14:textId="159471E0"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8C295"/>
          </w:tcPr>
          <w:p w14:paraId="1B4EFD44" w14:textId="0AD7EBFB"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FE3150" w14:paraId="33F3ACDF" w14:textId="77777777" w:rsidTr="006A051B">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17FC76BF" w14:textId="00C4A3A2" w:rsidR="000B2159" w:rsidRDefault="000B2159" w:rsidP="000B2159">
            <w:r>
              <w:t>Sugar Kelp</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B64373B" w14:textId="2D8B6B30" w:rsidR="000B2159" w:rsidRPr="000B2159" w:rsidRDefault="000B2159" w:rsidP="000B2159">
            <w:pPr>
              <w:cnfStyle w:val="000000000000" w:firstRow="0" w:lastRow="0" w:firstColumn="0" w:lastColumn="0" w:oddVBand="0" w:evenVBand="0" w:oddHBand="0" w:evenHBand="0" w:firstRowFirstColumn="0" w:firstRowLastColumn="0" w:lastRowFirstColumn="0" w:lastRowLastColumn="0"/>
              <w:rPr>
                <w:i/>
                <w:iCs/>
              </w:rPr>
            </w:pPr>
            <w:r w:rsidRPr="000B2159">
              <w:rPr>
                <w:i/>
                <w:iCs/>
              </w:rPr>
              <w:t>Saccharina latissima</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EA7B4F6" w14:textId="5E1A26CB"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2D63C19" w14:textId="77777777" w:rsidR="000B2159" w:rsidRDefault="000B2159" w:rsidP="008F4735">
            <w:pPr>
              <w:jc w:val="center"/>
              <w:cnfStyle w:val="000000000000" w:firstRow="0" w:lastRow="0" w:firstColumn="0" w:lastColumn="0" w:oddVBand="0" w:evenVBand="0" w:oddHBand="0"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FCC7927" w14:textId="031C2F96"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250A07C" w14:textId="7AE16B9F"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1A29B4A7" w14:textId="1884AFF6"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FF2014" w14:paraId="18AA42CF" w14:textId="77777777" w:rsidTr="006A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8C295"/>
          </w:tcPr>
          <w:p w14:paraId="263BAE1F" w14:textId="266070C4" w:rsidR="000B2159" w:rsidRDefault="000B2159" w:rsidP="000B2159">
            <w:r>
              <w:t>Tangle</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5A939D33" w14:textId="589BDDEA" w:rsidR="000B2159" w:rsidRPr="000B2159" w:rsidRDefault="000B2159" w:rsidP="000B2159">
            <w:pPr>
              <w:cnfStyle w:val="000000100000" w:firstRow="0" w:lastRow="0" w:firstColumn="0" w:lastColumn="0" w:oddVBand="0" w:evenVBand="0" w:oddHBand="1" w:evenHBand="0" w:firstRowFirstColumn="0" w:firstRowLastColumn="0" w:lastRowFirstColumn="0" w:lastRowLastColumn="0"/>
              <w:rPr>
                <w:i/>
                <w:iCs/>
              </w:rPr>
            </w:pPr>
            <w:r w:rsidRPr="000B2159">
              <w:rPr>
                <w:i/>
                <w:iCs/>
              </w:rPr>
              <w:t>Laminaria hyperboria</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6C02815F" w14:textId="2C4F26EB"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3729FD2B" w14:textId="77777777" w:rsidR="000B2159" w:rsidRDefault="000B2159" w:rsidP="008F4735">
            <w:pPr>
              <w:jc w:val="center"/>
              <w:cnfStyle w:val="000000100000" w:firstRow="0" w:lastRow="0" w:firstColumn="0" w:lastColumn="0" w:oddVBand="0" w:evenVBand="0" w:oddHBand="1"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60E22493" w14:textId="6B5A4E9A"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8C295"/>
          </w:tcPr>
          <w:p w14:paraId="5EA1FFF4" w14:textId="34EABD61"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8C295"/>
          </w:tcPr>
          <w:p w14:paraId="07E52AB5" w14:textId="355F378D"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FE3150" w14:paraId="2313B611" w14:textId="77777777" w:rsidTr="006A051B">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3791CABB" w14:textId="111F0361" w:rsidR="000B2159" w:rsidRDefault="000B2159" w:rsidP="000B2159">
            <w:r>
              <w:t>Wakame</w:t>
            </w:r>
          </w:p>
        </w:tc>
        <w:tc>
          <w:tcPr>
            <w:tcW w:w="288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F1B41FF" w14:textId="6E9D2CCD" w:rsidR="000B2159" w:rsidRPr="000B2159" w:rsidRDefault="000B2159" w:rsidP="000B2159">
            <w:pPr>
              <w:cnfStyle w:val="000000000000" w:firstRow="0" w:lastRow="0" w:firstColumn="0" w:lastColumn="0" w:oddVBand="0" w:evenVBand="0" w:oddHBand="0" w:evenHBand="0" w:firstRowFirstColumn="0" w:firstRowLastColumn="0" w:lastRowFirstColumn="0" w:lastRowLastColumn="0"/>
              <w:rPr>
                <w:i/>
                <w:iCs/>
              </w:rPr>
            </w:pPr>
            <w:r w:rsidRPr="000B2159">
              <w:rPr>
                <w:i/>
                <w:iCs/>
              </w:rPr>
              <w:t>Undaria pinnatifida</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3BFBA38" w14:textId="7394D1CC"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D579D14" w14:textId="77777777" w:rsidR="000B2159" w:rsidRDefault="000B2159" w:rsidP="008F4735">
            <w:pPr>
              <w:jc w:val="center"/>
              <w:cnfStyle w:val="000000000000" w:firstRow="0" w:lastRow="0" w:firstColumn="0" w:lastColumn="0" w:oddVBand="0" w:evenVBand="0" w:oddHBand="0"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53204F2" w14:textId="0286643C"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AF49B57" w14:textId="2C700D94"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14F85A3C" w14:textId="20E2E521" w:rsidR="000B2159" w:rsidRPr="00587FA2" w:rsidRDefault="008F4735" w:rsidP="008F4735">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FF2014" w14:paraId="55CC8055" w14:textId="77777777" w:rsidTr="006A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Borders>
              <w:top w:val="single" w:sz="6" w:space="0" w:color="0D0D0D" w:themeColor="text1" w:themeTint="F2"/>
              <w:left w:val="single" w:sz="12" w:space="0" w:color="0D0D0D" w:themeColor="text1" w:themeTint="F2"/>
              <w:bottom w:val="single" w:sz="12" w:space="0" w:color="0D0D0D" w:themeColor="text1" w:themeTint="F2"/>
              <w:right w:val="single" w:sz="6" w:space="0" w:color="0D0D0D" w:themeColor="text1" w:themeTint="F2"/>
            </w:tcBorders>
            <w:shd w:val="clear" w:color="auto" w:fill="D8C295"/>
          </w:tcPr>
          <w:p w14:paraId="463C7747" w14:textId="666EE936" w:rsidR="000B2159" w:rsidRDefault="000B2159" w:rsidP="000B2159">
            <w:r>
              <w:t>Winged Kelp</w:t>
            </w:r>
          </w:p>
        </w:tc>
        <w:tc>
          <w:tcPr>
            <w:tcW w:w="2880" w:type="dxa"/>
            <w:tcBorders>
              <w:top w:val="single" w:sz="6" w:space="0" w:color="0D0D0D" w:themeColor="text1" w:themeTint="F2"/>
              <w:left w:val="single" w:sz="6" w:space="0" w:color="0D0D0D" w:themeColor="text1" w:themeTint="F2"/>
              <w:bottom w:val="single" w:sz="12" w:space="0" w:color="0D0D0D" w:themeColor="text1" w:themeTint="F2"/>
              <w:right w:val="single" w:sz="6" w:space="0" w:color="0D0D0D" w:themeColor="text1" w:themeTint="F2"/>
            </w:tcBorders>
            <w:shd w:val="clear" w:color="auto" w:fill="D8C295"/>
          </w:tcPr>
          <w:p w14:paraId="18B8B51D" w14:textId="1ECCA9AA" w:rsidR="000B2159" w:rsidRPr="000B2159" w:rsidRDefault="000B2159" w:rsidP="000B2159">
            <w:pPr>
              <w:cnfStyle w:val="000000100000" w:firstRow="0" w:lastRow="0" w:firstColumn="0" w:lastColumn="0" w:oddVBand="0" w:evenVBand="0" w:oddHBand="1" w:evenHBand="0" w:firstRowFirstColumn="0" w:firstRowLastColumn="0" w:lastRowFirstColumn="0" w:lastRowLastColumn="0"/>
              <w:rPr>
                <w:i/>
                <w:iCs/>
              </w:rPr>
            </w:pPr>
            <w:r w:rsidRPr="000B2159">
              <w:rPr>
                <w:i/>
                <w:iCs/>
              </w:rPr>
              <w:t>Alaria esculenta</w:t>
            </w:r>
          </w:p>
        </w:tc>
        <w:tc>
          <w:tcPr>
            <w:tcW w:w="1674" w:type="dxa"/>
            <w:tcBorders>
              <w:top w:val="single" w:sz="6" w:space="0" w:color="0D0D0D" w:themeColor="text1" w:themeTint="F2"/>
              <w:left w:val="single" w:sz="6" w:space="0" w:color="0D0D0D" w:themeColor="text1" w:themeTint="F2"/>
              <w:bottom w:val="single" w:sz="12" w:space="0" w:color="0D0D0D" w:themeColor="text1" w:themeTint="F2"/>
              <w:right w:val="single" w:sz="6" w:space="0" w:color="0D0D0D" w:themeColor="text1" w:themeTint="F2"/>
            </w:tcBorders>
            <w:shd w:val="clear" w:color="auto" w:fill="D8C295"/>
          </w:tcPr>
          <w:p w14:paraId="0108D69B" w14:textId="2F416371"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12" w:space="0" w:color="0D0D0D" w:themeColor="text1" w:themeTint="F2"/>
              <w:right w:val="single" w:sz="6" w:space="0" w:color="0D0D0D" w:themeColor="text1" w:themeTint="F2"/>
            </w:tcBorders>
            <w:shd w:val="clear" w:color="auto" w:fill="D8C295"/>
          </w:tcPr>
          <w:p w14:paraId="4B1DAD35" w14:textId="77777777" w:rsidR="000B2159" w:rsidRDefault="000B2159" w:rsidP="008F4735">
            <w:pPr>
              <w:jc w:val="center"/>
              <w:cnfStyle w:val="000000100000" w:firstRow="0" w:lastRow="0" w:firstColumn="0" w:lastColumn="0" w:oddVBand="0" w:evenVBand="0" w:oddHBand="1" w:evenHBand="0" w:firstRowFirstColumn="0" w:firstRowLastColumn="0" w:lastRowFirstColumn="0" w:lastRowLastColumn="0"/>
            </w:pPr>
          </w:p>
        </w:tc>
        <w:tc>
          <w:tcPr>
            <w:tcW w:w="1674" w:type="dxa"/>
            <w:tcBorders>
              <w:top w:val="single" w:sz="6" w:space="0" w:color="0D0D0D" w:themeColor="text1" w:themeTint="F2"/>
              <w:left w:val="single" w:sz="6" w:space="0" w:color="0D0D0D" w:themeColor="text1" w:themeTint="F2"/>
              <w:bottom w:val="single" w:sz="12" w:space="0" w:color="0D0D0D" w:themeColor="text1" w:themeTint="F2"/>
              <w:right w:val="single" w:sz="6" w:space="0" w:color="0D0D0D" w:themeColor="text1" w:themeTint="F2"/>
            </w:tcBorders>
            <w:shd w:val="clear" w:color="auto" w:fill="D8C295"/>
          </w:tcPr>
          <w:p w14:paraId="4C8AAD3C" w14:textId="78C006C5"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12" w:space="0" w:color="0D0D0D" w:themeColor="text1" w:themeTint="F2"/>
              <w:right w:val="single" w:sz="6" w:space="0" w:color="0D0D0D" w:themeColor="text1" w:themeTint="F2"/>
            </w:tcBorders>
            <w:shd w:val="clear" w:color="auto" w:fill="D8C295"/>
          </w:tcPr>
          <w:p w14:paraId="7F24BA13" w14:textId="61C5AA59"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4" w:type="dxa"/>
            <w:tcBorders>
              <w:top w:val="single" w:sz="6" w:space="0" w:color="0D0D0D" w:themeColor="text1" w:themeTint="F2"/>
              <w:left w:val="single" w:sz="6" w:space="0" w:color="0D0D0D" w:themeColor="text1" w:themeTint="F2"/>
              <w:bottom w:val="single" w:sz="12" w:space="0" w:color="0D0D0D" w:themeColor="text1" w:themeTint="F2"/>
              <w:right w:val="single" w:sz="12" w:space="0" w:color="0D0D0D" w:themeColor="text1" w:themeTint="F2"/>
            </w:tcBorders>
            <w:shd w:val="clear" w:color="auto" w:fill="D8C295"/>
          </w:tcPr>
          <w:p w14:paraId="3F035E98" w14:textId="3B7CF2B6" w:rsidR="000B2159" w:rsidRPr="00587FA2" w:rsidRDefault="008F4735" w:rsidP="008F4735">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bl>
    <w:p w14:paraId="7BA753CF" w14:textId="77777777" w:rsidR="009148A3" w:rsidRDefault="009148A3">
      <w:r>
        <w:br w:type="page"/>
      </w:r>
    </w:p>
    <w:p w14:paraId="03EEE55C" w14:textId="609F3FD8" w:rsidR="00045395" w:rsidRDefault="00045395" w:rsidP="00C54E07">
      <w:pPr>
        <w:pStyle w:val="Caption"/>
      </w:pPr>
      <w:r w:rsidRPr="00045395">
        <w:rPr>
          <w:b/>
          <w:bCs/>
        </w:rPr>
        <w:lastRenderedPageBreak/>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4</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2</w:t>
      </w:r>
      <w:r w:rsidR="00896F22">
        <w:rPr>
          <w:b/>
          <w:bCs/>
        </w:rPr>
        <w:fldChar w:fldCharType="end"/>
      </w:r>
      <w:r w:rsidRPr="00045395">
        <w:rPr>
          <w:b/>
          <w:bCs/>
        </w:rPr>
        <w:t>:</w:t>
      </w:r>
      <w:r>
        <w:t xml:space="preserve"> </w:t>
      </w:r>
      <w:r w:rsidRPr="00A82660">
        <w:t xml:space="preserve">Species-related seaweed hazards for edible </w:t>
      </w:r>
      <w:r>
        <w:t>green</w:t>
      </w:r>
      <w:r w:rsidRPr="00A82660">
        <w:t xml:space="preserve"> seaweeds known to be used for human consumption.</w:t>
      </w:r>
    </w:p>
    <w:tbl>
      <w:tblPr>
        <w:tblStyle w:val="GridTable2-Accent3"/>
        <w:tblW w:w="14400" w:type="dxa"/>
        <w:tblInd w:w="-813" w:type="dxa"/>
        <w:tblBorders>
          <w:top w:val="single" w:sz="2" w:space="0" w:color="687D59"/>
          <w:left w:val="single" w:sz="2" w:space="0" w:color="687D59"/>
          <w:right w:val="single" w:sz="2" w:space="0" w:color="687D59"/>
          <w:insideH w:val="single" w:sz="2" w:space="0" w:color="687D59"/>
          <w:insideV w:val="single" w:sz="2" w:space="0" w:color="687D59"/>
        </w:tblBorders>
        <w:tblLayout w:type="fixed"/>
        <w:tblCellMar>
          <w:top w:w="29" w:type="dxa"/>
          <w:bottom w:w="29" w:type="dxa"/>
        </w:tblCellMar>
        <w:tblLook w:val="04A0" w:firstRow="1" w:lastRow="0" w:firstColumn="1" w:lastColumn="0" w:noHBand="0" w:noVBand="1"/>
      </w:tblPr>
      <w:tblGrid>
        <w:gridCol w:w="3385"/>
        <w:gridCol w:w="2661"/>
        <w:gridCol w:w="1670"/>
        <w:gridCol w:w="1671"/>
        <w:gridCol w:w="1681"/>
        <w:gridCol w:w="1661"/>
        <w:gridCol w:w="1671"/>
      </w:tblGrid>
      <w:tr w:rsidR="00FF2014" w14:paraId="70010559" w14:textId="77777777" w:rsidTr="006A0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tcBorders>
              <w:top w:val="single" w:sz="12"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7C9885"/>
            <w:vAlign w:val="center"/>
          </w:tcPr>
          <w:p w14:paraId="29C02242" w14:textId="49A7379D" w:rsidR="002D5D78" w:rsidRPr="00FF2014" w:rsidRDefault="002D5D78" w:rsidP="00FF2014">
            <w:pPr>
              <w:rPr>
                <w:b w:val="0"/>
                <w:bCs w:val="0"/>
              </w:rPr>
            </w:pPr>
            <w:r w:rsidRPr="00FF2014">
              <w:t>Common Name/ Scientific Name</w:t>
            </w:r>
          </w:p>
        </w:tc>
        <w:tc>
          <w:tcPr>
            <w:tcW w:w="2661" w:type="dxa"/>
            <w:tcBorders>
              <w:top w:val="single" w:sz="1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7C9885"/>
            <w:vAlign w:val="center"/>
          </w:tcPr>
          <w:p w14:paraId="4AEF053C" w14:textId="2F0D6398" w:rsidR="002D5D78" w:rsidRPr="00FF2014" w:rsidRDefault="002D5D78"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Scientific Name</w:t>
            </w:r>
          </w:p>
        </w:tc>
        <w:tc>
          <w:tcPr>
            <w:tcW w:w="1670" w:type="dxa"/>
            <w:tcBorders>
              <w:top w:val="single" w:sz="1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7C9885"/>
            <w:vAlign w:val="center"/>
          </w:tcPr>
          <w:p w14:paraId="2FB284BA" w14:textId="372D1EF4" w:rsidR="002D5D78" w:rsidRPr="00FF2014" w:rsidRDefault="002D5D78" w:rsidP="00FF2014">
            <w:pPr>
              <w:cnfStyle w:val="100000000000" w:firstRow="1" w:lastRow="0" w:firstColumn="0" w:lastColumn="0" w:oddVBand="0" w:evenVBand="0" w:oddHBand="0" w:evenHBand="0" w:firstRowFirstColumn="0" w:firstRowLastColumn="0" w:lastRowFirstColumn="0" w:lastRowLastColumn="0"/>
              <w:rPr>
                <w:b w:val="0"/>
                <w:bCs w:val="0"/>
                <w:vertAlign w:val="superscript"/>
              </w:rPr>
            </w:pPr>
            <w:r w:rsidRPr="00FF2014">
              <w:t>Pathogens</w:t>
            </w:r>
            <w:r w:rsidR="00FF2014" w:rsidRPr="00FF2014">
              <w:rPr>
                <w:rStyle w:val="FootnoteReference"/>
              </w:rPr>
              <w:footnoteReference w:customMarkFollows="1" w:id="18"/>
              <w:t>1</w:t>
            </w:r>
            <w:r w:rsidRPr="00FF2014">
              <w:t xml:space="preserve"> in Harvest Area</w:t>
            </w:r>
          </w:p>
          <w:p w14:paraId="4EA89EAB" w14:textId="6E9AAA7C" w:rsidR="002D5D78" w:rsidRPr="00FF2014" w:rsidRDefault="002D5D78"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Chapter 5</w:t>
            </w:r>
          </w:p>
        </w:tc>
        <w:tc>
          <w:tcPr>
            <w:tcW w:w="1671" w:type="dxa"/>
            <w:tcBorders>
              <w:top w:val="single" w:sz="1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7C9885"/>
            <w:vAlign w:val="center"/>
          </w:tcPr>
          <w:p w14:paraId="3E8B4BDC" w14:textId="73241366" w:rsidR="002D5D78" w:rsidRPr="00FF2014" w:rsidRDefault="002D5D78"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Parasites</w:t>
            </w:r>
            <w:r w:rsidR="00FF2014" w:rsidRPr="00FF2014">
              <w:rPr>
                <w:rStyle w:val="FootnoteReference"/>
              </w:rPr>
              <w:footnoteReference w:customMarkFollows="1" w:id="19"/>
              <w:t>2</w:t>
            </w:r>
            <w:r w:rsidRPr="00FF2014">
              <w:t xml:space="preserve"> in Harvest Area</w:t>
            </w:r>
          </w:p>
          <w:p w14:paraId="35DBF817" w14:textId="00EA17A9" w:rsidR="002D5D78" w:rsidRPr="00FF2014" w:rsidRDefault="002D5D78"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Chapter 6</w:t>
            </w:r>
          </w:p>
        </w:tc>
        <w:tc>
          <w:tcPr>
            <w:tcW w:w="1681" w:type="dxa"/>
            <w:tcBorders>
              <w:top w:val="single" w:sz="1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7C9885"/>
            <w:vAlign w:val="center"/>
          </w:tcPr>
          <w:p w14:paraId="2F9A4E9D" w14:textId="77777777" w:rsidR="002D5D78" w:rsidRPr="00FF2014" w:rsidRDefault="002D5D78"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Environmental Chemicals</w:t>
            </w:r>
          </w:p>
          <w:p w14:paraId="52C94865" w14:textId="4DC6BAEC" w:rsidR="002D5D78" w:rsidRPr="00FF2014" w:rsidRDefault="002D5D78"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Chapter 7</w:t>
            </w:r>
          </w:p>
        </w:tc>
        <w:tc>
          <w:tcPr>
            <w:tcW w:w="1661" w:type="dxa"/>
            <w:tcBorders>
              <w:top w:val="single" w:sz="1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7C9885"/>
            <w:vAlign w:val="center"/>
          </w:tcPr>
          <w:p w14:paraId="5BFDC590" w14:textId="77777777" w:rsidR="002D5D78" w:rsidRPr="00FF2014" w:rsidRDefault="002D5D78"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Iodine</w:t>
            </w:r>
          </w:p>
          <w:p w14:paraId="0EEB33D2" w14:textId="319114F5" w:rsidR="002D5D78" w:rsidRPr="00FF2014" w:rsidRDefault="002D5D78"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Chapter 8</w:t>
            </w:r>
          </w:p>
        </w:tc>
        <w:tc>
          <w:tcPr>
            <w:tcW w:w="1671" w:type="dxa"/>
            <w:tcBorders>
              <w:top w:val="single" w:sz="12"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7C9885"/>
            <w:vAlign w:val="center"/>
          </w:tcPr>
          <w:p w14:paraId="25DDC735" w14:textId="77777777" w:rsidR="002D5D78" w:rsidRPr="00FF2014" w:rsidRDefault="002D5D78"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Natural Toxins</w:t>
            </w:r>
          </w:p>
          <w:p w14:paraId="702FACB1" w14:textId="48300BAD" w:rsidR="002D5D78" w:rsidRPr="00FF2014" w:rsidRDefault="002D5D78" w:rsidP="00FF2014">
            <w:pPr>
              <w:cnfStyle w:val="100000000000" w:firstRow="1" w:lastRow="0" w:firstColumn="0" w:lastColumn="0" w:oddVBand="0" w:evenVBand="0" w:oddHBand="0" w:evenHBand="0" w:firstRowFirstColumn="0" w:firstRowLastColumn="0" w:lastRowFirstColumn="0" w:lastRowLastColumn="0"/>
              <w:rPr>
                <w:b w:val="0"/>
                <w:bCs w:val="0"/>
              </w:rPr>
            </w:pPr>
            <w:r w:rsidRPr="00FF2014">
              <w:t>Chapter 9</w:t>
            </w:r>
          </w:p>
        </w:tc>
      </w:tr>
      <w:tr w:rsidR="0054509C" w14:paraId="62FDBB98" w14:textId="77777777" w:rsidTr="006A051B">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38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9EAD3"/>
          </w:tcPr>
          <w:p w14:paraId="72371BB1" w14:textId="5FC9E60C" w:rsidR="002D5D78" w:rsidRPr="00587FA2" w:rsidRDefault="00587FA2" w:rsidP="00587FA2">
            <w:pPr>
              <w:rPr>
                <w:i/>
                <w:iCs/>
              </w:rPr>
            </w:pPr>
            <w:r w:rsidRPr="00587FA2">
              <w:rPr>
                <w:i/>
                <w:iCs/>
              </w:rPr>
              <w:t>Boodlea coacta</w:t>
            </w:r>
          </w:p>
        </w:tc>
        <w:tc>
          <w:tcPr>
            <w:tcW w:w="2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472E58F3" w14:textId="51F2FF89" w:rsidR="002D5D78" w:rsidRPr="00587FA2" w:rsidRDefault="00587FA2" w:rsidP="00587FA2">
            <w:pPr>
              <w:cnfStyle w:val="000000100000" w:firstRow="0" w:lastRow="0" w:firstColumn="0" w:lastColumn="0" w:oddVBand="0" w:evenVBand="0" w:oddHBand="1" w:evenHBand="0" w:firstRowFirstColumn="0" w:firstRowLastColumn="0" w:lastRowFirstColumn="0" w:lastRowLastColumn="0"/>
              <w:rPr>
                <w:i/>
                <w:iCs/>
              </w:rPr>
            </w:pPr>
            <w:r w:rsidRPr="00587FA2">
              <w:rPr>
                <w:i/>
                <w:iCs/>
              </w:rPr>
              <w:t>Boodlea coacta</w:t>
            </w:r>
          </w:p>
        </w:tc>
        <w:tc>
          <w:tcPr>
            <w:tcW w:w="167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581741A9" w14:textId="774FB5E8"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0F3ED301" w14:textId="77777777" w:rsidR="002D5D78" w:rsidRDefault="002D5D78" w:rsidP="00587FA2">
            <w:pPr>
              <w:jc w:val="center"/>
              <w:cnfStyle w:val="000000100000" w:firstRow="0" w:lastRow="0" w:firstColumn="0" w:lastColumn="0" w:oddVBand="0" w:evenVBand="0" w:oddHBand="1" w:evenHBand="0" w:firstRowFirstColumn="0" w:firstRowLastColumn="0" w:lastRowFirstColumn="0" w:lastRowLastColumn="0"/>
            </w:pPr>
          </w:p>
        </w:tc>
        <w:tc>
          <w:tcPr>
            <w:tcW w:w="168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78318256" w14:textId="6C404B70"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1E620731" w14:textId="77777777" w:rsidR="002D5D78" w:rsidRDefault="002D5D78" w:rsidP="00587FA2">
            <w:pPr>
              <w:jc w:val="center"/>
              <w:cnfStyle w:val="000000100000" w:firstRow="0" w:lastRow="0" w:firstColumn="0" w:lastColumn="0" w:oddVBand="0" w:evenVBand="0" w:oddHBand="1" w:evenHBand="0" w:firstRowFirstColumn="0" w:firstRowLastColumn="0" w:lastRowFirstColumn="0" w:lastRowLastColumn="0"/>
            </w:pP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9EAD3"/>
          </w:tcPr>
          <w:p w14:paraId="31BAB6A6" w14:textId="08B555E2"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3C2992" w14:paraId="3BA9EAB9" w14:textId="77777777" w:rsidTr="006A051B">
        <w:trPr>
          <w:trHeight w:val="98"/>
        </w:trPr>
        <w:tc>
          <w:tcPr>
            <w:cnfStyle w:val="001000000000" w:firstRow="0" w:lastRow="0" w:firstColumn="1" w:lastColumn="0" w:oddVBand="0" w:evenVBand="0" w:oddHBand="0" w:evenHBand="0" w:firstRowFirstColumn="0" w:firstRowLastColumn="0" w:lastRowFirstColumn="0" w:lastRowLastColumn="0"/>
            <w:tcW w:w="338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3B12A663" w14:textId="5112495D" w:rsidR="002D5D78" w:rsidRDefault="00587FA2" w:rsidP="00587FA2">
            <w:r>
              <w:t>Flax Brick Weed</w:t>
            </w:r>
          </w:p>
        </w:tc>
        <w:tc>
          <w:tcPr>
            <w:tcW w:w="2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585FA95" w14:textId="7107A67A" w:rsidR="002D5D78" w:rsidRPr="00587FA2" w:rsidRDefault="00587FA2" w:rsidP="00587FA2">
            <w:pPr>
              <w:cnfStyle w:val="000000000000" w:firstRow="0" w:lastRow="0" w:firstColumn="0" w:lastColumn="0" w:oddVBand="0" w:evenVBand="0" w:oddHBand="0" w:evenHBand="0" w:firstRowFirstColumn="0" w:firstRowLastColumn="0" w:lastRowFirstColumn="0" w:lastRowLastColumn="0"/>
              <w:rPr>
                <w:i/>
                <w:iCs/>
              </w:rPr>
            </w:pPr>
            <w:r w:rsidRPr="00587FA2">
              <w:rPr>
                <w:i/>
                <w:iCs/>
              </w:rPr>
              <w:t>Chaetomorpha linum</w:t>
            </w:r>
          </w:p>
        </w:tc>
        <w:tc>
          <w:tcPr>
            <w:tcW w:w="167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FEAFF12" w14:textId="48028C87"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5482051" w14:textId="77777777" w:rsidR="002D5D78" w:rsidRDefault="002D5D78" w:rsidP="00587FA2">
            <w:pPr>
              <w:jc w:val="center"/>
              <w:cnfStyle w:val="000000000000" w:firstRow="0" w:lastRow="0" w:firstColumn="0" w:lastColumn="0" w:oddVBand="0" w:evenVBand="0" w:oddHBand="0" w:evenHBand="0" w:firstRowFirstColumn="0" w:firstRowLastColumn="0" w:lastRowFirstColumn="0" w:lastRowLastColumn="0"/>
            </w:pPr>
          </w:p>
        </w:tc>
        <w:tc>
          <w:tcPr>
            <w:tcW w:w="168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B0CA7E7" w14:textId="799B0A96"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F923903" w14:textId="77777777" w:rsidR="002D5D78" w:rsidRDefault="002D5D78" w:rsidP="00587FA2">
            <w:pPr>
              <w:jc w:val="center"/>
              <w:cnfStyle w:val="000000000000" w:firstRow="0" w:lastRow="0" w:firstColumn="0" w:lastColumn="0" w:oddVBand="0" w:evenVBand="0" w:oddHBand="0" w:evenHBand="0" w:firstRowFirstColumn="0" w:firstRowLastColumn="0" w:lastRowFirstColumn="0" w:lastRowLastColumn="0"/>
            </w:pP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17A1F7BE" w14:textId="54DBA0D1"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54509C" w14:paraId="35018078" w14:textId="77777777" w:rsidTr="006A051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8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9EAD3"/>
          </w:tcPr>
          <w:p w14:paraId="009E859D" w14:textId="6942B756" w:rsidR="002D5D78" w:rsidRDefault="00587FA2" w:rsidP="00587FA2">
            <w:r>
              <w:t>Green Feather Algae</w:t>
            </w:r>
          </w:p>
        </w:tc>
        <w:tc>
          <w:tcPr>
            <w:tcW w:w="2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5C7899AC" w14:textId="46C80106" w:rsidR="002D5D78" w:rsidRPr="00587FA2" w:rsidRDefault="00587FA2" w:rsidP="00587FA2">
            <w:pPr>
              <w:cnfStyle w:val="000000100000" w:firstRow="0" w:lastRow="0" w:firstColumn="0" w:lastColumn="0" w:oddVBand="0" w:evenVBand="0" w:oddHBand="1" w:evenHBand="0" w:firstRowFirstColumn="0" w:firstRowLastColumn="0" w:lastRowFirstColumn="0" w:lastRowLastColumn="0"/>
              <w:rPr>
                <w:i/>
                <w:iCs/>
              </w:rPr>
            </w:pPr>
            <w:r w:rsidRPr="00587FA2">
              <w:rPr>
                <w:i/>
                <w:iCs/>
              </w:rPr>
              <w:t>Caulerpa sertularioides</w:t>
            </w:r>
          </w:p>
        </w:tc>
        <w:tc>
          <w:tcPr>
            <w:tcW w:w="167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19AC39D3" w14:textId="24D5EBA4"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7F330686" w14:textId="77777777" w:rsidR="002D5D78" w:rsidRDefault="002D5D78" w:rsidP="00587FA2">
            <w:pPr>
              <w:jc w:val="center"/>
              <w:cnfStyle w:val="000000100000" w:firstRow="0" w:lastRow="0" w:firstColumn="0" w:lastColumn="0" w:oddVBand="0" w:evenVBand="0" w:oddHBand="1" w:evenHBand="0" w:firstRowFirstColumn="0" w:firstRowLastColumn="0" w:lastRowFirstColumn="0" w:lastRowLastColumn="0"/>
            </w:pPr>
          </w:p>
        </w:tc>
        <w:tc>
          <w:tcPr>
            <w:tcW w:w="168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638E4FB1" w14:textId="4BF202EB"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659433CE" w14:textId="77777777" w:rsidR="002D5D78" w:rsidRDefault="002D5D78" w:rsidP="00587FA2">
            <w:pPr>
              <w:jc w:val="center"/>
              <w:cnfStyle w:val="000000100000" w:firstRow="0" w:lastRow="0" w:firstColumn="0" w:lastColumn="0" w:oddVBand="0" w:evenVBand="0" w:oddHBand="1" w:evenHBand="0" w:firstRowFirstColumn="0" w:firstRowLastColumn="0" w:lastRowFirstColumn="0" w:lastRowLastColumn="0"/>
            </w:pP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9EAD3"/>
          </w:tcPr>
          <w:p w14:paraId="0194655E" w14:textId="485DE309"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3C2992" w14:paraId="3AFEB34E" w14:textId="77777777" w:rsidTr="006A051B">
        <w:trPr>
          <w:trHeight w:val="215"/>
        </w:trPr>
        <w:tc>
          <w:tcPr>
            <w:cnfStyle w:val="001000000000" w:firstRow="0" w:lastRow="0" w:firstColumn="1" w:lastColumn="0" w:oddVBand="0" w:evenVBand="0" w:oddHBand="0" w:evenHBand="0" w:firstRowFirstColumn="0" w:firstRowLastColumn="0" w:lastRowFirstColumn="0" w:lastRowLastColumn="0"/>
            <w:tcW w:w="338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15AA53B7" w14:textId="09C42170" w:rsidR="002D5D78" w:rsidRDefault="00587FA2" w:rsidP="00587FA2">
            <w:r>
              <w:t>Gutweed</w:t>
            </w:r>
          </w:p>
        </w:tc>
        <w:tc>
          <w:tcPr>
            <w:tcW w:w="2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25A4379" w14:textId="1A37640C" w:rsidR="002D5D78" w:rsidRPr="00587FA2" w:rsidRDefault="00587FA2" w:rsidP="00587FA2">
            <w:pPr>
              <w:cnfStyle w:val="000000000000" w:firstRow="0" w:lastRow="0" w:firstColumn="0" w:lastColumn="0" w:oddVBand="0" w:evenVBand="0" w:oddHBand="0" w:evenHBand="0" w:firstRowFirstColumn="0" w:firstRowLastColumn="0" w:lastRowFirstColumn="0" w:lastRowLastColumn="0"/>
              <w:rPr>
                <w:i/>
                <w:iCs/>
              </w:rPr>
            </w:pPr>
            <w:r w:rsidRPr="00587FA2">
              <w:rPr>
                <w:i/>
                <w:iCs/>
              </w:rPr>
              <w:t>Ulva intestinalis</w:t>
            </w:r>
          </w:p>
        </w:tc>
        <w:tc>
          <w:tcPr>
            <w:tcW w:w="167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BDB4CB1" w14:textId="3DBDA8D4"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719E849" w14:textId="77777777" w:rsidR="002D5D78" w:rsidRDefault="002D5D78" w:rsidP="00587FA2">
            <w:pPr>
              <w:jc w:val="center"/>
              <w:cnfStyle w:val="000000000000" w:firstRow="0" w:lastRow="0" w:firstColumn="0" w:lastColumn="0" w:oddVBand="0" w:evenVBand="0" w:oddHBand="0" w:evenHBand="0" w:firstRowFirstColumn="0" w:firstRowLastColumn="0" w:lastRowFirstColumn="0" w:lastRowLastColumn="0"/>
            </w:pPr>
          </w:p>
        </w:tc>
        <w:tc>
          <w:tcPr>
            <w:tcW w:w="168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7F10505" w14:textId="1E66D6E7"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45A7C1E" w14:textId="77777777" w:rsidR="002D5D78" w:rsidRDefault="002D5D78" w:rsidP="00587FA2">
            <w:pPr>
              <w:jc w:val="center"/>
              <w:cnfStyle w:val="000000000000" w:firstRow="0" w:lastRow="0" w:firstColumn="0" w:lastColumn="0" w:oddVBand="0" w:evenVBand="0" w:oddHBand="0" w:evenHBand="0" w:firstRowFirstColumn="0" w:firstRowLastColumn="0" w:lastRowFirstColumn="0" w:lastRowLastColumn="0"/>
            </w:pP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1E584293" w14:textId="0EFAD8DA"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54509C" w14:paraId="0B0E7333" w14:textId="77777777" w:rsidTr="006A051B">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338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9EAD3"/>
          </w:tcPr>
          <w:p w14:paraId="58319020" w14:textId="1DBA85B8" w:rsidR="002D5D78" w:rsidRDefault="00587FA2" w:rsidP="00587FA2">
            <w:r>
              <w:t>Latok</w:t>
            </w:r>
          </w:p>
        </w:tc>
        <w:tc>
          <w:tcPr>
            <w:tcW w:w="2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0072FED6" w14:textId="0BE9099B" w:rsidR="002D5D78" w:rsidRPr="00587FA2" w:rsidRDefault="00587FA2" w:rsidP="00587FA2">
            <w:pPr>
              <w:cnfStyle w:val="000000100000" w:firstRow="0" w:lastRow="0" w:firstColumn="0" w:lastColumn="0" w:oddVBand="0" w:evenVBand="0" w:oddHBand="1" w:evenHBand="0" w:firstRowFirstColumn="0" w:firstRowLastColumn="0" w:lastRowFirstColumn="0" w:lastRowLastColumn="0"/>
              <w:rPr>
                <w:i/>
                <w:iCs/>
              </w:rPr>
            </w:pPr>
            <w:r w:rsidRPr="00587FA2">
              <w:rPr>
                <w:i/>
                <w:iCs/>
              </w:rPr>
              <w:t>Caulerpa lentillifera</w:t>
            </w:r>
          </w:p>
        </w:tc>
        <w:tc>
          <w:tcPr>
            <w:tcW w:w="167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56A6F7BC" w14:textId="300293F9"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5E7AD6A4" w14:textId="77777777" w:rsidR="002D5D78" w:rsidRDefault="002D5D78" w:rsidP="00587FA2">
            <w:pPr>
              <w:jc w:val="center"/>
              <w:cnfStyle w:val="000000100000" w:firstRow="0" w:lastRow="0" w:firstColumn="0" w:lastColumn="0" w:oddVBand="0" w:evenVBand="0" w:oddHBand="1" w:evenHBand="0" w:firstRowFirstColumn="0" w:firstRowLastColumn="0" w:lastRowFirstColumn="0" w:lastRowLastColumn="0"/>
            </w:pPr>
          </w:p>
        </w:tc>
        <w:tc>
          <w:tcPr>
            <w:tcW w:w="168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298933BC" w14:textId="6A4F141D"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0F928B31" w14:textId="77777777" w:rsidR="002D5D78" w:rsidRDefault="002D5D78" w:rsidP="00587FA2">
            <w:pPr>
              <w:jc w:val="center"/>
              <w:cnfStyle w:val="000000100000" w:firstRow="0" w:lastRow="0" w:firstColumn="0" w:lastColumn="0" w:oddVBand="0" w:evenVBand="0" w:oddHBand="1" w:evenHBand="0" w:firstRowFirstColumn="0" w:firstRowLastColumn="0" w:lastRowFirstColumn="0" w:lastRowLastColumn="0"/>
            </w:pP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9EAD3"/>
          </w:tcPr>
          <w:p w14:paraId="03F28CC1" w14:textId="518FA6B2"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3C2992" w14:paraId="0ED530D1" w14:textId="77777777" w:rsidTr="006A051B">
        <w:trPr>
          <w:trHeight w:val="25"/>
        </w:trPr>
        <w:tc>
          <w:tcPr>
            <w:cnfStyle w:val="001000000000" w:firstRow="0" w:lastRow="0" w:firstColumn="1" w:lastColumn="0" w:oddVBand="0" w:evenVBand="0" w:oddHBand="0" w:evenHBand="0" w:firstRowFirstColumn="0" w:firstRowLastColumn="0" w:lastRowFirstColumn="0" w:lastRowLastColumn="0"/>
            <w:tcW w:w="338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44663003" w14:textId="05104880" w:rsidR="002D5D78" w:rsidRDefault="00587FA2" w:rsidP="00587FA2">
            <w:r>
              <w:t>Maesaengi</w:t>
            </w:r>
          </w:p>
        </w:tc>
        <w:tc>
          <w:tcPr>
            <w:tcW w:w="2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F4CBDAE" w14:textId="30AA8FA5" w:rsidR="002D5D78" w:rsidRPr="00587FA2" w:rsidRDefault="00587FA2" w:rsidP="00587FA2">
            <w:pPr>
              <w:cnfStyle w:val="000000000000" w:firstRow="0" w:lastRow="0" w:firstColumn="0" w:lastColumn="0" w:oddVBand="0" w:evenVBand="0" w:oddHBand="0" w:evenHBand="0" w:firstRowFirstColumn="0" w:firstRowLastColumn="0" w:lastRowFirstColumn="0" w:lastRowLastColumn="0"/>
              <w:rPr>
                <w:i/>
                <w:iCs/>
              </w:rPr>
            </w:pPr>
            <w:r w:rsidRPr="00587FA2">
              <w:rPr>
                <w:i/>
                <w:iCs/>
              </w:rPr>
              <w:t>Capsosiphon fulvescens</w:t>
            </w:r>
          </w:p>
        </w:tc>
        <w:tc>
          <w:tcPr>
            <w:tcW w:w="167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E1586D7" w14:textId="6DF391D1"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AE2BCA5" w14:textId="77777777" w:rsidR="002D5D78" w:rsidRDefault="002D5D78" w:rsidP="00587FA2">
            <w:pPr>
              <w:jc w:val="center"/>
              <w:cnfStyle w:val="000000000000" w:firstRow="0" w:lastRow="0" w:firstColumn="0" w:lastColumn="0" w:oddVBand="0" w:evenVBand="0" w:oddHBand="0" w:evenHBand="0" w:firstRowFirstColumn="0" w:firstRowLastColumn="0" w:lastRowFirstColumn="0" w:lastRowLastColumn="0"/>
            </w:pPr>
          </w:p>
        </w:tc>
        <w:tc>
          <w:tcPr>
            <w:tcW w:w="168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76BFE46" w14:textId="76C37F36"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506B8D8" w14:textId="77777777" w:rsidR="002D5D78" w:rsidRDefault="002D5D78" w:rsidP="00587FA2">
            <w:pPr>
              <w:jc w:val="center"/>
              <w:cnfStyle w:val="000000000000" w:firstRow="0" w:lastRow="0" w:firstColumn="0" w:lastColumn="0" w:oddVBand="0" w:evenVBand="0" w:oddHBand="0" w:evenHBand="0" w:firstRowFirstColumn="0" w:firstRowLastColumn="0" w:lastRowFirstColumn="0" w:lastRowLastColumn="0"/>
            </w:pP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5DEE0225" w14:textId="13DE487D"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54509C" w14:paraId="716A3D65" w14:textId="77777777" w:rsidTr="006A051B">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338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9EAD3"/>
          </w:tcPr>
          <w:p w14:paraId="23BE8091" w14:textId="3B469A80" w:rsidR="002D5D78" w:rsidRDefault="00587FA2" w:rsidP="00587FA2">
            <w:r>
              <w:t>Rooting Green Thread Weed</w:t>
            </w:r>
          </w:p>
        </w:tc>
        <w:tc>
          <w:tcPr>
            <w:tcW w:w="2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5E570ED2" w14:textId="13581426" w:rsidR="002D5D78" w:rsidRPr="00587FA2" w:rsidRDefault="00587FA2" w:rsidP="00587FA2">
            <w:pPr>
              <w:cnfStyle w:val="000000100000" w:firstRow="0" w:lastRow="0" w:firstColumn="0" w:lastColumn="0" w:oddVBand="0" w:evenVBand="0" w:oddHBand="1" w:evenHBand="0" w:firstRowFirstColumn="0" w:firstRowLastColumn="0" w:lastRowFirstColumn="0" w:lastRowLastColumn="0"/>
              <w:rPr>
                <w:i/>
                <w:iCs/>
              </w:rPr>
            </w:pPr>
            <w:r w:rsidRPr="00587FA2">
              <w:rPr>
                <w:i/>
                <w:iCs/>
              </w:rPr>
              <w:t>Rhizoclonium riparium</w:t>
            </w:r>
          </w:p>
        </w:tc>
        <w:tc>
          <w:tcPr>
            <w:tcW w:w="167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4CE06774" w14:textId="342E0161"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57EDACD3" w14:textId="77777777" w:rsidR="002D5D78" w:rsidRDefault="002D5D78" w:rsidP="00587FA2">
            <w:pPr>
              <w:jc w:val="center"/>
              <w:cnfStyle w:val="000000100000" w:firstRow="0" w:lastRow="0" w:firstColumn="0" w:lastColumn="0" w:oddVBand="0" w:evenVBand="0" w:oddHBand="1" w:evenHBand="0" w:firstRowFirstColumn="0" w:firstRowLastColumn="0" w:lastRowFirstColumn="0" w:lastRowLastColumn="0"/>
            </w:pPr>
          </w:p>
        </w:tc>
        <w:tc>
          <w:tcPr>
            <w:tcW w:w="168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540BF2C4" w14:textId="44F44349"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696D3A6B" w14:textId="77777777" w:rsidR="002D5D78" w:rsidRDefault="002D5D78" w:rsidP="00587FA2">
            <w:pPr>
              <w:jc w:val="center"/>
              <w:cnfStyle w:val="000000100000" w:firstRow="0" w:lastRow="0" w:firstColumn="0" w:lastColumn="0" w:oddVBand="0" w:evenVBand="0" w:oddHBand="1" w:evenHBand="0" w:firstRowFirstColumn="0" w:firstRowLastColumn="0" w:lastRowFirstColumn="0" w:lastRowLastColumn="0"/>
            </w:pP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9EAD3"/>
          </w:tcPr>
          <w:p w14:paraId="1E670652" w14:textId="1F657FA3"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3C2992" w14:paraId="38DC8090" w14:textId="77777777" w:rsidTr="006A051B">
        <w:trPr>
          <w:trHeight w:val="44"/>
        </w:trPr>
        <w:tc>
          <w:tcPr>
            <w:cnfStyle w:val="001000000000" w:firstRow="0" w:lastRow="0" w:firstColumn="1" w:lastColumn="0" w:oddVBand="0" w:evenVBand="0" w:oddHBand="0" w:evenHBand="0" w:firstRowFirstColumn="0" w:firstRowLastColumn="0" w:lastRowFirstColumn="0" w:lastRowLastColumn="0"/>
            <w:tcW w:w="338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75BF3B01" w14:textId="618451CA" w:rsidR="002D5D78" w:rsidRDefault="00587FA2" w:rsidP="00587FA2">
            <w:r>
              <w:t>Sea Grape</w:t>
            </w:r>
          </w:p>
        </w:tc>
        <w:tc>
          <w:tcPr>
            <w:tcW w:w="2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4477B7E" w14:textId="10FBDEE3" w:rsidR="002D5D78" w:rsidRPr="00587FA2" w:rsidRDefault="00587FA2" w:rsidP="00587FA2">
            <w:pPr>
              <w:cnfStyle w:val="000000000000" w:firstRow="0" w:lastRow="0" w:firstColumn="0" w:lastColumn="0" w:oddVBand="0" w:evenVBand="0" w:oddHBand="0" w:evenHBand="0" w:firstRowFirstColumn="0" w:firstRowLastColumn="0" w:lastRowFirstColumn="0" w:lastRowLastColumn="0"/>
              <w:rPr>
                <w:i/>
                <w:iCs/>
              </w:rPr>
            </w:pPr>
            <w:r w:rsidRPr="00587FA2">
              <w:rPr>
                <w:i/>
                <w:iCs/>
              </w:rPr>
              <w:t>Caulerpa spp.</w:t>
            </w:r>
          </w:p>
        </w:tc>
        <w:tc>
          <w:tcPr>
            <w:tcW w:w="167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5595A6F" w14:textId="63F7A2DA"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FEEF6A4" w14:textId="77777777" w:rsidR="002D5D78" w:rsidRDefault="002D5D78" w:rsidP="00587FA2">
            <w:pPr>
              <w:jc w:val="center"/>
              <w:cnfStyle w:val="000000000000" w:firstRow="0" w:lastRow="0" w:firstColumn="0" w:lastColumn="0" w:oddVBand="0" w:evenVBand="0" w:oddHBand="0" w:evenHBand="0" w:firstRowFirstColumn="0" w:firstRowLastColumn="0" w:lastRowFirstColumn="0" w:lastRowLastColumn="0"/>
            </w:pPr>
          </w:p>
        </w:tc>
        <w:tc>
          <w:tcPr>
            <w:tcW w:w="168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D78D2C3" w14:textId="69C62D58"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F3A4CDF" w14:textId="77777777" w:rsidR="002D5D78" w:rsidRDefault="002D5D78" w:rsidP="00587FA2">
            <w:pPr>
              <w:jc w:val="center"/>
              <w:cnfStyle w:val="000000000000" w:firstRow="0" w:lastRow="0" w:firstColumn="0" w:lastColumn="0" w:oddVBand="0" w:evenVBand="0" w:oddHBand="0" w:evenHBand="0" w:firstRowFirstColumn="0" w:firstRowLastColumn="0" w:lastRowFirstColumn="0" w:lastRowLastColumn="0"/>
            </w:pP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3AA3CC2C" w14:textId="7BB9BBC5"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54509C" w14:paraId="44260AEE" w14:textId="77777777" w:rsidTr="006A051B">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338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9EAD3"/>
          </w:tcPr>
          <w:p w14:paraId="7E3CE036" w14:textId="35C57AA0" w:rsidR="002D5D78" w:rsidRDefault="00587FA2" w:rsidP="00587FA2">
            <w:r>
              <w:t>Sea Grape</w:t>
            </w:r>
          </w:p>
        </w:tc>
        <w:tc>
          <w:tcPr>
            <w:tcW w:w="2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007277E6" w14:textId="2F8186EA" w:rsidR="002D5D78" w:rsidRPr="00587FA2" w:rsidRDefault="00587FA2" w:rsidP="00587FA2">
            <w:pPr>
              <w:cnfStyle w:val="000000100000" w:firstRow="0" w:lastRow="0" w:firstColumn="0" w:lastColumn="0" w:oddVBand="0" w:evenVBand="0" w:oddHBand="1" w:evenHBand="0" w:firstRowFirstColumn="0" w:firstRowLastColumn="0" w:lastRowFirstColumn="0" w:lastRowLastColumn="0"/>
              <w:rPr>
                <w:i/>
                <w:iCs/>
              </w:rPr>
            </w:pPr>
            <w:r w:rsidRPr="00587FA2">
              <w:rPr>
                <w:i/>
                <w:iCs/>
              </w:rPr>
              <w:t>Caulerpa racemosa</w:t>
            </w:r>
          </w:p>
        </w:tc>
        <w:tc>
          <w:tcPr>
            <w:tcW w:w="167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426E64D5" w14:textId="2E2F8360"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201F14A7" w14:textId="77777777" w:rsidR="002D5D78" w:rsidRDefault="002D5D78" w:rsidP="00587FA2">
            <w:pPr>
              <w:jc w:val="center"/>
              <w:cnfStyle w:val="000000100000" w:firstRow="0" w:lastRow="0" w:firstColumn="0" w:lastColumn="0" w:oddVBand="0" w:evenVBand="0" w:oddHBand="1" w:evenHBand="0" w:firstRowFirstColumn="0" w:firstRowLastColumn="0" w:lastRowFirstColumn="0" w:lastRowLastColumn="0"/>
            </w:pPr>
          </w:p>
        </w:tc>
        <w:tc>
          <w:tcPr>
            <w:tcW w:w="168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6367FE5E" w14:textId="72C68366"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279642BA" w14:textId="77777777" w:rsidR="002D5D78" w:rsidRDefault="002D5D78" w:rsidP="00587FA2">
            <w:pPr>
              <w:jc w:val="center"/>
              <w:cnfStyle w:val="000000100000" w:firstRow="0" w:lastRow="0" w:firstColumn="0" w:lastColumn="0" w:oddVBand="0" w:evenVBand="0" w:oddHBand="1" w:evenHBand="0" w:firstRowFirstColumn="0" w:firstRowLastColumn="0" w:lastRowFirstColumn="0" w:lastRowLastColumn="0"/>
            </w:pP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9EAD3"/>
          </w:tcPr>
          <w:p w14:paraId="4A8AA699" w14:textId="382B99D8"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3C2992" w14:paraId="00F861D4" w14:textId="77777777" w:rsidTr="006A051B">
        <w:trPr>
          <w:trHeight w:val="224"/>
        </w:trPr>
        <w:tc>
          <w:tcPr>
            <w:cnfStyle w:val="001000000000" w:firstRow="0" w:lastRow="0" w:firstColumn="1" w:lastColumn="0" w:oddVBand="0" w:evenVBand="0" w:oddHBand="0" w:evenHBand="0" w:firstRowFirstColumn="0" w:firstRowLastColumn="0" w:lastRowFirstColumn="0" w:lastRowLastColumn="0"/>
            <w:tcW w:w="338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027E3404" w14:textId="0FA9C744" w:rsidR="002D5D78" w:rsidRDefault="00587FA2" w:rsidP="00587FA2">
            <w:r>
              <w:t>Sea Lettuce</w:t>
            </w:r>
          </w:p>
        </w:tc>
        <w:tc>
          <w:tcPr>
            <w:tcW w:w="2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E9E31FA" w14:textId="0730F8AC" w:rsidR="002D5D78" w:rsidRPr="00587FA2" w:rsidRDefault="00587FA2" w:rsidP="00587FA2">
            <w:pPr>
              <w:cnfStyle w:val="000000000000" w:firstRow="0" w:lastRow="0" w:firstColumn="0" w:lastColumn="0" w:oddVBand="0" w:evenVBand="0" w:oddHBand="0" w:evenHBand="0" w:firstRowFirstColumn="0" w:firstRowLastColumn="0" w:lastRowFirstColumn="0" w:lastRowLastColumn="0"/>
              <w:rPr>
                <w:i/>
                <w:iCs/>
              </w:rPr>
            </w:pPr>
            <w:r w:rsidRPr="00587FA2">
              <w:rPr>
                <w:i/>
                <w:iCs/>
              </w:rPr>
              <w:t xml:space="preserve">Ulva </w:t>
            </w:r>
            <w:r w:rsidRPr="003C2992">
              <w:t>s</w:t>
            </w:r>
            <w:r w:rsidR="003C2992" w:rsidRPr="003C2992">
              <w:t>pecies</w:t>
            </w:r>
          </w:p>
        </w:tc>
        <w:tc>
          <w:tcPr>
            <w:tcW w:w="167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5F02A53" w14:textId="6FCFCF37"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9948F36" w14:textId="77777777" w:rsidR="002D5D78" w:rsidRDefault="002D5D78" w:rsidP="00587FA2">
            <w:pPr>
              <w:jc w:val="center"/>
              <w:cnfStyle w:val="000000000000" w:firstRow="0" w:lastRow="0" w:firstColumn="0" w:lastColumn="0" w:oddVBand="0" w:evenVBand="0" w:oddHBand="0" w:evenHBand="0" w:firstRowFirstColumn="0" w:firstRowLastColumn="0" w:lastRowFirstColumn="0" w:lastRowLastColumn="0"/>
            </w:pPr>
          </w:p>
        </w:tc>
        <w:tc>
          <w:tcPr>
            <w:tcW w:w="168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346FB62" w14:textId="44ABD89D"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526C6AD" w14:textId="77777777" w:rsidR="002D5D78" w:rsidRDefault="002D5D78" w:rsidP="00587FA2">
            <w:pPr>
              <w:jc w:val="center"/>
              <w:cnfStyle w:val="000000000000" w:firstRow="0" w:lastRow="0" w:firstColumn="0" w:lastColumn="0" w:oddVBand="0" w:evenVBand="0" w:oddHBand="0" w:evenHBand="0" w:firstRowFirstColumn="0" w:firstRowLastColumn="0" w:lastRowFirstColumn="0" w:lastRowLastColumn="0"/>
            </w:pP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1BA0C027" w14:textId="5294F944"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54509C" w14:paraId="41EA4009" w14:textId="77777777" w:rsidTr="006A051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38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9EAD3"/>
          </w:tcPr>
          <w:p w14:paraId="53CDA455" w14:textId="520DB7E9" w:rsidR="002D5D78" w:rsidRDefault="00587FA2" w:rsidP="00587FA2">
            <w:r>
              <w:t>Sea Lettuce</w:t>
            </w:r>
          </w:p>
        </w:tc>
        <w:tc>
          <w:tcPr>
            <w:tcW w:w="2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13263211" w14:textId="4F1B888B" w:rsidR="002D5D78" w:rsidRPr="00587FA2" w:rsidRDefault="00587FA2" w:rsidP="00587FA2">
            <w:pPr>
              <w:cnfStyle w:val="000000100000" w:firstRow="0" w:lastRow="0" w:firstColumn="0" w:lastColumn="0" w:oddVBand="0" w:evenVBand="0" w:oddHBand="1" w:evenHBand="0" w:firstRowFirstColumn="0" w:firstRowLastColumn="0" w:lastRowFirstColumn="0" w:lastRowLastColumn="0"/>
              <w:rPr>
                <w:i/>
                <w:iCs/>
              </w:rPr>
            </w:pPr>
            <w:r w:rsidRPr="00587FA2">
              <w:rPr>
                <w:i/>
                <w:iCs/>
              </w:rPr>
              <w:t>Ulva lactuca</w:t>
            </w:r>
          </w:p>
        </w:tc>
        <w:tc>
          <w:tcPr>
            <w:tcW w:w="167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3B5B654E" w14:textId="124D6CEA"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3C4A44D7" w14:textId="77777777" w:rsidR="002D5D78" w:rsidRDefault="002D5D78" w:rsidP="00587FA2">
            <w:pPr>
              <w:jc w:val="center"/>
              <w:cnfStyle w:val="000000100000" w:firstRow="0" w:lastRow="0" w:firstColumn="0" w:lastColumn="0" w:oddVBand="0" w:evenVBand="0" w:oddHBand="1" w:evenHBand="0" w:firstRowFirstColumn="0" w:firstRowLastColumn="0" w:lastRowFirstColumn="0" w:lastRowLastColumn="0"/>
            </w:pPr>
          </w:p>
        </w:tc>
        <w:tc>
          <w:tcPr>
            <w:tcW w:w="168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083FCE57" w14:textId="0FA1E2EB"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12DB981B" w14:textId="77777777" w:rsidR="002D5D78" w:rsidRDefault="002D5D78" w:rsidP="00587FA2">
            <w:pPr>
              <w:jc w:val="center"/>
              <w:cnfStyle w:val="000000100000" w:firstRow="0" w:lastRow="0" w:firstColumn="0" w:lastColumn="0" w:oddVBand="0" w:evenVBand="0" w:oddHBand="1" w:evenHBand="0" w:firstRowFirstColumn="0" w:firstRowLastColumn="0" w:lastRowFirstColumn="0" w:lastRowLastColumn="0"/>
            </w:pP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9EAD3"/>
          </w:tcPr>
          <w:p w14:paraId="0D66F5A4" w14:textId="4D9119BB" w:rsidR="002D5D78"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3C2992" w14:paraId="25D8B03B" w14:textId="77777777" w:rsidTr="006A051B">
        <w:trPr>
          <w:trHeight w:val="296"/>
        </w:trPr>
        <w:tc>
          <w:tcPr>
            <w:cnfStyle w:val="001000000000" w:firstRow="0" w:lastRow="0" w:firstColumn="1" w:lastColumn="0" w:oddVBand="0" w:evenVBand="0" w:oddHBand="0" w:evenHBand="0" w:firstRowFirstColumn="0" w:firstRowLastColumn="0" w:lastRowFirstColumn="0" w:lastRowLastColumn="0"/>
            <w:tcW w:w="338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52A78098" w14:textId="33C0943F" w:rsidR="002D5D78" w:rsidRDefault="00587FA2" w:rsidP="00587FA2">
            <w:r>
              <w:t>Slender Sea Lettuce</w:t>
            </w:r>
          </w:p>
        </w:tc>
        <w:tc>
          <w:tcPr>
            <w:tcW w:w="2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EFD3390" w14:textId="475C7412" w:rsidR="002D5D78" w:rsidRPr="00587FA2" w:rsidRDefault="00587FA2" w:rsidP="00587FA2">
            <w:pPr>
              <w:cnfStyle w:val="000000000000" w:firstRow="0" w:lastRow="0" w:firstColumn="0" w:lastColumn="0" w:oddVBand="0" w:evenVBand="0" w:oddHBand="0" w:evenHBand="0" w:firstRowFirstColumn="0" w:firstRowLastColumn="0" w:lastRowFirstColumn="0" w:lastRowLastColumn="0"/>
              <w:rPr>
                <w:i/>
                <w:iCs/>
              </w:rPr>
            </w:pPr>
            <w:r w:rsidRPr="00587FA2">
              <w:rPr>
                <w:i/>
                <w:iCs/>
              </w:rPr>
              <w:t>Ulva linza (Ulva fasciata)</w:t>
            </w:r>
          </w:p>
        </w:tc>
        <w:tc>
          <w:tcPr>
            <w:tcW w:w="167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2B00E2D" w14:textId="3F581145"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71CBFB8" w14:textId="77777777" w:rsidR="002D5D78" w:rsidRDefault="002D5D78" w:rsidP="00587FA2">
            <w:pPr>
              <w:jc w:val="center"/>
              <w:cnfStyle w:val="000000000000" w:firstRow="0" w:lastRow="0" w:firstColumn="0" w:lastColumn="0" w:oddVBand="0" w:evenVBand="0" w:oddHBand="0" w:evenHBand="0" w:firstRowFirstColumn="0" w:firstRowLastColumn="0" w:lastRowFirstColumn="0" w:lastRowLastColumn="0"/>
            </w:pPr>
          </w:p>
        </w:tc>
        <w:tc>
          <w:tcPr>
            <w:tcW w:w="168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4F3DAD9" w14:textId="508B09B7"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A1F8AFB" w14:textId="77777777" w:rsidR="002D5D78" w:rsidRDefault="002D5D78" w:rsidP="00587FA2">
            <w:pPr>
              <w:jc w:val="center"/>
              <w:cnfStyle w:val="000000000000" w:firstRow="0" w:lastRow="0" w:firstColumn="0" w:lastColumn="0" w:oddVBand="0" w:evenVBand="0" w:oddHBand="0" w:evenHBand="0" w:firstRowFirstColumn="0" w:firstRowLastColumn="0" w:lastRowFirstColumn="0" w:lastRowLastColumn="0"/>
            </w:pP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772371FB" w14:textId="4DCD06F7" w:rsidR="002D5D78"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r w:rsidR="0054509C" w14:paraId="1ABA473B" w14:textId="77777777" w:rsidTr="006A051B">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338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D9EAD3"/>
          </w:tcPr>
          <w:p w14:paraId="297703BB" w14:textId="6228510B" w:rsidR="00587FA2" w:rsidRDefault="00587FA2" w:rsidP="00587FA2">
            <w:r>
              <w:t>Stiff Sea Lettuce</w:t>
            </w:r>
          </w:p>
        </w:tc>
        <w:tc>
          <w:tcPr>
            <w:tcW w:w="2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55D6D5BA" w14:textId="189FA6A8" w:rsidR="00587FA2" w:rsidRPr="00587FA2" w:rsidRDefault="00587FA2" w:rsidP="00587FA2">
            <w:pPr>
              <w:cnfStyle w:val="000000100000" w:firstRow="0" w:lastRow="0" w:firstColumn="0" w:lastColumn="0" w:oddVBand="0" w:evenVBand="0" w:oddHBand="1" w:evenHBand="0" w:firstRowFirstColumn="0" w:firstRowLastColumn="0" w:lastRowFirstColumn="0" w:lastRowLastColumn="0"/>
              <w:rPr>
                <w:i/>
                <w:iCs/>
              </w:rPr>
            </w:pPr>
            <w:r w:rsidRPr="00587FA2">
              <w:rPr>
                <w:i/>
                <w:iCs/>
              </w:rPr>
              <w:t>Ulva rigida</w:t>
            </w:r>
          </w:p>
        </w:tc>
        <w:tc>
          <w:tcPr>
            <w:tcW w:w="167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2DD234A3" w14:textId="309B49C0" w:rsidR="00587FA2"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743A128D" w14:textId="77777777" w:rsidR="00587FA2" w:rsidRDefault="00587FA2" w:rsidP="00587FA2">
            <w:pPr>
              <w:jc w:val="center"/>
              <w:cnfStyle w:val="000000100000" w:firstRow="0" w:lastRow="0" w:firstColumn="0" w:lastColumn="0" w:oddVBand="0" w:evenVBand="0" w:oddHBand="1" w:evenHBand="0" w:firstRowFirstColumn="0" w:firstRowLastColumn="0" w:lastRowFirstColumn="0" w:lastRowLastColumn="0"/>
            </w:pPr>
          </w:p>
        </w:tc>
        <w:tc>
          <w:tcPr>
            <w:tcW w:w="168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72E6940B" w14:textId="0100A21A" w:rsidR="00587FA2"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c>
          <w:tcPr>
            <w:tcW w:w="166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D9EAD3"/>
          </w:tcPr>
          <w:p w14:paraId="12CA6EB2" w14:textId="77777777" w:rsidR="00587FA2" w:rsidRDefault="00587FA2" w:rsidP="00587FA2">
            <w:pPr>
              <w:jc w:val="center"/>
              <w:cnfStyle w:val="000000100000" w:firstRow="0" w:lastRow="0" w:firstColumn="0" w:lastColumn="0" w:oddVBand="0" w:evenVBand="0" w:oddHBand="1" w:evenHBand="0" w:firstRowFirstColumn="0" w:firstRowLastColumn="0" w:lastRowFirstColumn="0" w:lastRowLastColumn="0"/>
            </w:pPr>
          </w:p>
        </w:tc>
        <w:tc>
          <w:tcPr>
            <w:tcW w:w="1671"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D9EAD3"/>
          </w:tcPr>
          <w:p w14:paraId="7B057083" w14:textId="5F3D4D58" w:rsidR="00587FA2" w:rsidRPr="00587FA2" w:rsidRDefault="00587FA2" w:rsidP="00587FA2">
            <w:pPr>
              <w:jc w:val="center"/>
              <w:cnfStyle w:val="000000100000" w:firstRow="0" w:lastRow="0" w:firstColumn="0" w:lastColumn="0" w:oddVBand="0" w:evenVBand="0" w:oddHBand="1" w:evenHBand="0" w:firstRowFirstColumn="0" w:firstRowLastColumn="0" w:lastRowFirstColumn="0" w:lastRowLastColumn="0"/>
              <w:rPr>
                <w:b/>
                <w:bCs/>
              </w:rPr>
            </w:pPr>
            <w:r w:rsidRPr="00587FA2">
              <w:rPr>
                <w:rFonts w:ascii="Wingdings" w:hAnsi="Wingdings" w:cs="Calibri"/>
                <w:b/>
                <w:bCs/>
              </w:rPr>
              <w:t>ü</w:t>
            </w:r>
          </w:p>
        </w:tc>
      </w:tr>
      <w:tr w:rsidR="003C2992" w14:paraId="613769DE" w14:textId="77777777" w:rsidTr="006A051B">
        <w:trPr>
          <w:trHeight w:val="296"/>
        </w:trPr>
        <w:tc>
          <w:tcPr>
            <w:cnfStyle w:val="001000000000" w:firstRow="0" w:lastRow="0" w:firstColumn="1" w:lastColumn="0" w:oddVBand="0" w:evenVBand="0" w:oddHBand="0" w:evenHBand="0" w:firstRowFirstColumn="0" w:firstRowLastColumn="0" w:lastRowFirstColumn="0" w:lastRowLastColumn="0"/>
            <w:tcW w:w="3385" w:type="dxa"/>
            <w:tcBorders>
              <w:top w:val="single" w:sz="6" w:space="0" w:color="0D0D0D" w:themeColor="text1" w:themeTint="F2"/>
              <w:left w:val="single" w:sz="12" w:space="0" w:color="0D0D0D" w:themeColor="text1" w:themeTint="F2"/>
              <w:bottom w:val="single" w:sz="12" w:space="0" w:color="0D0D0D" w:themeColor="text1" w:themeTint="F2"/>
              <w:right w:val="single" w:sz="6" w:space="0" w:color="0D0D0D" w:themeColor="text1" w:themeTint="F2"/>
            </w:tcBorders>
          </w:tcPr>
          <w:p w14:paraId="66FB7E65" w14:textId="63A99759" w:rsidR="00587FA2" w:rsidRPr="00587FA2" w:rsidRDefault="00587FA2" w:rsidP="00587FA2">
            <w:pPr>
              <w:rPr>
                <w:i/>
                <w:iCs/>
              </w:rPr>
            </w:pPr>
            <w:r w:rsidRPr="00587FA2">
              <w:rPr>
                <w:i/>
                <w:iCs/>
              </w:rPr>
              <w:t>Ulva prolifera</w:t>
            </w:r>
          </w:p>
        </w:tc>
        <w:tc>
          <w:tcPr>
            <w:tcW w:w="2661" w:type="dxa"/>
            <w:tcBorders>
              <w:top w:val="single" w:sz="6" w:space="0" w:color="0D0D0D" w:themeColor="text1" w:themeTint="F2"/>
              <w:left w:val="single" w:sz="6" w:space="0" w:color="0D0D0D" w:themeColor="text1" w:themeTint="F2"/>
              <w:bottom w:val="single" w:sz="12" w:space="0" w:color="0D0D0D" w:themeColor="text1" w:themeTint="F2"/>
              <w:right w:val="single" w:sz="6" w:space="0" w:color="0D0D0D" w:themeColor="text1" w:themeTint="F2"/>
            </w:tcBorders>
          </w:tcPr>
          <w:p w14:paraId="592CC3BA" w14:textId="45A42DB8" w:rsidR="00587FA2" w:rsidRPr="00587FA2" w:rsidRDefault="00587FA2" w:rsidP="00587FA2">
            <w:pPr>
              <w:cnfStyle w:val="000000000000" w:firstRow="0" w:lastRow="0" w:firstColumn="0" w:lastColumn="0" w:oddVBand="0" w:evenVBand="0" w:oddHBand="0" w:evenHBand="0" w:firstRowFirstColumn="0" w:firstRowLastColumn="0" w:lastRowFirstColumn="0" w:lastRowLastColumn="0"/>
              <w:rPr>
                <w:i/>
                <w:iCs/>
              </w:rPr>
            </w:pPr>
            <w:r w:rsidRPr="00587FA2">
              <w:rPr>
                <w:i/>
                <w:iCs/>
              </w:rPr>
              <w:t>Ulva prolifera</w:t>
            </w:r>
          </w:p>
        </w:tc>
        <w:tc>
          <w:tcPr>
            <w:tcW w:w="1670" w:type="dxa"/>
            <w:tcBorders>
              <w:top w:val="single" w:sz="6" w:space="0" w:color="0D0D0D" w:themeColor="text1" w:themeTint="F2"/>
              <w:left w:val="single" w:sz="6" w:space="0" w:color="0D0D0D" w:themeColor="text1" w:themeTint="F2"/>
              <w:bottom w:val="single" w:sz="12" w:space="0" w:color="0D0D0D" w:themeColor="text1" w:themeTint="F2"/>
              <w:right w:val="single" w:sz="6" w:space="0" w:color="0D0D0D" w:themeColor="text1" w:themeTint="F2"/>
            </w:tcBorders>
          </w:tcPr>
          <w:p w14:paraId="255DAB03" w14:textId="506921BE" w:rsidR="00587FA2"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71" w:type="dxa"/>
            <w:tcBorders>
              <w:top w:val="single" w:sz="6" w:space="0" w:color="0D0D0D" w:themeColor="text1" w:themeTint="F2"/>
              <w:left w:val="single" w:sz="6" w:space="0" w:color="0D0D0D" w:themeColor="text1" w:themeTint="F2"/>
              <w:bottom w:val="single" w:sz="12" w:space="0" w:color="0D0D0D" w:themeColor="text1" w:themeTint="F2"/>
              <w:right w:val="single" w:sz="6" w:space="0" w:color="0D0D0D" w:themeColor="text1" w:themeTint="F2"/>
            </w:tcBorders>
          </w:tcPr>
          <w:p w14:paraId="15764FE9" w14:textId="77777777" w:rsidR="00587FA2" w:rsidRDefault="00587FA2" w:rsidP="00587FA2">
            <w:pPr>
              <w:jc w:val="center"/>
              <w:cnfStyle w:val="000000000000" w:firstRow="0" w:lastRow="0" w:firstColumn="0" w:lastColumn="0" w:oddVBand="0" w:evenVBand="0" w:oddHBand="0" w:evenHBand="0" w:firstRowFirstColumn="0" w:firstRowLastColumn="0" w:lastRowFirstColumn="0" w:lastRowLastColumn="0"/>
            </w:pPr>
          </w:p>
        </w:tc>
        <w:tc>
          <w:tcPr>
            <w:tcW w:w="1681" w:type="dxa"/>
            <w:tcBorders>
              <w:top w:val="single" w:sz="6" w:space="0" w:color="0D0D0D" w:themeColor="text1" w:themeTint="F2"/>
              <w:left w:val="single" w:sz="6" w:space="0" w:color="0D0D0D" w:themeColor="text1" w:themeTint="F2"/>
              <w:bottom w:val="single" w:sz="12" w:space="0" w:color="0D0D0D" w:themeColor="text1" w:themeTint="F2"/>
              <w:right w:val="single" w:sz="6" w:space="0" w:color="0D0D0D" w:themeColor="text1" w:themeTint="F2"/>
            </w:tcBorders>
          </w:tcPr>
          <w:p w14:paraId="76E44B7F" w14:textId="10577326" w:rsidR="00587FA2"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c>
          <w:tcPr>
            <w:tcW w:w="1661" w:type="dxa"/>
            <w:tcBorders>
              <w:top w:val="single" w:sz="6" w:space="0" w:color="0D0D0D" w:themeColor="text1" w:themeTint="F2"/>
              <w:left w:val="single" w:sz="6" w:space="0" w:color="0D0D0D" w:themeColor="text1" w:themeTint="F2"/>
              <w:bottom w:val="single" w:sz="12" w:space="0" w:color="0D0D0D" w:themeColor="text1" w:themeTint="F2"/>
              <w:right w:val="single" w:sz="6" w:space="0" w:color="0D0D0D" w:themeColor="text1" w:themeTint="F2"/>
            </w:tcBorders>
          </w:tcPr>
          <w:p w14:paraId="2F314DA2" w14:textId="77777777" w:rsidR="00587FA2" w:rsidRDefault="00587FA2" w:rsidP="00587FA2">
            <w:pPr>
              <w:jc w:val="center"/>
              <w:cnfStyle w:val="000000000000" w:firstRow="0" w:lastRow="0" w:firstColumn="0" w:lastColumn="0" w:oddVBand="0" w:evenVBand="0" w:oddHBand="0" w:evenHBand="0" w:firstRowFirstColumn="0" w:firstRowLastColumn="0" w:lastRowFirstColumn="0" w:lastRowLastColumn="0"/>
            </w:pPr>
          </w:p>
        </w:tc>
        <w:tc>
          <w:tcPr>
            <w:tcW w:w="1671" w:type="dxa"/>
            <w:tcBorders>
              <w:top w:val="single" w:sz="6" w:space="0" w:color="0D0D0D" w:themeColor="text1" w:themeTint="F2"/>
              <w:left w:val="single" w:sz="6" w:space="0" w:color="0D0D0D" w:themeColor="text1" w:themeTint="F2"/>
              <w:bottom w:val="single" w:sz="12" w:space="0" w:color="0D0D0D" w:themeColor="text1" w:themeTint="F2"/>
              <w:right w:val="single" w:sz="12" w:space="0" w:color="0D0D0D" w:themeColor="text1" w:themeTint="F2"/>
            </w:tcBorders>
          </w:tcPr>
          <w:p w14:paraId="117C1B7E" w14:textId="05E93906" w:rsidR="00587FA2" w:rsidRPr="00587FA2" w:rsidRDefault="00587FA2" w:rsidP="00587FA2">
            <w:pPr>
              <w:jc w:val="center"/>
              <w:cnfStyle w:val="000000000000" w:firstRow="0" w:lastRow="0" w:firstColumn="0" w:lastColumn="0" w:oddVBand="0" w:evenVBand="0" w:oddHBand="0" w:evenHBand="0" w:firstRowFirstColumn="0" w:firstRowLastColumn="0" w:lastRowFirstColumn="0" w:lastRowLastColumn="0"/>
              <w:rPr>
                <w:b/>
                <w:bCs/>
              </w:rPr>
            </w:pPr>
            <w:r w:rsidRPr="00587FA2">
              <w:rPr>
                <w:rFonts w:ascii="Wingdings" w:hAnsi="Wingdings" w:cs="Calibri"/>
                <w:b/>
                <w:bCs/>
              </w:rPr>
              <w:t>ü</w:t>
            </w:r>
          </w:p>
        </w:tc>
      </w:tr>
    </w:tbl>
    <w:p w14:paraId="23AE0E81" w14:textId="1728B3C7" w:rsidR="009148A3" w:rsidRPr="009148A3" w:rsidRDefault="009148A3" w:rsidP="00FF2014">
      <w:r>
        <w:br w:type="page"/>
      </w:r>
    </w:p>
    <w:p w14:paraId="011516D9" w14:textId="1AB9FAEC" w:rsidR="00FF2014" w:rsidRDefault="00045395" w:rsidP="00C54E07">
      <w:pPr>
        <w:pStyle w:val="Caption"/>
      </w:pPr>
      <w:r w:rsidRPr="00045395">
        <w:rPr>
          <w:b/>
          <w:bCs/>
        </w:rPr>
        <w:lastRenderedPageBreak/>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4</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3</w:t>
      </w:r>
      <w:r w:rsidR="00896F22">
        <w:rPr>
          <w:b/>
          <w:bCs/>
        </w:rPr>
        <w:fldChar w:fldCharType="end"/>
      </w:r>
      <w:r w:rsidRPr="00045395">
        <w:rPr>
          <w:b/>
          <w:bCs/>
        </w:rPr>
        <w:t>:</w:t>
      </w:r>
      <w:r>
        <w:t xml:space="preserve"> </w:t>
      </w:r>
      <w:r w:rsidRPr="00B302FC">
        <w:t>Species-related seaweed hazards for edible red seaweeds known to be used for human consumption.</w:t>
      </w:r>
    </w:p>
    <w:tbl>
      <w:tblPr>
        <w:tblStyle w:val="GridTable4"/>
        <w:tblW w:w="14405" w:type="dxa"/>
        <w:jc w:val="center"/>
        <w:tblLook w:val="04A0" w:firstRow="1" w:lastRow="0" w:firstColumn="1" w:lastColumn="0" w:noHBand="0" w:noVBand="1"/>
      </w:tblPr>
      <w:tblGrid>
        <w:gridCol w:w="3145"/>
        <w:gridCol w:w="2790"/>
        <w:gridCol w:w="1766"/>
        <w:gridCol w:w="1676"/>
        <w:gridCol w:w="1676"/>
        <w:gridCol w:w="1676"/>
        <w:gridCol w:w="1676"/>
      </w:tblGrid>
      <w:tr w:rsidR="00FF2014" w14:paraId="028C3109" w14:textId="77777777" w:rsidTr="006A051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12"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AE372D"/>
            <w:vAlign w:val="center"/>
          </w:tcPr>
          <w:p w14:paraId="34697B9C" w14:textId="535C3A91" w:rsidR="006B45DF" w:rsidRDefault="006B45DF" w:rsidP="00FF2014">
            <w:r w:rsidRPr="002D5D78">
              <w:t>Common Name/ Scientific Name</w:t>
            </w:r>
          </w:p>
        </w:tc>
        <w:tc>
          <w:tcPr>
            <w:tcW w:w="2790" w:type="dxa"/>
            <w:tcBorders>
              <w:top w:val="single" w:sz="1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AE372D"/>
            <w:vAlign w:val="center"/>
          </w:tcPr>
          <w:p w14:paraId="4DB7DF52" w14:textId="143FAB9D" w:rsidR="006B45DF" w:rsidRDefault="006B45DF" w:rsidP="00FF2014">
            <w:pPr>
              <w:cnfStyle w:val="100000000000" w:firstRow="1" w:lastRow="0" w:firstColumn="0" w:lastColumn="0" w:oddVBand="0" w:evenVBand="0" w:oddHBand="0" w:evenHBand="0" w:firstRowFirstColumn="0" w:firstRowLastColumn="0" w:lastRowFirstColumn="0" w:lastRowLastColumn="0"/>
            </w:pPr>
            <w:r w:rsidRPr="002D5D78">
              <w:t>Scientific Name</w:t>
            </w:r>
          </w:p>
        </w:tc>
        <w:tc>
          <w:tcPr>
            <w:tcW w:w="1766" w:type="dxa"/>
            <w:tcBorders>
              <w:top w:val="single" w:sz="1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AE372D"/>
            <w:vAlign w:val="center"/>
          </w:tcPr>
          <w:p w14:paraId="69A75ED4" w14:textId="3EB21186" w:rsidR="006B45DF" w:rsidRPr="009148A3" w:rsidRDefault="006B45DF" w:rsidP="00FF2014">
            <w:pPr>
              <w:cnfStyle w:val="100000000000" w:firstRow="1" w:lastRow="0" w:firstColumn="0" w:lastColumn="0" w:oddVBand="0" w:evenVBand="0" w:oddHBand="0" w:evenHBand="0" w:firstRowFirstColumn="0" w:firstRowLastColumn="0" w:lastRowFirstColumn="0" w:lastRowLastColumn="0"/>
              <w:rPr>
                <w:b w:val="0"/>
                <w:bCs w:val="0"/>
                <w:vertAlign w:val="superscript"/>
              </w:rPr>
            </w:pPr>
            <w:r w:rsidRPr="002D5D78">
              <w:t>Pathogens</w:t>
            </w:r>
            <w:r w:rsidR="00FF2014">
              <w:rPr>
                <w:rStyle w:val="FootnoteReference"/>
              </w:rPr>
              <w:footnoteReference w:customMarkFollows="1" w:id="20"/>
              <w:t>1</w:t>
            </w:r>
            <w:r w:rsidRPr="002D5D78">
              <w:t xml:space="preserve"> in Harvest Area</w:t>
            </w:r>
          </w:p>
          <w:p w14:paraId="21FF29DA" w14:textId="54EDDF14" w:rsidR="006B45DF" w:rsidRDefault="006B45DF" w:rsidP="00FF2014">
            <w:pPr>
              <w:cnfStyle w:val="100000000000" w:firstRow="1" w:lastRow="0" w:firstColumn="0" w:lastColumn="0" w:oddVBand="0" w:evenVBand="0" w:oddHBand="0" w:evenHBand="0" w:firstRowFirstColumn="0" w:firstRowLastColumn="0" w:lastRowFirstColumn="0" w:lastRowLastColumn="0"/>
            </w:pPr>
            <w:r w:rsidRPr="002D5D78">
              <w:t>Chapter 5</w:t>
            </w:r>
          </w:p>
        </w:tc>
        <w:tc>
          <w:tcPr>
            <w:tcW w:w="1676" w:type="dxa"/>
            <w:tcBorders>
              <w:top w:val="single" w:sz="1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AE372D"/>
            <w:vAlign w:val="center"/>
          </w:tcPr>
          <w:p w14:paraId="4493E9F7" w14:textId="55EE32FD" w:rsidR="006B45DF" w:rsidRPr="002D5D78" w:rsidRDefault="006B45DF" w:rsidP="00FF2014">
            <w:pPr>
              <w:cnfStyle w:val="100000000000" w:firstRow="1" w:lastRow="0" w:firstColumn="0" w:lastColumn="0" w:oddVBand="0" w:evenVBand="0" w:oddHBand="0" w:evenHBand="0" w:firstRowFirstColumn="0" w:firstRowLastColumn="0" w:lastRowFirstColumn="0" w:lastRowLastColumn="0"/>
              <w:rPr>
                <w:b w:val="0"/>
                <w:bCs w:val="0"/>
              </w:rPr>
            </w:pPr>
            <w:r w:rsidRPr="002D5D78">
              <w:t>Parasites</w:t>
            </w:r>
            <w:r w:rsidR="00FF2014">
              <w:rPr>
                <w:rStyle w:val="FootnoteReference"/>
              </w:rPr>
              <w:footnoteReference w:customMarkFollows="1" w:id="21"/>
              <w:t>2</w:t>
            </w:r>
            <w:r w:rsidRPr="002D5D78">
              <w:t xml:space="preserve"> in Harvest Area</w:t>
            </w:r>
          </w:p>
          <w:p w14:paraId="54F55A99" w14:textId="7983918D" w:rsidR="006B45DF" w:rsidRDefault="006B45DF" w:rsidP="00FF2014">
            <w:pPr>
              <w:cnfStyle w:val="100000000000" w:firstRow="1" w:lastRow="0" w:firstColumn="0" w:lastColumn="0" w:oddVBand="0" w:evenVBand="0" w:oddHBand="0" w:evenHBand="0" w:firstRowFirstColumn="0" w:firstRowLastColumn="0" w:lastRowFirstColumn="0" w:lastRowLastColumn="0"/>
            </w:pPr>
            <w:r w:rsidRPr="002D5D78">
              <w:t>Chapter 6</w:t>
            </w:r>
          </w:p>
        </w:tc>
        <w:tc>
          <w:tcPr>
            <w:tcW w:w="1676" w:type="dxa"/>
            <w:tcBorders>
              <w:top w:val="single" w:sz="1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AE372D"/>
            <w:vAlign w:val="center"/>
          </w:tcPr>
          <w:p w14:paraId="4773D2D8" w14:textId="77777777" w:rsidR="006B45DF" w:rsidRPr="002D5D78" w:rsidRDefault="006B45DF" w:rsidP="00FF2014">
            <w:pPr>
              <w:cnfStyle w:val="100000000000" w:firstRow="1" w:lastRow="0" w:firstColumn="0" w:lastColumn="0" w:oddVBand="0" w:evenVBand="0" w:oddHBand="0" w:evenHBand="0" w:firstRowFirstColumn="0" w:firstRowLastColumn="0" w:lastRowFirstColumn="0" w:lastRowLastColumn="0"/>
              <w:rPr>
                <w:b w:val="0"/>
                <w:bCs w:val="0"/>
              </w:rPr>
            </w:pPr>
            <w:r w:rsidRPr="002D5D78">
              <w:t>Environmental Chemicals</w:t>
            </w:r>
          </w:p>
          <w:p w14:paraId="63A18795" w14:textId="416C95CA" w:rsidR="006B45DF" w:rsidRDefault="006B45DF" w:rsidP="00FF2014">
            <w:pPr>
              <w:cnfStyle w:val="100000000000" w:firstRow="1" w:lastRow="0" w:firstColumn="0" w:lastColumn="0" w:oddVBand="0" w:evenVBand="0" w:oddHBand="0" w:evenHBand="0" w:firstRowFirstColumn="0" w:firstRowLastColumn="0" w:lastRowFirstColumn="0" w:lastRowLastColumn="0"/>
            </w:pPr>
            <w:r w:rsidRPr="002D5D78">
              <w:t>Chapter 7</w:t>
            </w:r>
          </w:p>
        </w:tc>
        <w:tc>
          <w:tcPr>
            <w:tcW w:w="1676" w:type="dxa"/>
            <w:tcBorders>
              <w:top w:val="single" w:sz="12"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AE372D"/>
            <w:vAlign w:val="center"/>
          </w:tcPr>
          <w:p w14:paraId="7DBB40BE" w14:textId="77777777" w:rsidR="006B45DF" w:rsidRPr="002D5D78" w:rsidRDefault="006B45DF" w:rsidP="00FF2014">
            <w:pPr>
              <w:cnfStyle w:val="100000000000" w:firstRow="1" w:lastRow="0" w:firstColumn="0" w:lastColumn="0" w:oddVBand="0" w:evenVBand="0" w:oddHBand="0" w:evenHBand="0" w:firstRowFirstColumn="0" w:firstRowLastColumn="0" w:lastRowFirstColumn="0" w:lastRowLastColumn="0"/>
              <w:rPr>
                <w:b w:val="0"/>
                <w:bCs w:val="0"/>
              </w:rPr>
            </w:pPr>
            <w:r w:rsidRPr="002D5D78">
              <w:t>Iodine</w:t>
            </w:r>
          </w:p>
          <w:p w14:paraId="46DB3D77" w14:textId="13AFBB7A" w:rsidR="006B45DF" w:rsidRDefault="006B45DF" w:rsidP="00FF2014">
            <w:pPr>
              <w:cnfStyle w:val="100000000000" w:firstRow="1" w:lastRow="0" w:firstColumn="0" w:lastColumn="0" w:oddVBand="0" w:evenVBand="0" w:oddHBand="0" w:evenHBand="0" w:firstRowFirstColumn="0" w:firstRowLastColumn="0" w:lastRowFirstColumn="0" w:lastRowLastColumn="0"/>
            </w:pPr>
            <w:r w:rsidRPr="002D5D78">
              <w:t>Chapter 8</w:t>
            </w:r>
          </w:p>
        </w:tc>
        <w:tc>
          <w:tcPr>
            <w:tcW w:w="1676" w:type="dxa"/>
            <w:tcBorders>
              <w:top w:val="single" w:sz="12"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AE372D"/>
            <w:vAlign w:val="center"/>
          </w:tcPr>
          <w:p w14:paraId="57B7F3F0" w14:textId="77777777" w:rsidR="006B45DF" w:rsidRPr="002D5D78" w:rsidRDefault="006B45DF" w:rsidP="00FF2014">
            <w:pPr>
              <w:cnfStyle w:val="100000000000" w:firstRow="1" w:lastRow="0" w:firstColumn="0" w:lastColumn="0" w:oddVBand="0" w:evenVBand="0" w:oddHBand="0" w:evenHBand="0" w:firstRowFirstColumn="0" w:firstRowLastColumn="0" w:lastRowFirstColumn="0" w:lastRowLastColumn="0"/>
              <w:rPr>
                <w:b w:val="0"/>
                <w:bCs w:val="0"/>
              </w:rPr>
            </w:pPr>
            <w:r w:rsidRPr="002D5D78">
              <w:t>Natural Toxins</w:t>
            </w:r>
          </w:p>
          <w:p w14:paraId="63D1CC01" w14:textId="47161601" w:rsidR="006B45DF" w:rsidRDefault="006B45DF" w:rsidP="00FF2014">
            <w:pPr>
              <w:cnfStyle w:val="100000000000" w:firstRow="1" w:lastRow="0" w:firstColumn="0" w:lastColumn="0" w:oddVBand="0" w:evenVBand="0" w:oddHBand="0" w:evenHBand="0" w:firstRowFirstColumn="0" w:firstRowLastColumn="0" w:lastRowFirstColumn="0" w:lastRowLastColumn="0"/>
            </w:pPr>
            <w:r w:rsidRPr="002D5D78">
              <w:t>Chapter 9</w:t>
            </w:r>
          </w:p>
        </w:tc>
      </w:tr>
      <w:tr w:rsidR="00FF2014" w14:paraId="218C2947" w14:textId="77777777" w:rsidTr="006A05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5741E49C" w14:textId="37134834" w:rsidR="006B45DF" w:rsidRPr="00041713" w:rsidRDefault="006B45DF" w:rsidP="00FF2014">
            <w:pPr>
              <w:rPr>
                <w:i/>
                <w:iCs/>
              </w:rPr>
            </w:pPr>
            <w:r w:rsidRPr="00041713">
              <w:rPr>
                <w:i/>
                <w:iCs/>
              </w:rPr>
              <w:t>Alsidium corallinum</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15EC1350" w14:textId="1A282E22" w:rsidR="006B45DF"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Alsidium corallinum</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1CAD97FE" w14:textId="180E744F" w:rsidR="006B45DF"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4AAC9A07" w14:textId="77777777" w:rsidR="006B45DF" w:rsidRDefault="006B45DF"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5A9DE591" w14:textId="17FA2CF1" w:rsidR="006B45DF"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767CE282" w14:textId="77777777" w:rsidR="006B45DF" w:rsidRDefault="006B45DF"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F7C5AC"/>
          </w:tcPr>
          <w:p w14:paraId="300A9894" w14:textId="469DDEEC" w:rsidR="006B45DF"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FF2014" w14:paraId="661B8572" w14:textId="77777777" w:rsidTr="006A051B">
        <w:trPr>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19185586" w14:textId="79C5B3B3" w:rsidR="006B45DF" w:rsidRPr="00041713" w:rsidRDefault="006B45DF" w:rsidP="00FF2014">
            <w:pPr>
              <w:rPr>
                <w:i/>
                <w:iCs/>
              </w:rPr>
            </w:pPr>
            <w:r w:rsidRPr="00041713">
              <w:rPr>
                <w:i/>
                <w:iCs/>
              </w:rPr>
              <w:t>Amphiroas</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595A928" w14:textId="32197316" w:rsidR="006B45DF" w:rsidRPr="00041713" w:rsidRDefault="00041713" w:rsidP="00FF2014">
            <w:pPr>
              <w:cnfStyle w:val="000000000000" w:firstRow="0" w:lastRow="0" w:firstColumn="0" w:lastColumn="0" w:oddVBand="0" w:evenVBand="0" w:oddHBand="0" w:evenHBand="0" w:firstRowFirstColumn="0" w:firstRowLastColumn="0" w:lastRowFirstColumn="0" w:lastRowLastColumn="0"/>
              <w:rPr>
                <w:i/>
                <w:iCs/>
              </w:rPr>
            </w:pPr>
            <w:r w:rsidRPr="00041713">
              <w:rPr>
                <w:i/>
                <w:iCs/>
              </w:rPr>
              <w:t>Amphiroas</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9873533" w14:textId="7D90BBCF" w:rsidR="006B45DF"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310E549" w14:textId="77777777" w:rsidR="006B45DF" w:rsidRDefault="006B45DF"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A38C962" w14:textId="739ADBDC" w:rsidR="006B45DF"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F92805C" w14:textId="77777777" w:rsidR="006B45DF" w:rsidRDefault="006B45DF"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2253060A" w14:textId="317DEF2F" w:rsidR="006B45DF"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0DEDD2FC" w14:textId="77777777" w:rsidTr="006A05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48DB621F" w14:textId="308BDECD" w:rsidR="006B45DF" w:rsidRPr="00041713" w:rsidRDefault="006B45DF" w:rsidP="00FF2014">
            <w:pPr>
              <w:rPr>
                <w:i/>
                <w:iCs/>
              </w:rPr>
            </w:pPr>
            <w:r w:rsidRPr="00041713">
              <w:rPr>
                <w:i/>
                <w:iCs/>
              </w:rPr>
              <w:t>Centroceras clavulatum</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235014D5" w14:textId="5756D6AE" w:rsidR="006B45DF"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Centroceras clavulatum</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523BF37D" w14:textId="3481EE7C" w:rsidR="006B45DF"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60F8E085" w14:textId="77777777" w:rsidR="006B45DF" w:rsidRDefault="006B45DF"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46CA2D8D" w14:textId="16F17D9C" w:rsidR="006B45DF"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55424EE4" w14:textId="77777777" w:rsidR="006B45DF" w:rsidRDefault="006B45DF"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F7C5AC"/>
          </w:tcPr>
          <w:p w14:paraId="6BD96468" w14:textId="474DA3AF" w:rsidR="006B45DF"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6B45DF" w14:paraId="24187DCA" w14:textId="77777777" w:rsidTr="006A051B">
        <w:trPr>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77C3C1EB" w14:textId="00EF3339" w:rsidR="006B45DF" w:rsidRPr="00041713" w:rsidRDefault="006B45DF" w:rsidP="00FF2014">
            <w:pPr>
              <w:rPr>
                <w:i/>
                <w:iCs/>
              </w:rPr>
            </w:pPr>
            <w:r w:rsidRPr="00041713">
              <w:rPr>
                <w:i/>
                <w:iCs/>
              </w:rPr>
              <w:t>Chondria armata</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BF3534D" w14:textId="610A8DD3" w:rsidR="006B45DF" w:rsidRPr="00041713" w:rsidRDefault="00041713" w:rsidP="00FF2014">
            <w:pPr>
              <w:cnfStyle w:val="000000000000" w:firstRow="0" w:lastRow="0" w:firstColumn="0" w:lastColumn="0" w:oddVBand="0" w:evenVBand="0" w:oddHBand="0" w:evenHBand="0" w:firstRowFirstColumn="0" w:firstRowLastColumn="0" w:lastRowFirstColumn="0" w:lastRowLastColumn="0"/>
              <w:rPr>
                <w:i/>
                <w:iCs/>
              </w:rPr>
            </w:pPr>
            <w:r w:rsidRPr="00041713">
              <w:rPr>
                <w:i/>
                <w:iCs/>
              </w:rPr>
              <w:t>Chondria armata</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0CF7F6D" w14:textId="77A6CF4E" w:rsidR="006B45DF"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35832E5" w14:textId="77777777" w:rsidR="006B45DF" w:rsidRDefault="006B45DF"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9A53ACF" w14:textId="496C98B9" w:rsidR="006B45DF"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2CDD2D8" w14:textId="77777777" w:rsidR="006B45DF" w:rsidRDefault="006B45DF"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4D1E726C" w14:textId="088D409A" w:rsidR="006B45DF"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2D028877" w14:textId="77777777" w:rsidTr="006A05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5A9E7F14" w14:textId="738CAF87" w:rsidR="006B45DF" w:rsidRPr="00041713" w:rsidRDefault="006B45DF" w:rsidP="00FF2014">
            <w:pPr>
              <w:rPr>
                <w:i/>
                <w:iCs/>
              </w:rPr>
            </w:pPr>
            <w:r w:rsidRPr="00041713">
              <w:rPr>
                <w:i/>
                <w:iCs/>
              </w:rPr>
              <w:t>Coelothrix irregularis</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0D7E1429" w14:textId="13CD716D" w:rsidR="006B45DF"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Coelothrix irregularis</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38D81FF8" w14:textId="556BCF62" w:rsidR="006B45DF"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564F33FA" w14:textId="77777777" w:rsidR="006B45DF" w:rsidRDefault="006B45DF"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3789D137" w14:textId="662BBCE2" w:rsidR="006B45DF"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3D2C0B30" w14:textId="77777777" w:rsidR="006B45DF" w:rsidRDefault="006B45DF"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F7C5AC"/>
          </w:tcPr>
          <w:p w14:paraId="5DB612F7" w14:textId="2DF4071F" w:rsidR="006B45DF"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6B45DF" w14:paraId="419F88A3" w14:textId="77777777" w:rsidTr="006A051B">
        <w:trPr>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553A04F0" w14:textId="7736B31F" w:rsidR="006B45DF" w:rsidRDefault="006B45DF" w:rsidP="00FF2014">
            <w:r>
              <w:t>Dulse</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DDC3E82" w14:textId="503B4A07" w:rsidR="006B45DF" w:rsidRPr="00041713" w:rsidRDefault="00041713" w:rsidP="00FF2014">
            <w:pPr>
              <w:cnfStyle w:val="000000000000" w:firstRow="0" w:lastRow="0" w:firstColumn="0" w:lastColumn="0" w:oddVBand="0" w:evenVBand="0" w:oddHBand="0" w:evenHBand="0" w:firstRowFirstColumn="0" w:firstRowLastColumn="0" w:lastRowFirstColumn="0" w:lastRowLastColumn="0"/>
              <w:rPr>
                <w:i/>
                <w:iCs/>
              </w:rPr>
            </w:pPr>
            <w:r w:rsidRPr="00041713">
              <w:rPr>
                <w:i/>
                <w:iCs/>
              </w:rPr>
              <w:t>Palmaria palmata (Rhodymenia palmata)</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556DA77" w14:textId="23FFB9BF" w:rsidR="006B45DF"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007EDE2" w14:textId="77777777" w:rsidR="006B45DF" w:rsidRDefault="006B45DF"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B3DCB3E" w14:textId="36FA157A" w:rsidR="006B45DF"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CAB090D" w14:textId="77777777" w:rsidR="006B45DF" w:rsidRDefault="006B45DF"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0887178F" w14:textId="05C20C6D" w:rsidR="006B45DF"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42F7EE6D" w14:textId="77777777" w:rsidTr="006A05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2049BE31" w14:textId="730EF484" w:rsidR="006B45DF" w:rsidRDefault="00041713" w:rsidP="00FF2014">
            <w:r>
              <w:t>Dulse</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481223A2" w14:textId="73F74FDD" w:rsidR="006B45DF"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Palmaria mollis (Devaleraea mollis)</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7AEDE2C7" w14:textId="24859161" w:rsidR="006B45DF"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1321DFD6" w14:textId="77777777" w:rsidR="006B45DF" w:rsidRDefault="006B45DF"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1594CBD1" w14:textId="3316A7F6" w:rsidR="006B45DF"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085BD7D0" w14:textId="77777777" w:rsidR="006B45DF" w:rsidRDefault="006B45DF"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F7C5AC"/>
          </w:tcPr>
          <w:p w14:paraId="4672F398" w14:textId="0063751D" w:rsidR="006B45DF"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6B45DF" w14:paraId="29A25892" w14:textId="77777777" w:rsidTr="006A051B">
        <w:trPr>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4B8FBDE7" w14:textId="23B0102B" w:rsidR="006B45DF" w:rsidRPr="006B45DF" w:rsidRDefault="00041713" w:rsidP="00FF2014">
            <w:r w:rsidRPr="00041713">
              <w:rPr>
                <w:i/>
                <w:iCs/>
              </w:rPr>
              <w:t>Gelidium</w:t>
            </w:r>
            <w:r>
              <w:t xml:space="preserve"> spp.</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47536A2" w14:textId="59A0BBCF" w:rsidR="006B45DF" w:rsidRDefault="00041713" w:rsidP="00FF2014">
            <w:pPr>
              <w:cnfStyle w:val="000000000000" w:firstRow="0" w:lastRow="0" w:firstColumn="0" w:lastColumn="0" w:oddVBand="0" w:evenVBand="0" w:oddHBand="0" w:evenHBand="0" w:firstRowFirstColumn="0" w:firstRowLastColumn="0" w:lastRowFirstColumn="0" w:lastRowLastColumn="0"/>
            </w:pPr>
            <w:r w:rsidRPr="00041713">
              <w:rPr>
                <w:i/>
                <w:iCs/>
              </w:rPr>
              <w:t xml:space="preserve">Gelidium </w:t>
            </w:r>
            <w:r w:rsidRPr="00041713">
              <w:t>spp.</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FBDDE62" w14:textId="33270A89" w:rsidR="006B45DF"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2094745" w14:textId="77777777" w:rsidR="006B45DF" w:rsidRDefault="006B45DF"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8FFEAAC" w14:textId="07365C84" w:rsidR="006B45DF"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CDAA2B2" w14:textId="77777777" w:rsidR="006B45DF" w:rsidRDefault="006B45DF"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6AA07B2D" w14:textId="02907FE7" w:rsidR="006B45DF"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536D67A7" w14:textId="77777777" w:rsidTr="006A05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7B979872" w14:textId="15A22740" w:rsidR="00041713" w:rsidRPr="006B45DF" w:rsidRDefault="00041713" w:rsidP="00FF2014">
            <w:r>
              <w:t>Gracilaria</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01C04AA0" w14:textId="1A7AF96A" w:rsidR="00041713"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Gracilaria tikvahiae</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48FB7D51" w14:textId="7BCBEA81"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7303782C"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67262878" w14:textId="4B87E6C1"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3DEB606E"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F7C5AC"/>
          </w:tcPr>
          <w:p w14:paraId="09DF37D4" w14:textId="7C877464"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041713" w14:paraId="4DA51CB0" w14:textId="77777777" w:rsidTr="006A051B">
        <w:trPr>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1ECAE29D" w14:textId="08C87042" w:rsidR="00041713" w:rsidRPr="006B45DF" w:rsidRDefault="00041713" w:rsidP="00FF2014">
            <w:r>
              <w:t>Gracilaria</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8645615" w14:textId="7ABF0E0D" w:rsidR="00041713" w:rsidRPr="00041713" w:rsidRDefault="00041713" w:rsidP="00FF2014">
            <w:pPr>
              <w:cnfStyle w:val="000000000000" w:firstRow="0" w:lastRow="0" w:firstColumn="0" w:lastColumn="0" w:oddVBand="0" w:evenVBand="0" w:oddHBand="0" w:evenHBand="0" w:firstRowFirstColumn="0" w:firstRowLastColumn="0" w:lastRowFirstColumn="0" w:lastRowLastColumn="0"/>
              <w:rPr>
                <w:i/>
                <w:iCs/>
              </w:rPr>
            </w:pPr>
            <w:r w:rsidRPr="00041713">
              <w:rPr>
                <w:i/>
                <w:iCs/>
              </w:rPr>
              <w:t>Gracilaria edulis</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C47548B" w14:textId="58F054AB"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7834E70"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364CE91" w14:textId="37AC59CC"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D556D23"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3148B71A" w14:textId="738926BC"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2F2C7232" w14:textId="77777777" w:rsidTr="006A05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524A6746" w14:textId="0C875BB0" w:rsidR="00041713" w:rsidRPr="006B45DF" w:rsidRDefault="00041713" w:rsidP="00FF2014">
            <w:r>
              <w:t>Gracilaria</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0B68D262" w14:textId="0E8B11EB" w:rsidR="00041713"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Gracilaria verrucosa (Gracilariopsis longissima)</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4F5BA6EF" w14:textId="16ECFD10"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0A1FF48C"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06F54A8C" w14:textId="69FDBF39"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0B398C5E"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F7C5AC"/>
          </w:tcPr>
          <w:p w14:paraId="39CAABC5" w14:textId="6F9FF567"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041713" w14:paraId="2AB57287" w14:textId="77777777" w:rsidTr="006A051B">
        <w:trPr>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5725A288" w14:textId="3FD51BE5" w:rsidR="00041713" w:rsidRPr="006B45DF" w:rsidRDefault="00041713" w:rsidP="00FF2014">
            <w:r>
              <w:t>Gracilaria</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9D9285A" w14:textId="083B2E54" w:rsidR="00041713" w:rsidRPr="00041713" w:rsidRDefault="00041713" w:rsidP="00FF2014">
            <w:pPr>
              <w:cnfStyle w:val="000000000000" w:firstRow="0" w:lastRow="0" w:firstColumn="0" w:lastColumn="0" w:oddVBand="0" w:evenVBand="0" w:oddHBand="0" w:evenHBand="0" w:firstRowFirstColumn="0" w:firstRowLastColumn="0" w:lastRowFirstColumn="0" w:lastRowLastColumn="0"/>
              <w:rPr>
                <w:i/>
                <w:iCs/>
              </w:rPr>
            </w:pPr>
            <w:r w:rsidRPr="00041713">
              <w:rPr>
                <w:i/>
                <w:iCs/>
              </w:rPr>
              <w:t>Gracilaria chorda</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AEDE294" w14:textId="1CB51998"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31A3876"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FF4C189" w14:textId="3F220A84"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BB1873A"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049D89A0" w14:textId="66965B0A"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45278DC1" w14:textId="77777777" w:rsidTr="006A05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559FD613" w14:textId="6D9BF96E" w:rsidR="00041713" w:rsidRPr="006B45DF" w:rsidRDefault="00041713" w:rsidP="00FF2014">
            <w:r>
              <w:t>Gracilaria</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6FE4765C" w14:textId="616D0AB4" w:rsidR="00041713"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Gracilaria coronopifolia</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2A9D90FF" w14:textId="6AA39A55"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79D05DED"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49B03E64" w14:textId="463D7799"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09564E62"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F7C5AC"/>
          </w:tcPr>
          <w:p w14:paraId="4F09C717" w14:textId="312F7AC1"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041713" w14:paraId="65BEAA6F" w14:textId="77777777" w:rsidTr="006A051B">
        <w:trPr>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1975FB22" w14:textId="13BCD79E" w:rsidR="00041713" w:rsidRPr="006B45DF" w:rsidRDefault="00041713" w:rsidP="00FF2014">
            <w:r>
              <w:t>Gracilaria</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E300EE8" w14:textId="2F409274" w:rsidR="00041713" w:rsidRPr="00041713" w:rsidRDefault="00041713" w:rsidP="00FF2014">
            <w:pPr>
              <w:cnfStyle w:val="000000000000" w:firstRow="0" w:lastRow="0" w:firstColumn="0" w:lastColumn="0" w:oddVBand="0" w:evenVBand="0" w:oddHBand="0" w:evenHBand="0" w:firstRowFirstColumn="0" w:firstRowLastColumn="0" w:lastRowFirstColumn="0" w:lastRowLastColumn="0"/>
              <w:rPr>
                <w:i/>
                <w:iCs/>
              </w:rPr>
            </w:pPr>
            <w:r w:rsidRPr="00041713">
              <w:rPr>
                <w:i/>
                <w:iCs/>
              </w:rPr>
              <w:t>Gracilaria corticata</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4B8C606" w14:textId="21649EF9"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F91DC06"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9B2B828" w14:textId="29C6AF3D"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84FB89C"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556A2FF5" w14:textId="05851C14"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43350D7A" w14:textId="77777777" w:rsidTr="006A05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5E9D5BC2" w14:textId="4EA8762E" w:rsidR="00041713" w:rsidRPr="006B45DF" w:rsidRDefault="00041713" w:rsidP="00FF2014">
            <w:r>
              <w:t>Gracilaria</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55D60FD8" w14:textId="5B3F37AB" w:rsidR="00041713"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Gracilaria lemaneiformis</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102AC0AA" w14:textId="2C33861B"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532E0283"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272343BE" w14:textId="0E09D1EA"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0EEA95EF"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F7C5AC"/>
          </w:tcPr>
          <w:p w14:paraId="5886B75B" w14:textId="5E92D633"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041713" w14:paraId="54FD41D9" w14:textId="77777777" w:rsidTr="006A051B">
        <w:trPr>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6552DEFB" w14:textId="2FCA9BE0" w:rsidR="00041713" w:rsidRPr="006B45DF" w:rsidRDefault="00041713" w:rsidP="00FF2014">
            <w:r>
              <w:t>Gracilaria</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7411EF9" w14:textId="2347788F" w:rsidR="00041713" w:rsidRPr="00041713" w:rsidRDefault="00041713" w:rsidP="00FF2014">
            <w:pPr>
              <w:cnfStyle w:val="000000000000" w:firstRow="0" w:lastRow="0" w:firstColumn="0" w:lastColumn="0" w:oddVBand="0" w:evenVBand="0" w:oddHBand="0" w:evenHBand="0" w:firstRowFirstColumn="0" w:firstRowLastColumn="0" w:lastRowFirstColumn="0" w:lastRowLastColumn="0"/>
              <w:rPr>
                <w:i/>
                <w:iCs/>
              </w:rPr>
            </w:pPr>
            <w:r w:rsidRPr="00041713">
              <w:rPr>
                <w:i/>
                <w:iCs/>
              </w:rPr>
              <w:t>Gracilaria lichenoides</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84DFD7D" w14:textId="4FAC96DE"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30285BE"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2D1A1FD" w14:textId="26044CFA"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F404A31"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706B0720" w14:textId="42303F70"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4C6CAC10" w14:textId="77777777" w:rsidTr="006A051B">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4A63E9C2" w14:textId="0ACAC010" w:rsidR="00041713" w:rsidRPr="006B45DF" w:rsidRDefault="00041713" w:rsidP="00FF2014">
            <w:r>
              <w:t>Gracilaria</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760BA23F" w14:textId="07E8CCD6" w:rsidR="00041713"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Gracilaria tenistipitata</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375C44DF" w14:textId="2B24B36B"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69CAEDC2"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29102802" w14:textId="1757FFFD"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6BDBAA38"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F7C5AC"/>
          </w:tcPr>
          <w:p w14:paraId="651E09D9" w14:textId="4FFE8E84"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041713" w14:paraId="424359FB" w14:textId="77777777" w:rsidTr="006A051B">
        <w:trPr>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0011C0AD" w14:textId="1F36D791" w:rsidR="00041713" w:rsidRPr="006B45DF" w:rsidRDefault="00041713" w:rsidP="00FF2014">
            <w:r>
              <w:t>Gracilaria</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4195EAD" w14:textId="0906DAC7" w:rsidR="00041713" w:rsidRPr="00041713" w:rsidRDefault="00041713" w:rsidP="00FF2014">
            <w:pPr>
              <w:cnfStyle w:val="000000000000" w:firstRow="0" w:lastRow="0" w:firstColumn="0" w:lastColumn="0" w:oddVBand="0" w:evenVBand="0" w:oddHBand="0" w:evenHBand="0" w:firstRowFirstColumn="0" w:firstRowLastColumn="0" w:lastRowFirstColumn="0" w:lastRowLastColumn="0"/>
              <w:rPr>
                <w:i/>
                <w:iCs/>
              </w:rPr>
            </w:pPr>
            <w:r w:rsidRPr="00041713">
              <w:rPr>
                <w:i/>
                <w:iCs/>
              </w:rPr>
              <w:t>Gracilaria vermiculophylla</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C51E4AC" w14:textId="3A03D182"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CBE6916"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FD23938" w14:textId="65C024FE"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EEA1D71"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tcPr>
          <w:p w14:paraId="36785AE2" w14:textId="73AE4E31"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3A518A0E" w14:textId="77777777" w:rsidTr="006A051B">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2CDFCFC5" w14:textId="2ECA9C2F" w:rsidR="00041713" w:rsidRPr="006B45DF" w:rsidRDefault="00041713" w:rsidP="00FF2014">
            <w:r>
              <w:t>Green Sacol</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21328D63" w14:textId="44A8E2C9" w:rsidR="00041713"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Kappaphycus striatus</w:t>
            </w:r>
          </w:p>
        </w:tc>
        <w:tc>
          <w:tcPr>
            <w:tcW w:w="176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2B66DA1F" w14:textId="3F894690"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23CA91DC"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2D4A5A0C" w14:textId="5FB2B46A"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186D4FE2"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bottom w:val="single" w:sz="6" w:space="0" w:color="0D0D0D" w:themeColor="text1" w:themeTint="F2"/>
              <w:right w:val="single" w:sz="12" w:space="0" w:color="0D0D0D" w:themeColor="text1" w:themeTint="F2"/>
            </w:tcBorders>
            <w:shd w:val="clear" w:color="auto" w:fill="F7C5AC"/>
          </w:tcPr>
          <w:p w14:paraId="349E5C8E" w14:textId="00FAB1C1"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041713" w14:paraId="6A577D70" w14:textId="77777777" w:rsidTr="006A051B">
        <w:trPr>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right w:val="single" w:sz="6" w:space="0" w:color="0D0D0D" w:themeColor="text1" w:themeTint="F2"/>
            </w:tcBorders>
          </w:tcPr>
          <w:p w14:paraId="2DE20DFC" w14:textId="644D50F6" w:rsidR="00041713" w:rsidRPr="006B45DF" w:rsidRDefault="00041713" w:rsidP="00FF2014">
            <w:r>
              <w:t>Gulman</w:t>
            </w:r>
          </w:p>
        </w:tc>
        <w:tc>
          <w:tcPr>
            <w:tcW w:w="2790" w:type="dxa"/>
            <w:tcBorders>
              <w:top w:val="single" w:sz="6" w:space="0" w:color="0D0D0D" w:themeColor="text1" w:themeTint="F2"/>
              <w:left w:val="single" w:sz="6" w:space="0" w:color="0D0D0D" w:themeColor="text1" w:themeTint="F2"/>
              <w:right w:val="single" w:sz="6" w:space="0" w:color="0D0D0D" w:themeColor="text1" w:themeTint="F2"/>
            </w:tcBorders>
          </w:tcPr>
          <w:p w14:paraId="543F41C8" w14:textId="39ABE0CE" w:rsidR="00041713" w:rsidRPr="00041713" w:rsidRDefault="00041713" w:rsidP="00FF2014">
            <w:pPr>
              <w:cnfStyle w:val="000000000000" w:firstRow="0" w:lastRow="0" w:firstColumn="0" w:lastColumn="0" w:oddVBand="0" w:evenVBand="0" w:oddHBand="0" w:evenHBand="0" w:firstRowFirstColumn="0" w:firstRowLastColumn="0" w:lastRowFirstColumn="0" w:lastRowLastColumn="0"/>
              <w:rPr>
                <w:i/>
                <w:iCs/>
              </w:rPr>
            </w:pPr>
            <w:r w:rsidRPr="00041713">
              <w:rPr>
                <w:i/>
                <w:iCs/>
              </w:rPr>
              <w:t>Gracilariopsis heteroclada</w:t>
            </w:r>
          </w:p>
        </w:tc>
        <w:tc>
          <w:tcPr>
            <w:tcW w:w="1766" w:type="dxa"/>
            <w:tcBorders>
              <w:top w:val="single" w:sz="6" w:space="0" w:color="0D0D0D" w:themeColor="text1" w:themeTint="F2"/>
              <w:left w:val="single" w:sz="6" w:space="0" w:color="0D0D0D" w:themeColor="text1" w:themeTint="F2"/>
              <w:right w:val="single" w:sz="6" w:space="0" w:color="0D0D0D" w:themeColor="text1" w:themeTint="F2"/>
            </w:tcBorders>
          </w:tcPr>
          <w:p w14:paraId="19CB6934" w14:textId="1064D017"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right w:val="single" w:sz="6" w:space="0" w:color="0D0D0D" w:themeColor="text1" w:themeTint="F2"/>
            </w:tcBorders>
          </w:tcPr>
          <w:p w14:paraId="2B8FB7AC"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right w:val="single" w:sz="6" w:space="0" w:color="0D0D0D" w:themeColor="text1" w:themeTint="F2"/>
            </w:tcBorders>
          </w:tcPr>
          <w:p w14:paraId="43861BC6" w14:textId="7E781460"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left w:val="single" w:sz="6" w:space="0" w:color="0D0D0D" w:themeColor="text1" w:themeTint="F2"/>
              <w:right w:val="single" w:sz="6" w:space="0" w:color="0D0D0D" w:themeColor="text1" w:themeTint="F2"/>
            </w:tcBorders>
          </w:tcPr>
          <w:p w14:paraId="0AE4500D"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left w:val="single" w:sz="6" w:space="0" w:color="0D0D0D" w:themeColor="text1" w:themeTint="F2"/>
              <w:right w:val="single" w:sz="12" w:space="0" w:color="0D0D0D" w:themeColor="text1" w:themeTint="F2"/>
            </w:tcBorders>
          </w:tcPr>
          <w:p w14:paraId="73DFC362" w14:textId="2C81E7A5"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29358119" w14:textId="77777777" w:rsidTr="006A051B">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39740ED3" w14:textId="1A6EC609" w:rsidR="00041713" w:rsidRPr="006B45DF" w:rsidRDefault="00041713" w:rsidP="00FF2014">
            <w:r>
              <w:lastRenderedPageBreak/>
              <w:t>Guso</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34698607" w14:textId="636DB0B6" w:rsidR="00041713"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Euchema cottonii</w:t>
            </w:r>
          </w:p>
        </w:tc>
        <w:tc>
          <w:tcPr>
            <w:tcW w:w="1766" w:type="dxa"/>
            <w:tcBorders>
              <w:top w:val="single" w:sz="6" w:space="0" w:color="0D0D0D" w:themeColor="text1" w:themeTint="F2"/>
              <w:left w:val="single" w:sz="6" w:space="0" w:color="0D0D0D" w:themeColor="text1" w:themeTint="F2"/>
              <w:bottom w:val="single" w:sz="6" w:space="0" w:color="0D0D0D" w:themeColor="text1" w:themeTint="F2"/>
            </w:tcBorders>
            <w:shd w:val="clear" w:color="auto" w:fill="F7C5AC"/>
          </w:tcPr>
          <w:p w14:paraId="4F47780F" w14:textId="068FCAAA"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shd w:val="clear" w:color="auto" w:fill="F7C5AC"/>
          </w:tcPr>
          <w:p w14:paraId="03D5B62A"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tcBorders>
            <w:shd w:val="clear" w:color="auto" w:fill="F7C5AC"/>
          </w:tcPr>
          <w:p w14:paraId="38BA0D26" w14:textId="547743FD"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shd w:val="clear" w:color="auto" w:fill="F7C5AC"/>
          </w:tcPr>
          <w:p w14:paraId="549744DE"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right w:val="single" w:sz="12" w:space="0" w:color="0D0D0D" w:themeColor="text1" w:themeTint="F2"/>
            </w:tcBorders>
            <w:shd w:val="clear" w:color="auto" w:fill="F7C5AC"/>
          </w:tcPr>
          <w:p w14:paraId="4A39DF3A" w14:textId="0EA07711"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041713" w14:paraId="5609F3E6" w14:textId="77777777" w:rsidTr="006A051B">
        <w:trPr>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04A66B6F" w14:textId="5986EFD4" w:rsidR="00041713" w:rsidRPr="006B45DF" w:rsidRDefault="00041713" w:rsidP="00FF2014">
            <w:r>
              <w:t>Irish Moss</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F744282" w14:textId="6E75549F" w:rsidR="00041713" w:rsidRPr="00041713" w:rsidRDefault="00041713" w:rsidP="00FF2014">
            <w:pPr>
              <w:cnfStyle w:val="000000000000" w:firstRow="0" w:lastRow="0" w:firstColumn="0" w:lastColumn="0" w:oddVBand="0" w:evenVBand="0" w:oddHBand="0" w:evenHBand="0" w:firstRowFirstColumn="0" w:firstRowLastColumn="0" w:lastRowFirstColumn="0" w:lastRowLastColumn="0"/>
              <w:rPr>
                <w:i/>
                <w:iCs/>
              </w:rPr>
            </w:pPr>
            <w:r w:rsidRPr="00041713">
              <w:rPr>
                <w:i/>
                <w:iCs/>
              </w:rPr>
              <w:t>Chondrus crispus</w:t>
            </w:r>
          </w:p>
        </w:tc>
        <w:tc>
          <w:tcPr>
            <w:tcW w:w="1766" w:type="dxa"/>
            <w:tcBorders>
              <w:top w:val="single" w:sz="6" w:space="0" w:color="0D0D0D" w:themeColor="text1" w:themeTint="F2"/>
              <w:left w:val="single" w:sz="6" w:space="0" w:color="0D0D0D" w:themeColor="text1" w:themeTint="F2"/>
              <w:bottom w:val="single" w:sz="6" w:space="0" w:color="0D0D0D" w:themeColor="text1" w:themeTint="F2"/>
            </w:tcBorders>
          </w:tcPr>
          <w:p w14:paraId="2A28767B" w14:textId="555E9A19"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tcPr>
          <w:p w14:paraId="6D560CE5"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tcBorders>
          </w:tcPr>
          <w:p w14:paraId="1939A095" w14:textId="39CEFAC6"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tcPr>
          <w:p w14:paraId="52D2437A"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right w:val="single" w:sz="12" w:space="0" w:color="0D0D0D" w:themeColor="text1" w:themeTint="F2"/>
            </w:tcBorders>
          </w:tcPr>
          <w:p w14:paraId="677386DE" w14:textId="3D048927"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181300B3" w14:textId="77777777" w:rsidTr="006A051B">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56DEA50E" w14:textId="29EF7536" w:rsidR="00041713" w:rsidRPr="006B45DF" w:rsidRDefault="00041713" w:rsidP="00FF2014">
            <w:r>
              <w:t>Kaijinso/Makura</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366EF682" w14:textId="235A584D" w:rsidR="00041713"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Digenea simplex</w:t>
            </w:r>
          </w:p>
        </w:tc>
        <w:tc>
          <w:tcPr>
            <w:tcW w:w="1766" w:type="dxa"/>
            <w:tcBorders>
              <w:top w:val="single" w:sz="6" w:space="0" w:color="0D0D0D" w:themeColor="text1" w:themeTint="F2"/>
              <w:left w:val="single" w:sz="6" w:space="0" w:color="0D0D0D" w:themeColor="text1" w:themeTint="F2"/>
              <w:bottom w:val="single" w:sz="6" w:space="0" w:color="0D0D0D" w:themeColor="text1" w:themeTint="F2"/>
            </w:tcBorders>
            <w:shd w:val="clear" w:color="auto" w:fill="F7C5AC"/>
          </w:tcPr>
          <w:p w14:paraId="59F3ACB2" w14:textId="294A8FB8"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shd w:val="clear" w:color="auto" w:fill="F7C5AC"/>
          </w:tcPr>
          <w:p w14:paraId="74350FD6"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tcBorders>
            <w:shd w:val="clear" w:color="auto" w:fill="F7C5AC"/>
          </w:tcPr>
          <w:p w14:paraId="32AD8984" w14:textId="2AE1F70A"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shd w:val="clear" w:color="auto" w:fill="F7C5AC"/>
          </w:tcPr>
          <w:p w14:paraId="468161B2"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right w:val="single" w:sz="12" w:space="0" w:color="0D0D0D" w:themeColor="text1" w:themeTint="F2"/>
            </w:tcBorders>
            <w:shd w:val="clear" w:color="auto" w:fill="F7C5AC"/>
          </w:tcPr>
          <w:p w14:paraId="6C8DD436" w14:textId="720E6150"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041713" w14:paraId="233D2D9B" w14:textId="77777777" w:rsidTr="006A051B">
        <w:trPr>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right w:val="single" w:sz="6" w:space="0" w:color="0D0D0D" w:themeColor="text1" w:themeTint="F2"/>
            </w:tcBorders>
          </w:tcPr>
          <w:p w14:paraId="2C0E87DA" w14:textId="0A9CDC0C" w:rsidR="00041713" w:rsidRPr="006B45DF" w:rsidRDefault="00041713" w:rsidP="00FF2014">
            <w:r>
              <w:t>Limu Manauea</w:t>
            </w:r>
          </w:p>
        </w:tc>
        <w:tc>
          <w:tcPr>
            <w:tcW w:w="2790" w:type="dxa"/>
            <w:tcBorders>
              <w:top w:val="single" w:sz="6" w:space="0" w:color="0D0D0D" w:themeColor="text1" w:themeTint="F2"/>
              <w:left w:val="single" w:sz="6" w:space="0" w:color="0D0D0D" w:themeColor="text1" w:themeTint="F2"/>
              <w:right w:val="single" w:sz="6" w:space="0" w:color="0D0D0D" w:themeColor="text1" w:themeTint="F2"/>
            </w:tcBorders>
          </w:tcPr>
          <w:p w14:paraId="447E9235" w14:textId="79F87758" w:rsidR="00041713" w:rsidRPr="00041713" w:rsidRDefault="00041713" w:rsidP="00FF2014">
            <w:pPr>
              <w:cnfStyle w:val="000000000000" w:firstRow="0" w:lastRow="0" w:firstColumn="0" w:lastColumn="0" w:oddVBand="0" w:evenVBand="0" w:oddHBand="0" w:evenHBand="0" w:firstRowFirstColumn="0" w:firstRowLastColumn="0" w:lastRowFirstColumn="0" w:lastRowLastColumn="0"/>
              <w:rPr>
                <w:i/>
                <w:iCs/>
              </w:rPr>
            </w:pPr>
            <w:r w:rsidRPr="00041713">
              <w:rPr>
                <w:i/>
                <w:iCs/>
              </w:rPr>
              <w:t>Gracilaria coronopifolia</w:t>
            </w:r>
          </w:p>
        </w:tc>
        <w:tc>
          <w:tcPr>
            <w:tcW w:w="1766" w:type="dxa"/>
            <w:tcBorders>
              <w:top w:val="single" w:sz="6" w:space="0" w:color="0D0D0D" w:themeColor="text1" w:themeTint="F2"/>
              <w:left w:val="single" w:sz="6" w:space="0" w:color="0D0D0D" w:themeColor="text1" w:themeTint="F2"/>
            </w:tcBorders>
          </w:tcPr>
          <w:p w14:paraId="46BBD731" w14:textId="5D535874"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tcBorders>
          </w:tcPr>
          <w:p w14:paraId="2F3B47C5"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tcBorders>
          </w:tcPr>
          <w:p w14:paraId="103D29A9" w14:textId="2FA6BE5E"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tcBorders>
          </w:tcPr>
          <w:p w14:paraId="1573EAC0"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right w:val="single" w:sz="12" w:space="0" w:color="0D0D0D" w:themeColor="text1" w:themeTint="F2"/>
            </w:tcBorders>
          </w:tcPr>
          <w:p w14:paraId="1B017DA0" w14:textId="2CB82ECD"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49BFE91A" w14:textId="77777777" w:rsidTr="006A051B">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7D0B5BE9" w14:textId="4DAD920D" w:rsidR="00041713" w:rsidRPr="006B45DF" w:rsidRDefault="00041713" w:rsidP="00FF2014">
            <w:r>
              <w:t>Nori/Laver</w:t>
            </w:r>
          </w:p>
        </w:tc>
        <w:tc>
          <w:tcPr>
            <w:tcW w:w="2790" w:type="dxa"/>
            <w:tcBorders>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37D1FA39" w14:textId="48AE0B1F" w:rsidR="00041713"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Erythroglossum laciniatum</w:t>
            </w:r>
          </w:p>
        </w:tc>
        <w:tc>
          <w:tcPr>
            <w:tcW w:w="1766" w:type="dxa"/>
            <w:tcBorders>
              <w:left w:val="single" w:sz="6" w:space="0" w:color="0D0D0D" w:themeColor="text1" w:themeTint="F2"/>
              <w:bottom w:val="single" w:sz="6" w:space="0" w:color="0D0D0D" w:themeColor="text1" w:themeTint="F2"/>
            </w:tcBorders>
            <w:shd w:val="clear" w:color="auto" w:fill="F7C5AC"/>
          </w:tcPr>
          <w:p w14:paraId="0D792ADC" w14:textId="3F2A8594"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bottom w:val="single" w:sz="6" w:space="0" w:color="0D0D0D" w:themeColor="text1" w:themeTint="F2"/>
            </w:tcBorders>
            <w:shd w:val="clear" w:color="auto" w:fill="F7C5AC"/>
          </w:tcPr>
          <w:p w14:paraId="7C6DFEB4"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bottom w:val="single" w:sz="6" w:space="0" w:color="0D0D0D" w:themeColor="text1" w:themeTint="F2"/>
            </w:tcBorders>
            <w:shd w:val="clear" w:color="auto" w:fill="F7C5AC"/>
          </w:tcPr>
          <w:p w14:paraId="22D135DB" w14:textId="165E0306"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bottom w:val="single" w:sz="6" w:space="0" w:color="0D0D0D" w:themeColor="text1" w:themeTint="F2"/>
            </w:tcBorders>
            <w:shd w:val="clear" w:color="auto" w:fill="F7C5AC"/>
          </w:tcPr>
          <w:p w14:paraId="4F0BCCC7"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bottom w:val="single" w:sz="6" w:space="0" w:color="0D0D0D" w:themeColor="text1" w:themeTint="F2"/>
              <w:right w:val="single" w:sz="12" w:space="0" w:color="0D0D0D" w:themeColor="text1" w:themeTint="F2"/>
            </w:tcBorders>
            <w:shd w:val="clear" w:color="auto" w:fill="F7C5AC"/>
          </w:tcPr>
          <w:p w14:paraId="12BBCD4E" w14:textId="30E84850"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041713" w14:paraId="7207B8DD" w14:textId="77777777" w:rsidTr="006A051B">
        <w:trPr>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41D75A15" w14:textId="48F3ECA7" w:rsidR="00041713" w:rsidRPr="006B45DF" w:rsidRDefault="00041713" w:rsidP="00FF2014">
            <w:r>
              <w:t>Nori/Laver</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DA7A434" w14:textId="60E0F0DD" w:rsidR="00041713" w:rsidRPr="00041713" w:rsidRDefault="00041713" w:rsidP="00FF2014">
            <w:pPr>
              <w:cnfStyle w:val="000000000000" w:firstRow="0" w:lastRow="0" w:firstColumn="0" w:lastColumn="0" w:oddVBand="0" w:evenVBand="0" w:oddHBand="0" w:evenHBand="0" w:firstRowFirstColumn="0" w:firstRowLastColumn="0" w:lastRowFirstColumn="0" w:lastRowLastColumn="0"/>
              <w:rPr>
                <w:i/>
                <w:iCs/>
              </w:rPr>
            </w:pPr>
            <w:r w:rsidRPr="00041713">
              <w:rPr>
                <w:i/>
                <w:iCs/>
              </w:rPr>
              <w:t>Pyropia spp.</w:t>
            </w:r>
          </w:p>
        </w:tc>
        <w:tc>
          <w:tcPr>
            <w:tcW w:w="1766" w:type="dxa"/>
            <w:tcBorders>
              <w:top w:val="single" w:sz="6" w:space="0" w:color="0D0D0D" w:themeColor="text1" w:themeTint="F2"/>
              <w:left w:val="single" w:sz="6" w:space="0" w:color="0D0D0D" w:themeColor="text1" w:themeTint="F2"/>
              <w:bottom w:val="single" w:sz="6" w:space="0" w:color="0D0D0D" w:themeColor="text1" w:themeTint="F2"/>
            </w:tcBorders>
          </w:tcPr>
          <w:p w14:paraId="23535129" w14:textId="184C38C4"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tcPr>
          <w:p w14:paraId="4E5D4585"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tcBorders>
          </w:tcPr>
          <w:p w14:paraId="6B40DEEC" w14:textId="4C7DEF9C"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tcPr>
          <w:p w14:paraId="32B4FB3F"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right w:val="single" w:sz="12" w:space="0" w:color="0D0D0D" w:themeColor="text1" w:themeTint="F2"/>
            </w:tcBorders>
          </w:tcPr>
          <w:p w14:paraId="64176EEF" w14:textId="5A2AF6BC"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1A57C3FA" w14:textId="77777777" w:rsidTr="006A051B">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2D4BE1A9" w14:textId="50CAA426" w:rsidR="00041713" w:rsidRPr="006B45DF" w:rsidRDefault="00041713" w:rsidP="00FF2014">
            <w:r>
              <w:t>Nori/Laver</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531CCF1C" w14:textId="332FB9E7" w:rsidR="00041713"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Porphyra spp.</w:t>
            </w:r>
          </w:p>
        </w:tc>
        <w:tc>
          <w:tcPr>
            <w:tcW w:w="1766" w:type="dxa"/>
            <w:tcBorders>
              <w:top w:val="single" w:sz="6" w:space="0" w:color="0D0D0D" w:themeColor="text1" w:themeTint="F2"/>
              <w:left w:val="single" w:sz="6" w:space="0" w:color="0D0D0D" w:themeColor="text1" w:themeTint="F2"/>
              <w:bottom w:val="single" w:sz="6" w:space="0" w:color="0D0D0D" w:themeColor="text1" w:themeTint="F2"/>
            </w:tcBorders>
            <w:shd w:val="clear" w:color="auto" w:fill="F7C5AC"/>
          </w:tcPr>
          <w:p w14:paraId="1342404A" w14:textId="4CB008BE"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shd w:val="clear" w:color="auto" w:fill="F7C5AC"/>
          </w:tcPr>
          <w:p w14:paraId="6FA90590"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tcBorders>
            <w:shd w:val="clear" w:color="auto" w:fill="F7C5AC"/>
          </w:tcPr>
          <w:p w14:paraId="4247455F" w14:textId="3015B999"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shd w:val="clear" w:color="auto" w:fill="F7C5AC"/>
          </w:tcPr>
          <w:p w14:paraId="433D2241"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right w:val="single" w:sz="12" w:space="0" w:color="0D0D0D" w:themeColor="text1" w:themeTint="F2"/>
            </w:tcBorders>
            <w:shd w:val="clear" w:color="auto" w:fill="F7C5AC"/>
          </w:tcPr>
          <w:p w14:paraId="1B58022A" w14:textId="3D4863B0"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041713" w14:paraId="46DF387C" w14:textId="77777777" w:rsidTr="006A051B">
        <w:trPr>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34060292" w14:textId="09082BB6" w:rsidR="00041713" w:rsidRPr="006B45DF" w:rsidRDefault="00041713" w:rsidP="00FF2014">
            <w:r>
              <w:t>Nori/Laver</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59D7015" w14:textId="77CD5F04" w:rsidR="00041713" w:rsidRPr="00041713" w:rsidRDefault="00041713" w:rsidP="00FF2014">
            <w:pPr>
              <w:cnfStyle w:val="000000000000" w:firstRow="0" w:lastRow="0" w:firstColumn="0" w:lastColumn="0" w:oddVBand="0" w:evenVBand="0" w:oddHBand="0" w:evenHBand="0" w:firstRowFirstColumn="0" w:firstRowLastColumn="0" w:lastRowFirstColumn="0" w:lastRowLastColumn="0"/>
              <w:rPr>
                <w:i/>
                <w:iCs/>
              </w:rPr>
            </w:pPr>
            <w:r w:rsidRPr="00041713">
              <w:rPr>
                <w:i/>
                <w:iCs/>
              </w:rPr>
              <w:t>Porphyra yezoensis</w:t>
            </w:r>
          </w:p>
        </w:tc>
        <w:tc>
          <w:tcPr>
            <w:tcW w:w="1766" w:type="dxa"/>
            <w:tcBorders>
              <w:top w:val="single" w:sz="6" w:space="0" w:color="0D0D0D" w:themeColor="text1" w:themeTint="F2"/>
              <w:left w:val="single" w:sz="6" w:space="0" w:color="0D0D0D" w:themeColor="text1" w:themeTint="F2"/>
              <w:bottom w:val="single" w:sz="6" w:space="0" w:color="0D0D0D" w:themeColor="text1" w:themeTint="F2"/>
            </w:tcBorders>
          </w:tcPr>
          <w:p w14:paraId="63E1B5AF" w14:textId="1EF589B1"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tcPr>
          <w:p w14:paraId="6503F588"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tcBorders>
          </w:tcPr>
          <w:p w14:paraId="63EF3F04" w14:textId="560244C9"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tcPr>
          <w:p w14:paraId="6C5169C5"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right w:val="single" w:sz="12" w:space="0" w:color="0D0D0D" w:themeColor="text1" w:themeTint="F2"/>
            </w:tcBorders>
          </w:tcPr>
          <w:p w14:paraId="0A53AB4C" w14:textId="1D25252A"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0FFDBEBE" w14:textId="77777777" w:rsidTr="006A051B">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7C86B786" w14:textId="400C3278" w:rsidR="00041713" w:rsidRPr="006B45DF" w:rsidRDefault="00041713" w:rsidP="00FF2014">
            <w:r>
              <w:t>Ogo</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573B7EA6" w14:textId="27661A20" w:rsidR="00041713"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Refer to Gracilaria</w:t>
            </w:r>
          </w:p>
        </w:tc>
        <w:tc>
          <w:tcPr>
            <w:tcW w:w="1766" w:type="dxa"/>
            <w:tcBorders>
              <w:top w:val="single" w:sz="6" w:space="0" w:color="0D0D0D" w:themeColor="text1" w:themeTint="F2"/>
              <w:left w:val="single" w:sz="6" w:space="0" w:color="0D0D0D" w:themeColor="text1" w:themeTint="F2"/>
              <w:bottom w:val="single" w:sz="6" w:space="0" w:color="0D0D0D" w:themeColor="text1" w:themeTint="F2"/>
            </w:tcBorders>
            <w:shd w:val="clear" w:color="auto" w:fill="F7C5AC"/>
          </w:tcPr>
          <w:p w14:paraId="20768098" w14:textId="43DD6196"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shd w:val="clear" w:color="auto" w:fill="F7C5AC"/>
          </w:tcPr>
          <w:p w14:paraId="7D301C55"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tcBorders>
            <w:shd w:val="clear" w:color="auto" w:fill="F7C5AC"/>
          </w:tcPr>
          <w:p w14:paraId="39BBF645" w14:textId="6E6FE71D"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shd w:val="clear" w:color="auto" w:fill="F7C5AC"/>
          </w:tcPr>
          <w:p w14:paraId="7AE3859C"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right w:val="single" w:sz="12" w:space="0" w:color="0D0D0D" w:themeColor="text1" w:themeTint="F2"/>
            </w:tcBorders>
            <w:shd w:val="clear" w:color="auto" w:fill="F7C5AC"/>
          </w:tcPr>
          <w:p w14:paraId="0589BBFE" w14:textId="350F8803"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041713" w14:paraId="2A3CAEB3" w14:textId="77777777" w:rsidTr="006A051B">
        <w:trPr>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148B2CBC" w14:textId="039D314C" w:rsidR="00041713" w:rsidRPr="006B45DF" w:rsidRDefault="00041713" w:rsidP="00FF2014">
            <w:r>
              <w:rPr>
                <w:rFonts w:cs="Calibri"/>
                <w:i/>
                <w:iCs/>
                <w:color w:val="000000"/>
              </w:rPr>
              <w:t>Peyssonnelia squamaria</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A3FD421" w14:textId="2F37FA20" w:rsidR="00041713" w:rsidRPr="00041713" w:rsidRDefault="00041713" w:rsidP="00FF2014">
            <w:pPr>
              <w:cnfStyle w:val="000000000000" w:firstRow="0" w:lastRow="0" w:firstColumn="0" w:lastColumn="0" w:oddVBand="0" w:evenVBand="0" w:oddHBand="0" w:evenHBand="0" w:firstRowFirstColumn="0" w:firstRowLastColumn="0" w:lastRowFirstColumn="0" w:lastRowLastColumn="0"/>
              <w:rPr>
                <w:i/>
                <w:iCs/>
              </w:rPr>
            </w:pPr>
            <w:r w:rsidRPr="00041713">
              <w:rPr>
                <w:i/>
                <w:iCs/>
              </w:rPr>
              <w:t>Peyssonnelia squamaria</w:t>
            </w:r>
          </w:p>
        </w:tc>
        <w:tc>
          <w:tcPr>
            <w:tcW w:w="1766" w:type="dxa"/>
            <w:tcBorders>
              <w:top w:val="single" w:sz="6" w:space="0" w:color="0D0D0D" w:themeColor="text1" w:themeTint="F2"/>
              <w:left w:val="single" w:sz="6" w:space="0" w:color="0D0D0D" w:themeColor="text1" w:themeTint="F2"/>
              <w:bottom w:val="single" w:sz="6" w:space="0" w:color="0D0D0D" w:themeColor="text1" w:themeTint="F2"/>
            </w:tcBorders>
          </w:tcPr>
          <w:p w14:paraId="3DB9D9CB" w14:textId="46C66354"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tcPr>
          <w:p w14:paraId="1DE5187D"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tcBorders>
          </w:tcPr>
          <w:p w14:paraId="78E941C8" w14:textId="65CFC2C5"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tcPr>
          <w:p w14:paraId="278D95B6"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right w:val="single" w:sz="12" w:space="0" w:color="0D0D0D" w:themeColor="text1" w:themeTint="F2"/>
            </w:tcBorders>
          </w:tcPr>
          <w:p w14:paraId="7DB52AED" w14:textId="2FE1A712"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1FD73659" w14:textId="77777777" w:rsidTr="006A051B">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7506D261" w14:textId="4078DB52" w:rsidR="00041713" w:rsidRPr="006B45DF" w:rsidRDefault="00041713" w:rsidP="00FF2014">
            <w:r>
              <w:rPr>
                <w:rFonts w:cs="Calibri"/>
                <w:i/>
                <w:iCs/>
                <w:color w:val="000000"/>
              </w:rPr>
              <w:t>Sarcodiotheca gaudichaudii</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21C1CCC6" w14:textId="58D86FF9" w:rsidR="00041713"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Sarcodiotheca gaudichaudii</w:t>
            </w:r>
          </w:p>
        </w:tc>
        <w:tc>
          <w:tcPr>
            <w:tcW w:w="1766" w:type="dxa"/>
            <w:tcBorders>
              <w:top w:val="single" w:sz="6" w:space="0" w:color="0D0D0D" w:themeColor="text1" w:themeTint="F2"/>
              <w:left w:val="single" w:sz="6" w:space="0" w:color="0D0D0D" w:themeColor="text1" w:themeTint="F2"/>
              <w:bottom w:val="single" w:sz="6" w:space="0" w:color="0D0D0D" w:themeColor="text1" w:themeTint="F2"/>
            </w:tcBorders>
            <w:shd w:val="clear" w:color="auto" w:fill="F7C5AC"/>
          </w:tcPr>
          <w:p w14:paraId="22D99362" w14:textId="475C9B80"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shd w:val="clear" w:color="auto" w:fill="F7C5AC"/>
          </w:tcPr>
          <w:p w14:paraId="0FF7ED12"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tcBorders>
            <w:shd w:val="clear" w:color="auto" w:fill="F7C5AC"/>
          </w:tcPr>
          <w:p w14:paraId="354E968B" w14:textId="4EA3325C"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shd w:val="clear" w:color="auto" w:fill="F7C5AC"/>
          </w:tcPr>
          <w:p w14:paraId="22F22585"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right w:val="single" w:sz="12" w:space="0" w:color="0D0D0D" w:themeColor="text1" w:themeTint="F2"/>
            </w:tcBorders>
            <w:shd w:val="clear" w:color="auto" w:fill="F7C5AC"/>
          </w:tcPr>
          <w:p w14:paraId="3E961CAF" w14:textId="080CFAA6"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041713" w14:paraId="3B36B654" w14:textId="77777777" w:rsidTr="006A051B">
        <w:trPr>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0F65097C" w14:textId="7782A0CB" w:rsidR="00041713" w:rsidRPr="006B45DF" w:rsidRDefault="00041713" w:rsidP="00FF2014">
            <w:r>
              <w:rPr>
                <w:rFonts w:cs="Calibri"/>
                <w:color w:val="000000"/>
              </w:rPr>
              <w:t>Sea Birds Nest</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22995C4" w14:textId="32CA9A51" w:rsidR="00041713" w:rsidRPr="00041713" w:rsidRDefault="00041713" w:rsidP="00FF2014">
            <w:pPr>
              <w:cnfStyle w:val="000000000000" w:firstRow="0" w:lastRow="0" w:firstColumn="0" w:lastColumn="0" w:oddVBand="0" w:evenVBand="0" w:oddHBand="0" w:evenHBand="0" w:firstRowFirstColumn="0" w:firstRowLastColumn="0" w:lastRowFirstColumn="0" w:lastRowLastColumn="0"/>
              <w:rPr>
                <w:i/>
                <w:iCs/>
              </w:rPr>
            </w:pPr>
            <w:r w:rsidRPr="00041713">
              <w:rPr>
                <w:i/>
                <w:iCs/>
              </w:rPr>
              <w:t>Eucheuma cottoni</w:t>
            </w:r>
          </w:p>
        </w:tc>
        <w:tc>
          <w:tcPr>
            <w:tcW w:w="1766" w:type="dxa"/>
            <w:tcBorders>
              <w:top w:val="single" w:sz="6" w:space="0" w:color="0D0D0D" w:themeColor="text1" w:themeTint="F2"/>
              <w:left w:val="single" w:sz="6" w:space="0" w:color="0D0D0D" w:themeColor="text1" w:themeTint="F2"/>
              <w:bottom w:val="single" w:sz="6" w:space="0" w:color="0D0D0D" w:themeColor="text1" w:themeTint="F2"/>
            </w:tcBorders>
          </w:tcPr>
          <w:p w14:paraId="00635121" w14:textId="6FCA84FC"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tcPr>
          <w:p w14:paraId="7D2C190E"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tcBorders>
          </w:tcPr>
          <w:p w14:paraId="1FCA2586" w14:textId="531E5B58"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tcPr>
          <w:p w14:paraId="290E5C13"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right w:val="single" w:sz="12" w:space="0" w:color="0D0D0D" w:themeColor="text1" w:themeTint="F2"/>
            </w:tcBorders>
          </w:tcPr>
          <w:p w14:paraId="26EF08F0" w14:textId="74F875B3"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16F1B91C" w14:textId="77777777" w:rsidTr="006A051B">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shd w:val="clear" w:color="auto" w:fill="F7C5AC"/>
          </w:tcPr>
          <w:p w14:paraId="3CFD97DF" w14:textId="695F7AF0" w:rsidR="00041713" w:rsidRPr="006B45DF" w:rsidRDefault="00041713" w:rsidP="00FF2014">
            <w:r>
              <w:rPr>
                <w:rFonts w:cs="Calibri"/>
                <w:color w:val="000000"/>
              </w:rPr>
              <w:t>Sea Moss</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7C5AC"/>
          </w:tcPr>
          <w:p w14:paraId="67B81A4E" w14:textId="709F2296" w:rsidR="00041713"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Eucheuma spinosum</w:t>
            </w:r>
          </w:p>
        </w:tc>
        <w:tc>
          <w:tcPr>
            <w:tcW w:w="1766" w:type="dxa"/>
            <w:tcBorders>
              <w:top w:val="single" w:sz="6" w:space="0" w:color="0D0D0D" w:themeColor="text1" w:themeTint="F2"/>
              <w:left w:val="single" w:sz="6" w:space="0" w:color="0D0D0D" w:themeColor="text1" w:themeTint="F2"/>
              <w:bottom w:val="single" w:sz="6" w:space="0" w:color="0D0D0D" w:themeColor="text1" w:themeTint="F2"/>
            </w:tcBorders>
            <w:shd w:val="clear" w:color="auto" w:fill="F7C5AC"/>
          </w:tcPr>
          <w:p w14:paraId="1CD60971" w14:textId="44C25F30"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shd w:val="clear" w:color="auto" w:fill="F7C5AC"/>
          </w:tcPr>
          <w:p w14:paraId="5A34E521"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tcBorders>
            <w:shd w:val="clear" w:color="auto" w:fill="F7C5AC"/>
          </w:tcPr>
          <w:p w14:paraId="3A46FBDB" w14:textId="3AA7D18A"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shd w:val="clear" w:color="auto" w:fill="F7C5AC"/>
          </w:tcPr>
          <w:p w14:paraId="5038C45E"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right w:val="single" w:sz="12" w:space="0" w:color="0D0D0D" w:themeColor="text1" w:themeTint="F2"/>
            </w:tcBorders>
            <w:shd w:val="clear" w:color="auto" w:fill="F7C5AC"/>
          </w:tcPr>
          <w:p w14:paraId="2CD232C0" w14:textId="7AC84FD8"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r w:rsidR="00041713" w14:paraId="4CDB78DE" w14:textId="77777777" w:rsidTr="006A051B">
        <w:trPr>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6" w:space="0" w:color="0D0D0D" w:themeColor="text1" w:themeTint="F2"/>
              <w:right w:val="single" w:sz="6" w:space="0" w:color="0D0D0D" w:themeColor="text1" w:themeTint="F2"/>
            </w:tcBorders>
          </w:tcPr>
          <w:p w14:paraId="525713FA" w14:textId="0EFC384F" w:rsidR="00041713" w:rsidRPr="006B45DF" w:rsidRDefault="00041713" w:rsidP="00FF2014">
            <w:r>
              <w:rPr>
                <w:rFonts w:cs="Calibri"/>
                <w:color w:val="000000"/>
              </w:rPr>
              <w:t>Spiny Red Seaweed</w:t>
            </w:r>
          </w:p>
        </w:tc>
        <w:tc>
          <w:tcPr>
            <w:tcW w:w="279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1A64F7C" w14:textId="37DAC6DF" w:rsidR="00041713" w:rsidRPr="00041713" w:rsidRDefault="00041713" w:rsidP="00FF2014">
            <w:pPr>
              <w:cnfStyle w:val="000000000000" w:firstRow="0" w:lastRow="0" w:firstColumn="0" w:lastColumn="0" w:oddVBand="0" w:evenVBand="0" w:oddHBand="0" w:evenHBand="0" w:firstRowFirstColumn="0" w:firstRowLastColumn="0" w:lastRowFirstColumn="0" w:lastRowLastColumn="0"/>
              <w:rPr>
                <w:i/>
                <w:iCs/>
              </w:rPr>
            </w:pPr>
            <w:r w:rsidRPr="00041713">
              <w:rPr>
                <w:i/>
                <w:iCs/>
              </w:rPr>
              <w:t>Acanthophora specifera</w:t>
            </w:r>
          </w:p>
        </w:tc>
        <w:tc>
          <w:tcPr>
            <w:tcW w:w="1766" w:type="dxa"/>
            <w:tcBorders>
              <w:top w:val="single" w:sz="6" w:space="0" w:color="0D0D0D" w:themeColor="text1" w:themeTint="F2"/>
              <w:left w:val="single" w:sz="6" w:space="0" w:color="0D0D0D" w:themeColor="text1" w:themeTint="F2"/>
              <w:bottom w:val="single" w:sz="6" w:space="0" w:color="0D0D0D" w:themeColor="text1" w:themeTint="F2"/>
            </w:tcBorders>
          </w:tcPr>
          <w:p w14:paraId="144436F2" w14:textId="1D9A552D"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tcPr>
          <w:p w14:paraId="17FC8ECD"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tcBorders>
          </w:tcPr>
          <w:p w14:paraId="4EFEFA61" w14:textId="434B4BCD"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6" w:space="0" w:color="0D0D0D" w:themeColor="text1" w:themeTint="F2"/>
            </w:tcBorders>
          </w:tcPr>
          <w:p w14:paraId="26D84603" w14:textId="77777777" w:rsidR="00041713" w:rsidRDefault="00041713" w:rsidP="00FF2014">
            <w:pPr>
              <w:jc w:val="center"/>
              <w:cnfStyle w:val="000000000000" w:firstRow="0" w:lastRow="0" w:firstColumn="0" w:lastColumn="0" w:oddVBand="0" w:evenVBand="0" w:oddHBand="0" w:evenHBand="0" w:firstRowFirstColumn="0" w:firstRowLastColumn="0" w:lastRowFirstColumn="0" w:lastRowLastColumn="0"/>
            </w:pPr>
          </w:p>
        </w:tc>
        <w:tc>
          <w:tcPr>
            <w:tcW w:w="1676" w:type="dxa"/>
            <w:tcBorders>
              <w:top w:val="single" w:sz="6" w:space="0" w:color="0D0D0D" w:themeColor="text1" w:themeTint="F2"/>
              <w:bottom w:val="single" w:sz="6" w:space="0" w:color="0D0D0D" w:themeColor="text1" w:themeTint="F2"/>
              <w:right w:val="single" w:sz="12" w:space="0" w:color="0D0D0D" w:themeColor="text1" w:themeTint="F2"/>
            </w:tcBorders>
          </w:tcPr>
          <w:p w14:paraId="5202B4B6" w14:textId="71AC04C8" w:rsidR="00041713" w:rsidRDefault="009148A3" w:rsidP="00FF2014">
            <w:pPr>
              <w:jc w:val="center"/>
              <w:cnfStyle w:val="000000000000" w:firstRow="0" w:lastRow="0" w:firstColumn="0" w:lastColumn="0" w:oddVBand="0" w:evenVBand="0" w:oddHBand="0" w:evenHBand="0" w:firstRowFirstColumn="0" w:firstRowLastColumn="0" w:lastRowFirstColumn="0" w:lastRowLastColumn="0"/>
            </w:pPr>
            <w:r w:rsidRPr="00587FA2">
              <w:rPr>
                <w:rFonts w:ascii="Wingdings" w:hAnsi="Wingdings" w:cs="Calibri"/>
                <w:b/>
                <w:bCs/>
              </w:rPr>
              <w:t>ü</w:t>
            </w:r>
          </w:p>
        </w:tc>
      </w:tr>
      <w:tr w:rsidR="00FF2014" w14:paraId="70E79F6D" w14:textId="77777777" w:rsidTr="006A051B">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3145" w:type="dxa"/>
            <w:tcBorders>
              <w:top w:val="single" w:sz="6" w:space="0" w:color="0D0D0D" w:themeColor="text1" w:themeTint="F2"/>
              <w:left w:val="single" w:sz="12" w:space="0" w:color="0D0D0D" w:themeColor="text1" w:themeTint="F2"/>
              <w:bottom w:val="single" w:sz="12" w:space="0" w:color="0D0D0D" w:themeColor="text1" w:themeTint="F2"/>
              <w:right w:val="single" w:sz="6" w:space="0" w:color="0D0D0D" w:themeColor="text1" w:themeTint="F2"/>
            </w:tcBorders>
            <w:shd w:val="clear" w:color="auto" w:fill="F7C5AC"/>
          </w:tcPr>
          <w:p w14:paraId="1AB8B2D2" w14:textId="7D08F07C" w:rsidR="00041713" w:rsidRPr="006B45DF" w:rsidRDefault="00041713" w:rsidP="00FF2014">
            <w:r>
              <w:rPr>
                <w:rFonts w:cs="Calibri"/>
                <w:color w:val="000000"/>
              </w:rPr>
              <w:t>Wrack Siphon Weed</w:t>
            </w:r>
          </w:p>
        </w:tc>
        <w:tc>
          <w:tcPr>
            <w:tcW w:w="2790" w:type="dxa"/>
            <w:tcBorders>
              <w:top w:val="single" w:sz="6" w:space="0" w:color="0D0D0D" w:themeColor="text1" w:themeTint="F2"/>
              <w:left w:val="single" w:sz="6" w:space="0" w:color="0D0D0D" w:themeColor="text1" w:themeTint="F2"/>
              <w:bottom w:val="single" w:sz="12" w:space="0" w:color="0D0D0D" w:themeColor="text1" w:themeTint="F2"/>
              <w:right w:val="single" w:sz="6" w:space="0" w:color="0D0D0D" w:themeColor="text1" w:themeTint="F2"/>
            </w:tcBorders>
            <w:shd w:val="clear" w:color="auto" w:fill="F7C5AC"/>
          </w:tcPr>
          <w:p w14:paraId="3AB0D16B" w14:textId="20B751A7" w:rsidR="00041713" w:rsidRPr="00041713" w:rsidRDefault="00041713" w:rsidP="00FF2014">
            <w:pPr>
              <w:cnfStyle w:val="000000100000" w:firstRow="0" w:lastRow="0" w:firstColumn="0" w:lastColumn="0" w:oddVBand="0" w:evenVBand="0" w:oddHBand="1" w:evenHBand="0" w:firstRowFirstColumn="0" w:firstRowLastColumn="0" w:lastRowFirstColumn="0" w:lastRowLastColumn="0"/>
              <w:rPr>
                <w:i/>
                <w:iCs/>
              </w:rPr>
            </w:pPr>
            <w:r w:rsidRPr="00041713">
              <w:rPr>
                <w:i/>
                <w:iCs/>
              </w:rPr>
              <w:t>Vertebrata lanosa</w:t>
            </w:r>
          </w:p>
        </w:tc>
        <w:tc>
          <w:tcPr>
            <w:tcW w:w="1766" w:type="dxa"/>
            <w:tcBorders>
              <w:top w:val="single" w:sz="6" w:space="0" w:color="0D0D0D" w:themeColor="text1" w:themeTint="F2"/>
              <w:left w:val="single" w:sz="6" w:space="0" w:color="0D0D0D" w:themeColor="text1" w:themeTint="F2"/>
              <w:bottom w:val="single" w:sz="12" w:space="0" w:color="0D0D0D" w:themeColor="text1" w:themeTint="F2"/>
            </w:tcBorders>
            <w:shd w:val="clear" w:color="auto" w:fill="F7C5AC"/>
          </w:tcPr>
          <w:p w14:paraId="2C5ED961" w14:textId="2C784922"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12" w:space="0" w:color="0D0D0D" w:themeColor="text1" w:themeTint="F2"/>
            </w:tcBorders>
            <w:shd w:val="clear" w:color="auto" w:fill="F7C5AC"/>
          </w:tcPr>
          <w:p w14:paraId="4DC61A1B"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bottom w:val="single" w:sz="12" w:space="0" w:color="0D0D0D" w:themeColor="text1" w:themeTint="F2"/>
            </w:tcBorders>
            <w:shd w:val="clear" w:color="auto" w:fill="F7C5AC"/>
          </w:tcPr>
          <w:p w14:paraId="43E45CAB" w14:textId="6175443D"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c>
          <w:tcPr>
            <w:tcW w:w="1676" w:type="dxa"/>
            <w:tcBorders>
              <w:top w:val="single" w:sz="6" w:space="0" w:color="0D0D0D" w:themeColor="text1" w:themeTint="F2"/>
              <w:bottom w:val="single" w:sz="12" w:space="0" w:color="0D0D0D" w:themeColor="text1" w:themeTint="F2"/>
            </w:tcBorders>
            <w:shd w:val="clear" w:color="auto" w:fill="F7C5AC"/>
          </w:tcPr>
          <w:p w14:paraId="2AC3E450" w14:textId="77777777" w:rsidR="00041713" w:rsidRDefault="00041713" w:rsidP="00FF2014">
            <w:pPr>
              <w:jc w:val="center"/>
              <w:cnfStyle w:val="000000100000" w:firstRow="0" w:lastRow="0" w:firstColumn="0" w:lastColumn="0" w:oddVBand="0" w:evenVBand="0" w:oddHBand="1" w:evenHBand="0" w:firstRowFirstColumn="0" w:firstRowLastColumn="0" w:lastRowFirstColumn="0" w:lastRowLastColumn="0"/>
            </w:pPr>
          </w:p>
        </w:tc>
        <w:tc>
          <w:tcPr>
            <w:tcW w:w="1676" w:type="dxa"/>
            <w:tcBorders>
              <w:top w:val="single" w:sz="6" w:space="0" w:color="0D0D0D" w:themeColor="text1" w:themeTint="F2"/>
              <w:bottom w:val="single" w:sz="12" w:space="0" w:color="0D0D0D" w:themeColor="text1" w:themeTint="F2"/>
              <w:right w:val="single" w:sz="12" w:space="0" w:color="0D0D0D" w:themeColor="text1" w:themeTint="F2"/>
            </w:tcBorders>
            <w:shd w:val="clear" w:color="auto" w:fill="F7C5AC"/>
          </w:tcPr>
          <w:p w14:paraId="381AA2E3" w14:textId="6F405B79" w:rsidR="00041713" w:rsidRDefault="009148A3" w:rsidP="00FF2014">
            <w:pPr>
              <w:jc w:val="center"/>
              <w:cnfStyle w:val="000000100000" w:firstRow="0" w:lastRow="0" w:firstColumn="0" w:lastColumn="0" w:oddVBand="0" w:evenVBand="0" w:oddHBand="1" w:evenHBand="0" w:firstRowFirstColumn="0" w:firstRowLastColumn="0" w:lastRowFirstColumn="0" w:lastRowLastColumn="0"/>
            </w:pPr>
            <w:r w:rsidRPr="00587FA2">
              <w:rPr>
                <w:rFonts w:ascii="Wingdings" w:hAnsi="Wingdings" w:cs="Calibri"/>
                <w:b/>
                <w:bCs/>
              </w:rPr>
              <w:t>ü</w:t>
            </w:r>
          </w:p>
        </w:tc>
      </w:tr>
    </w:tbl>
    <w:p w14:paraId="3ED91C75" w14:textId="77777777" w:rsidR="00DD568D" w:rsidRDefault="00DD568D" w:rsidP="00691E23">
      <w:pPr>
        <w:pStyle w:val="Heading3"/>
        <w:sectPr w:rsidR="00DD568D" w:rsidSect="00FC5EB5">
          <w:footnotePr>
            <w:numRestart w:val="eachSect"/>
          </w:footnotePr>
          <w:pgSz w:w="15840" w:h="12240" w:orient="landscape"/>
          <w:pgMar w:top="1440" w:right="1440" w:bottom="1440" w:left="1440" w:header="720" w:footer="720" w:gutter="0"/>
          <w:pgNumType w:chapStyle="1"/>
          <w:cols w:space="720"/>
          <w:docGrid w:linePitch="360"/>
        </w:sectPr>
      </w:pPr>
      <w:bookmarkStart w:id="66" w:name="_Toc208503179"/>
    </w:p>
    <w:p w14:paraId="17DE6C62" w14:textId="60A090DF" w:rsidR="00433395" w:rsidRDefault="00433395" w:rsidP="00691E23">
      <w:pPr>
        <w:pStyle w:val="Heading3"/>
      </w:pPr>
      <w:r>
        <w:lastRenderedPageBreak/>
        <w:t>Process-Related Hazards</w:t>
      </w:r>
      <w:bookmarkEnd w:id="66"/>
    </w:p>
    <w:p w14:paraId="3DB43C50" w14:textId="4020D5DD" w:rsidR="002169B0" w:rsidRDefault="002169B0" w:rsidP="004A0EDE">
      <w:pPr>
        <w:spacing w:before="240"/>
        <w:ind w:left="-720" w:right="-720"/>
      </w:pPr>
      <w:r>
        <w:t>Process-related hazards are those that occur or are introduced during processing. The type of hazard can vary depending on the processing methods, final product type, and the type of packaging used. T</w:t>
      </w:r>
      <w:r w:rsidR="002D13BE">
        <w:t xml:space="preserve">able 4-4 </w:t>
      </w:r>
      <w:r>
        <w:t>lists potential process-related hazards associated with various seaweed processing methods</w:t>
      </w:r>
      <w:r w:rsidR="00045395">
        <w:t>.</w:t>
      </w:r>
    </w:p>
    <w:p w14:paraId="7738BE77" w14:textId="28B170AB" w:rsidR="00FF2014" w:rsidRDefault="002169B0" w:rsidP="00045395">
      <w:pPr>
        <w:ind w:left="-720" w:right="-720"/>
      </w:pPr>
      <w:r>
        <w:t xml:space="preserve">To use </w:t>
      </w:r>
      <w:r w:rsidR="00045395">
        <w:t>Table 4-4</w:t>
      </w:r>
      <w:r>
        <w:t>, locate the finished product type in the first column, then</w:t>
      </w:r>
      <w:r w:rsidR="00FF2014">
        <w:t xml:space="preserve"> read across the row to identify any potential hazards for corresponding packaging types. </w:t>
      </w:r>
      <w:r>
        <w:t xml:space="preserve">A check mark </w:t>
      </w:r>
      <w:r w:rsidR="00FF2014">
        <w:t>(</w:t>
      </w:r>
      <w:r w:rsidR="00FF2014" w:rsidRPr="00587FA2">
        <w:rPr>
          <w:rFonts w:ascii="Wingdings" w:hAnsi="Wingdings" w:cs="Calibri"/>
          <w:b/>
          <w:bCs/>
        </w:rPr>
        <w:t>ü</w:t>
      </w:r>
      <w:r w:rsidR="00FF2014">
        <w:t xml:space="preserve">) </w:t>
      </w:r>
      <w:r>
        <w:t>indicates the presence of a potential hazard</w:t>
      </w:r>
      <w:r w:rsidR="00FF2014">
        <w:t>, and blank box (</w:t>
      </w:r>
      <w:r w:rsidR="00FF2014" w:rsidRPr="002717F3">
        <w:rPr>
          <w:rFonts w:ascii="Segoe UI Symbol" w:hAnsi="Segoe UI Symbol" w:cs="Segoe UI Symbol"/>
        </w:rPr>
        <w:t>☐</w:t>
      </w:r>
      <w:r w:rsidR="00FF2014" w:rsidRPr="008D2F60">
        <w:rPr>
          <w:rFonts w:cs="Calibri"/>
        </w:rPr>
        <w:t>) indicates none.</w:t>
      </w:r>
      <w:r w:rsidR="00FF2014">
        <w:rPr>
          <w:rFonts w:ascii="Segoe UI Symbol" w:hAnsi="Segoe UI Symbol" w:cs="Segoe UI Symbol"/>
        </w:rPr>
        <w:t xml:space="preserve"> “</w:t>
      </w:r>
      <w:r w:rsidR="00FF2014" w:rsidRPr="002D13BE">
        <w:rPr>
          <w:b/>
          <w:bCs/>
        </w:rPr>
        <w:t>ROP</w:t>
      </w:r>
      <w:r w:rsidR="00FF2014">
        <w:t>”</w:t>
      </w:r>
      <w:r w:rsidR="00FF2014" w:rsidRPr="00FF2014">
        <w:t xml:space="preserve"> stands for </w:t>
      </w:r>
      <w:hyperlink w:anchor="ROP" w:tooltip="Food packaging method that results in reduced or no presence of oxygen (mechanical vacuum, steam flush, hot fill, modified atmosphere packaging (MAP), controlled atmosphere packaging, hermetically sealed, or packed in oil)." w:history="1">
        <w:r w:rsidR="00FF2014" w:rsidRPr="00FF2014">
          <w:rPr>
            <w:rStyle w:val="Hyperlink"/>
          </w:rPr>
          <w:t>Reduced Oxygen Packaging</w:t>
        </w:r>
      </w:hyperlink>
      <w:r w:rsidR="00FF2014" w:rsidRPr="00FF2014">
        <w:t xml:space="preserve"> and “</w:t>
      </w:r>
      <w:r w:rsidR="00FF2014" w:rsidRPr="002D13BE">
        <w:rPr>
          <w:b/>
          <w:bCs/>
        </w:rPr>
        <w:t>Other</w:t>
      </w:r>
      <w:r w:rsidR="00FF2014" w:rsidRPr="00FF2014">
        <w:t>” stands for Oxygen</w:t>
      </w:r>
      <w:r w:rsidR="00FF2014">
        <w:t>-</w:t>
      </w:r>
      <w:r w:rsidR="00FF2014" w:rsidRPr="00FF2014">
        <w:t>Permeable Packaging (Air Packed). Footnotes</w:t>
      </w:r>
      <w:r w:rsidRPr="00FF2014">
        <w:t xml:space="preserve"> refer to additional de</w:t>
      </w:r>
      <w:r>
        <w:t xml:space="preserve">tails </w:t>
      </w:r>
      <w:r w:rsidR="00FF2014">
        <w:t>about specific hazards.</w:t>
      </w:r>
    </w:p>
    <w:p w14:paraId="0F829BA5" w14:textId="719B44C1" w:rsidR="00045395" w:rsidRDefault="00045395" w:rsidP="00C54E07">
      <w:pPr>
        <w:pStyle w:val="Caption"/>
      </w:pPr>
      <w:r w:rsidRPr="008D2F60">
        <w:t xml:space="preserve">Table </w:t>
      </w:r>
      <w:fldSimple w:instr=" STYLEREF 1 \s ">
        <w:r w:rsidR="00A042AD">
          <w:rPr>
            <w:noProof/>
          </w:rPr>
          <w:t>4</w:t>
        </w:r>
      </w:fldSimple>
      <w:r w:rsidR="00896F22" w:rsidRPr="008D2F60">
        <w:noBreakHyphen/>
      </w:r>
      <w:fldSimple w:instr=" SEQ Table \* ARABIC \s 1 ">
        <w:r w:rsidR="00A042AD">
          <w:rPr>
            <w:noProof/>
          </w:rPr>
          <w:t>4</w:t>
        </w:r>
      </w:fldSimple>
      <w:r w:rsidRPr="008D2F60">
        <w:t>:</w:t>
      </w:r>
      <w:r>
        <w:t xml:space="preserve"> </w:t>
      </w:r>
      <w:r w:rsidRPr="00F8617D">
        <w:t>Process-Related Seaweed Hazards</w:t>
      </w:r>
    </w:p>
    <w:tbl>
      <w:tblPr>
        <w:tblStyle w:val="TableGrid"/>
        <w:tblW w:w="14580" w:type="dxa"/>
        <w:tblInd w:w="-725" w:type="dxa"/>
        <w:tblLayout w:type="fixed"/>
        <w:tblCellMar>
          <w:top w:w="29" w:type="dxa"/>
          <w:bottom w:w="29" w:type="dxa"/>
        </w:tblCellMar>
        <w:tblLook w:val="04A0" w:firstRow="1" w:lastRow="0" w:firstColumn="1" w:lastColumn="0" w:noHBand="0" w:noVBand="1"/>
      </w:tblPr>
      <w:tblGrid>
        <w:gridCol w:w="3060"/>
        <w:gridCol w:w="2070"/>
        <w:gridCol w:w="1710"/>
        <w:gridCol w:w="2250"/>
        <w:gridCol w:w="2070"/>
        <w:gridCol w:w="1620"/>
        <w:gridCol w:w="1800"/>
      </w:tblGrid>
      <w:tr w:rsidR="00245DC2" w14:paraId="788F43D1" w14:textId="77777777" w:rsidTr="00B2371F">
        <w:trPr>
          <w:tblHeader/>
        </w:trPr>
        <w:tc>
          <w:tcPr>
            <w:tcW w:w="30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28666E"/>
            <w:vAlign w:val="bottom"/>
          </w:tcPr>
          <w:p w14:paraId="2122C995" w14:textId="275FCDE3" w:rsidR="00EE4D03" w:rsidRPr="00245DC2" w:rsidRDefault="00EE4D03" w:rsidP="002169B0">
            <w:pPr>
              <w:rPr>
                <w:b/>
                <w:bCs/>
                <w:color w:val="FFFFFF" w:themeColor="background1"/>
              </w:rPr>
            </w:pPr>
            <w:r w:rsidRPr="00245DC2">
              <w:rPr>
                <w:b/>
                <w:bCs/>
                <w:color w:val="FFFFFF" w:themeColor="background1"/>
              </w:rPr>
              <w:t>Finished Product</w:t>
            </w:r>
          </w:p>
        </w:tc>
        <w:tc>
          <w:tcPr>
            <w:tcW w:w="2070" w:type="dxa"/>
            <w:tcBorders>
              <w:top w:val="single" w:sz="8" w:space="0" w:color="0D0D0D" w:themeColor="text1" w:themeTint="F2"/>
              <w:left w:val="single" w:sz="8" w:space="0" w:color="0D0D0D" w:themeColor="text1" w:themeTint="F2"/>
              <w:bottom w:val="single" w:sz="8" w:space="0" w:color="0D0D0D" w:themeColor="text1" w:themeTint="F2"/>
            </w:tcBorders>
            <w:shd w:val="clear" w:color="auto" w:fill="28666E"/>
            <w:vAlign w:val="bottom"/>
          </w:tcPr>
          <w:p w14:paraId="41D84D6B" w14:textId="6585CBCA" w:rsidR="00EE4D03" w:rsidRPr="00245DC2" w:rsidRDefault="00EE4D03" w:rsidP="002169B0">
            <w:pPr>
              <w:rPr>
                <w:b/>
                <w:bCs/>
                <w:color w:val="FFFFFF" w:themeColor="background1"/>
              </w:rPr>
            </w:pPr>
            <w:r w:rsidRPr="00245DC2">
              <w:rPr>
                <w:b/>
                <w:bCs/>
                <w:color w:val="FFFFFF" w:themeColor="background1"/>
              </w:rPr>
              <w:t>Pathogen Growth Due to Temperature Abuse</w:t>
            </w:r>
          </w:p>
          <w:p w14:paraId="5670C764" w14:textId="56E9C6B0" w:rsidR="00EE4D03" w:rsidRPr="00245DC2" w:rsidRDefault="00EE4D03" w:rsidP="002169B0">
            <w:pPr>
              <w:rPr>
                <w:b/>
                <w:bCs/>
                <w:color w:val="FFFFFF" w:themeColor="background1"/>
              </w:rPr>
            </w:pPr>
            <w:r w:rsidRPr="00245DC2">
              <w:rPr>
                <w:b/>
                <w:bCs/>
                <w:color w:val="FFFFFF" w:themeColor="background1"/>
              </w:rPr>
              <w:t>Chapter 10</w:t>
            </w:r>
          </w:p>
        </w:tc>
        <w:tc>
          <w:tcPr>
            <w:tcW w:w="1710" w:type="dxa"/>
            <w:tcBorders>
              <w:top w:val="single" w:sz="8" w:space="0" w:color="0D0D0D" w:themeColor="text1" w:themeTint="F2"/>
              <w:bottom w:val="single" w:sz="8" w:space="0" w:color="0D0D0D" w:themeColor="text1" w:themeTint="F2"/>
            </w:tcBorders>
            <w:shd w:val="clear" w:color="auto" w:fill="28666E"/>
            <w:vAlign w:val="bottom"/>
          </w:tcPr>
          <w:p w14:paraId="012711E0" w14:textId="77777777" w:rsidR="00EE4D03" w:rsidRPr="00245DC2" w:rsidRDefault="00EE4D03" w:rsidP="002169B0">
            <w:pPr>
              <w:rPr>
                <w:b/>
                <w:bCs/>
                <w:color w:val="FFFFFF" w:themeColor="background1"/>
              </w:rPr>
            </w:pPr>
            <w:r w:rsidRPr="00245DC2">
              <w:rPr>
                <w:b/>
                <w:bCs/>
                <w:color w:val="FFFFFF" w:themeColor="background1"/>
              </w:rPr>
              <w:t>Pathogen Contamination</w:t>
            </w:r>
          </w:p>
          <w:p w14:paraId="3F9E1E05" w14:textId="330EB285" w:rsidR="00F130B0" w:rsidRPr="00245DC2" w:rsidRDefault="00F130B0" w:rsidP="002169B0">
            <w:pPr>
              <w:rPr>
                <w:b/>
                <w:bCs/>
                <w:color w:val="FFFFFF" w:themeColor="background1"/>
              </w:rPr>
            </w:pPr>
            <w:r w:rsidRPr="00245DC2">
              <w:rPr>
                <w:b/>
                <w:bCs/>
                <w:color w:val="FFFFFF" w:themeColor="background1"/>
              </w:rPr>
              <w:t>Chapter 11</w:t>
            </w:r>
          </w:p>
        </w:tc>
        <w:tc>
          <w:tcPr>
            <w:tcW w:w="2250" w:type="dxa"/>
            <w:tcBorders>
              <w:top w:val="single" w:sz="8" w:space="0" w:color="0D0D0D" w:themeColor="text1" w:themeTint="F2"/>
              <w:bottom w:val="single" w:sz="8" w:space="0" w:color="0D0D0D" w:themeColor="text1" w:themeTint="F2"/>
            </w:tcBorders>
            <w:shd w:val="clear" w:color="auto" w:fill="28666E"/>
            <w:vAlign w:val="bottom"/>
          </w:tcPr>
          <w:p w14:paraId="19F4ED7A" w14:textId="77777777" w:rsidR="00EE4D03" w:rsidRPr="00245DC2" w:rsidRDefault="00EE4D03" w:rsidP="002169B0">
            <w:pPr>
              <w:rPr>
                <w:b/>
                <w:bCs/>
                <w:color w:val="FFFFFF" w:themeColor="background1"/>
              </w:rPr>
            </w:pPr>
            <w:r w:rsidRPr="00245DC2">
              <w:rPr>
                <w:b/>
                <w:bCs/>
                <w:color w:val="FFFFFF" w:themeColor="background1"/>
              </w:rPr>
              <w:t xml:space="preserve">Growth of </w:t>
            </w:r>
            <w:r w:rsidRPr="00245DC2">
              <w:rPr>
                <w:b/>
                <w:bCs/>
                <w:i/>
                <w:iCs/>
                <w:color w:val="FFFFFF" w:themeColor="background1"/>
              </w:rPr>
              <w:t>Clostridium botulinum</w:t>
            </w:r>
            <w:r w:rsidRPr="00245DC2">
              <w:rPr>
                <w:b/>
                <w:bCs/>
                <w:color w:val="FFFFFF" w:themeColor="background1"/>
              </w:rPr>
              <w:t xml:space="preserve"> and Toxin Formation</w:t>
            </w:r>
          </w:p>
          <w:p w14:paraId="2FF285BA" w14:textId="02124B8D" w:rsidR="00EE4D03" w:rsidRPr="00245DC2" w:rsidRDefault="00EE4D03" w:rsidP="002169B0">
            <w:pPr>
              <w:rPr>
                <w:b/>
                <w:bCs/>
                <w:color w:val="FFFFFF" w:themeColor="background1"/>
              </w:rPr>
            </w:pPr>
            <w:r w:rsidRPr="00245DC2">
              <w:rPr>
                <w:b/>
                <w:bCs/>
                <w:color w:val="FFFFFF" w:themeColor="background1"/>
              </w:rPr>
              <w:t>Chapter 12</w:t>
            </w:r>
          </w:p>
        </w:tc>
        <w:tc>
          <w:tcPr>
            <w:tcW w:w="2070" w:type="dxa"/>
            <w:tcBorders>
              <w:top w:val="single" w:sz="8" w:space="0" w:color="0D0D0D" w:themeColor="text1" w:themeTint="F2"/>
              <w:bottom w:val="single" w:sz="8" w:space="0" w:color="0D0D0D" w:themeColor="text1" w:themeTint="F2"/>
            </w:tcBorders>
            <w:shd w:val="clear" w:color="auto" w:fill="28666E"/>
            <w:vAlign w:val="bottom"/>
          </w:tcPr>
          <w:p w14:paraId="05354875" w14:textId="77777777" w:rsidR="00342C81" w:rsidRPr="00245DC2" w:rsidRDefault="00EE4D03" w:rsidP="002169B0">
            <w:pPr>
              <w:rPr>
                <w:b/>
                <w:bCs/>
                <w:color w:val="FFFFFF" w:themeColor="background1"/>
              </w:rPr>
            </w:pPr>
            <w:r w:rsidRPr="00245DC2">
              <w:rPr>
                <w:b/>
                <w:bCs/>
                <w:color w:val="FFFFFF" w:themeColor="background1"/>
              </w:rPr>
              <w:t>Pathogen Survival Through Cooking/</w:t>
            </w:r>
          </w:p>
          <w:p w14:paraId="0CB070B0" w14:textId="6F70BB70" w:rsidR="00EE4D03" w:rsidRPr="00245DC2" w:rsidRDefault="00EE4D03" w:rsidP="002169B0">
            <w:pPr>
              <w:rPr>
                <w:b/>
                <w:bCs/>
                <w:color w:val="FFFFFF" w:themeColor="background1"/>
              </w:rPr>
            </w:pPr>
            <w:r w:rsidRPr="00245DC2">
              <w:rPr>
                <w:b/>
                <w:bCs/>
                <w:color w:val="FFFFFF" w:themeColor="background1"/>
              </w:rPr>
              <w:t>Pasteurization</w:t>
            </w:r>
          </w:p>
          <w:p w14:paraId="0600F73B" w14:textId="2F49EFB0" w:rsidR="00EE4D03" w:rsidRPr="00245DC2" w:rsidRDefault="00EE4D03" w:rsidP="002169B0">
            <w:pPr>
              <w:rPr>
                <w:b/>
                <w:bCs/>
                <w:color w:val="FFFFFF" w:themeColor="background1"/>
              </w:rPr>
            </w:pPr>
            <w:r w:rsidRPr="00245DC2">
              <w:rPr>
                <w:b/>
                <w:bCs/>
                <w:color w:val="FFFFFF" w:themeColor="background1"/>
              </w:rPr>
              <w:t>Chapter 13</w:t>
            </w:r>
          </w:p>
        </w:tc>
        <w:tc>
          <w:tcPr>
            <w:tcW w:w="1620" w:type="dxa"/>
            <w:tcBorders>
              <w:top w:val="single" w:sz="8" w:space="0" w:color="0D0D0D" w:themeColor="text1" w:themeTint="F2"/>
              <w:bottom w:val="single" w:sz="8" w:space="0" w:color="0D0D0D" w:themeColor="text1" w:themeTint="F2"/>
            </w:tcBorders>
            <w:shd w:val="clear" w:color="auto" w:fill="28666E"/>
            <w:vAlign w:val="bottom"/>
          </w:tcPr>
          <w:p w14:paraId="10E903D0" w14:textId="77777777" w:rsidR="00EE4D03" w:rsidRPr="00245DC2" w:rsidRDefault="00EE4D03" w:rsidP="002169B0">
            <w:pPr>
              <w:rPr>
                <w:b/>
                <w:bCs/>
                <w:color w:val="FFFFFF" w:themeColor="background1"/>
              </w:rPr>
            </w:pPr>
            <w:r w:rsidRPr="00245DC2">
              <w:rPr>
                <w:b/>
                <w:bCs/>
                <w:color w:val="FFFFFF" w:themeColor="background1"/>
              </w:rPr>
              <w:t>Allergens and Food Intolerance Substances</w:t>
            </w:r>
          </w:p>
          <w:p w14:paraId="6E1950EC" w14:textId="665B9B2A" w:rsidR="00EE4D03" w:rsidRPr="00245DC2" w:rsidRDefault="00EE4D03" w:rsidP="002169B0">
            <w:pPr>
              <w:rPr>
                <w:b/>
                <w:bCs/>
                <w:color w:val="FFFFFF" w:themeColor="background1"/>
              </w:rPr>
            </w:pPr>
            <w:r w:rsidRPr="00245DC2">
              <w:rPr>
                <w:b/>
                <w:bCs/>
                <w:color w:val="FFFFFF" w:themeColor="background1"/>
              </w:rPr>
              <w:t>Chapter 14</w:t>
            </w:r>
            <w:r w:rsidR="00DD568D">
              <w:rPr>
                <w:rStyle w:val="FootnoteReference"/>
                <w:b/>
                <w:bCs/>
                <w:color w:val="FFFFFF" w:themeColor="background1"/>
              </w:rPr>
              <w:footnoteReference w:id="22"/>
            </w:r>
          </w:p>
        </w:tc>
        <w:tc>
          <w:tcPr>
            <w:tcW w:w="1800" w:type="dxa"/>
            <w:tcBorders>
              <w:top w:val="single" w:sz="8" w:space="0" w:color="0D0D0D" w:themeColor="text1" w:themeTint="F2"/>
              <w:bottom w:val="single" w:sz="8" w:space="0" w:color="0D0D0D" w:themeColor="text1" w:themeTint="F2"/>
              <w:right w:val="single" w:sz="8" w:space="0" w:color="0D0D0D" w:themeColor="text1" w:themeTint="F2"/>
            </w:tcBorders>
            <w:shd w:val="clear" w:color="auto" w:fill="28666E"/>
            <w:vAlign w:val="bottom"/>
          </w:tcPr>
          <w:p w14:paraId="5F6A0206" w14:textId="77777777" w:rsidR="00EE4D03" w:rsidRPr="00245DC2" w:rsidRDefault="00EE4D03" w:rsidP="002169B0">
            <w:pPr>
              <w:rPr>
                <w:b/>
                <w:bCs/>
                <w:color w:val="FFFFFF" w:themeColor="background1"/>
              </w:rPr>
            </w:pPr>
            <w:r w:rsidRPr="00245DC2">
              <w:rPr>
                <w:b/>
                <w:bCs/>
                <w:color w:val="FFFFFF" w:themeColor="background1"/>
              </w:rPr>
              <w:t>Physical Hazards (metal, glass, plastic)</w:t>
            </w:r>
          </w:p>
          <w:p w14:paraId="5C425A4E" w14:textId="6280433A" w:rsidR="00EE4D03" w:rsidRPr="00245DC2" w:rsidRDefault="00EE4D03" w:rsidP="002169B0">
            <w:pPr>
              <w:rPr>
                <w:b/>
                <w:bCs/>
                <w:color w:val="FFFFFF" w:themeColor="background1"/>
              </w:rPr>
            </w:pPr>
            <w:r w:rsidRPr="00245DC2">
              <w:rPr>
                <w:b/>
                <w:bCs/>
                <w:color w:val="FFFFFF" w:themeColor="background1"/>
              </w:rPr>
              <w:t>Chapter 15</w:t>
            </w:r>
            <w:r w:rsidR="00DD568D">
              <w:rPr>
                <w:rStyle w:val="FootnoteReference"/>
                <w:b/>
                <w:bCs/>
                <w:color w:val="FFFFFF" w:themeColor="background1"/>
              </w:rPr>
              <w:footnoteReference w:id="23"/>
            </w:r>
          </w:p>
        </w:tc>
      </w:tr>
      <w:tr w:rsidR="002717F3" w14:paraId="2ED86CF4" w14:textId="77777777" w:rsidTr="00B2371F">
        <w:trPr>
          <w:trHeight w:val="901"/>
        </w:trPr>
        <w:tc>
          <w:tcPr>
            <w:tcW w:w="3060" w:type="dxa"/>
            <w:tcBorders>
              <w:top w:val="single" w:sz="8" w:space="0" w:color="0D0D0D" w:themeColor="text1" w:themeTint="F2"/>
              <w:left w:val="single" w:sz="8" w:space="0" w:color="0D0D0D" w:themeColor="text1" w:themeTint="F2"/>
              <w:bottom w:val="single" w:sz="6" w:space="0" w:color="0D0D0D" w:themeColor="text1" w:themeTint="F2"/>
              <w:right w:val="single" w:sz="8" w:space="0" w:color="0D0D0D" w:themeColor="text1" w:themeTint="F2"/>
            </w:tcBorders>
            <w:shd w:val="clear" w:color="auto" w:fill="28666E"/>
            <w:vAlign w:val="center"/>
          </w:tcPr>
          <w:p w14:paraId="2B298ED4" w14:textId="09EE2263" w:rsidR="00EE4D03" w:rsidRPr="00245DC2" w:rsidRDefault="00EE4D03" w:rsidP="00C57CC3">
            <w:pPr>
              <w:rPr>
                <w:color w:val="FFFFFF" w:themeColor="background1"/>
              </w:rPr>
            </w:pPr>
            <w:r w:rsidRPr="00245DC2">
              <w:rPr>
                <w:color w:val="FFFFFF" w:themeColor="background1"/>
              </w:rPr>
              <w:t>Raw Seaweed</w:t>
            </w:r>
          </w:p>
        </w:tc>
        <w:tc>
          <w:tcPr>
            <w:tcW w:w="2070" w:type="dxa"/>
            <w:tcBorders>
              <w:top w:val="single" w:sz="8" w:space="0" w:color="0D0D0D" w:themeColor="text1" w:themeTint="F2"/>
              <w:left w:val="single" w:sz="8" w:space="0" w:color="0D0D0D" w:themeColor="text1" w:themeTint="F2"/>
              <w:bottom w:val="single" w:sz="6" w:space="0" w:color="0D0D0D" w:themeColor="text1" w:themeTint="F2"/>
            </w:tcBorders>
            <w:shd w:val="clear" w:color="auto" w:fill="D9D9D9" w:themeFill="background1" w:themeFillShade="D9"/>
            <w:vAlign w:val="center"/>
          </w:tcPr>
          <w:p w14:paraId="4E5ED945" w14:textId="64638A6A" w:rsidR="00EE4D03" w:rsidRDefault="00F130B0" w:rsidP="002169B0">
            <w:pPr>
              <w:ind w:left="257"/>
            </w:pPr>
            <w:r w:rsidRPr="00587FA2">
              <w:rPr>
                <w:rFonts w:ascii="Wingdings" w:hAnsi="Wingdings" w:cs="Calibri"/>
                <w:b/>
                <w:bCs/>
              </w:rPr>
              <w:t>ü</w:t>
            </w:r>
            <w:r>
              <w:t xml:space="preserve"> </w:t>
            </w:r>
            <w:r w:rsidR="00EE4D03">
              <w:t>ROP</w:t>
            </w:r>
          </w:p>
          <w:p w14:paraId="1D7B852A" w14:textId="150752D8" w:rsidR="00EE4D03" w:rsidRDefault="00F130B0" w:rsidP="002169B0">
            <w:pPr>
              <w:ind w:left="257"/>
            </w:pPr>
            <w:r w:rsidRPr="00587FA2">
              <w:rPr>
                <w:rFonts w:ascii="Wingdings" w:hAnsi="Wingdings" w:cs="Calibri"/>
                <w:b/>
                <w:bCs/>
              </w:rPr>
              <w:t>ü</w:t>
            </w:r>
            <w:r>
              <w:t xml:space="preserve"> </w:t>
            </w:r>
            <w:r w:rsidR="00EE4D03">
              <w:t>Other</w:t>
            </w:r>
          </w:p>
        </w:tc>
        <w:tc>
          <w:tcPr>
            <w:tcW w:w="1710" w:type="dxa"/>
            <w:tcBorders>
              <w:top w:val="single" w:sz="8" w:space="0" w:color="0D0D0D" w:themeColor="text1" w:themeTint="F2"/>
              <w:bottom w:val="single" w:sz="6" w:space="0" w:color="0D0D0D" w:themeColor="text1" w:themeTint="F2"/>
            </w:tcBorders>
            <w:shd w:val="clear" w:color="auto" w:fill="D9D9D9" w:themeFill="background1" w:themeFillShade="D9"/>
            <w:vAlign w:val="center"/>
          </w:tcPr>
          <w:p w14:paraId="51E5729B" w14:textId="77777777" w:rsidR="00F130B0" w:rsidRDefault="00F130B0" w:rsidP="002169B0">
            <w:pPr>
              <w:ind w:left="257"/>
            </w:pPr>
            <w:r w:rsidRPr="00587FA2">
              <w:rPr>
                <w:rFonts w:ascii="Wingdings" w:hAnsi="Wingdings" w:cs="Calibri"/>
                <w:b/>
                <w:bCs/>
              </w:rPr>
              <w:t>ü</w:t>
            </w:r>
            <w:r>
              <w:t xml:space="preserve"> ROP</w:t>
            </w:r>
          </w:p>
          <w:p w14:paraId="26B05A3A" w14:textId="6A6A88C9" w:rsidR="00EE4D03" w:rsidRDefault="00F130B0" w:rsidP="002169B0">
            <w:pPr>
              <w:ind w:left="257"/>
            </w:pPr>
            <w:r w:rsidRPr="00587FA2">
              <w:rPr>
                <w:rFonts w:ascii="Wingdings" w:hAnsi="Wingdings" w:cs="Calibri"/>
                <w:b/>
                <w:bCs/>
              </w:rPr>
              <w:t>ü</w:t>
            </w:r>
            <w:r>
              <w:t xml:space="preserve"> Other</w:t>
            </w:r>
          </w:p>
        </w:tc>
        <w:tc>
          <w:tcPr>
            <w:tcW w:w="2250" w:type="dxa"/>
            <w:tcBorders>
              <w:top w:val="single" w:sz="8" w:space="0" w:color="0D0D0D" w:themeColor="text1" w:themeTint="F2"/>
              <w:bottom w:val="single" w:sz="6" w:space="0" w:color="0D0D0D" w:themeColor="text1" w:themeTint="F2"/>
            </w:tcBorders>
            <w:shd w:val="clear" w:color="auto" w:fill="D9D9D9" w:themeFill="background1" w:themeFillShade="D9"/>
            <w:vAlign w:val="center"/>
          </w:tcPr>
          <w:p w14:paraId="09FC6330" w14:textId="77777777" w:rsidR="00F130B0" w:rsidRDefault="00F130B0" w:rsidP="002169B0">
            <w:pPr>
              <w:ind w:left="257"/>
            </w:pPr>
            <w:r w:rsidRPr="00587FA2">
              <w:rPr>
                <w:rFonts w:ascii="Wingdings" w:hAnsi="Wingdings" w:cs="Calibri"/>
                <w:b/>
                <w:bCs/>
              </w:rPr>
              <w:t>ü</w:t>
            </w:r>
            <w:r>
              <w:t xml:space="preserve"> ROP</w:t>
            </w:r>
          </w:p>
          <w:p w14:paraId="56821EDD" w14:textId="7E2AC342" w:rsidR="00EE4D03" w:rsidRDefault="002717F3" w:rsidP="002169B0">
            <w:pPr>
              <w:ind w:left="257"/>
            </w:pPr>
            <w:r w:rsidRPr="002717F3">
              <w:rPr>
                <w:rFonts w:ascii="Segoe UI Symbol" w:hAnsi="Segoe UI Symbol" w:cs="Segoe UI Symbol"/>
              </w:rPr>
              <w:t>☐</w:t>
            </w:r>
            <w:r w:rsidRPr="002717F3">
              <w:t xml:space="preserve"> </w:t>
            </w:r>
            <w:r w:rsidR="00F130B0">
              <w:t>Other</w:t>
            </w:r>
          </w:p>
        </w:tc>
        <w:tc>
          <w:tcPr>
            <w:tcW w:w="2070" w:type="dxa"/>
            <w:tcBorders>
              <w:top w:val="single" w:sz="8" w:space="0" w:color="0D0D0D" w:themeColor="text1" w:themeTint="F2"/>
              <w:bottom w:val="single" w:sz="6" w:space="0" w:color="0D0D0D" w:themeColor="text1" w:themeTint="F2"/>
            </w:tcBorders>
            <w:shd w:val="clear" w:color="auto" w:fill="D9D9D9" w:themeFill="background1" w:themeFillShade="D9"/>
            <w:vAlign w:val="center"/>
          </w:tcPr>
          <w:p w14:paraId="2323C2E7" w14:textId="7F1CF066" w:rsidR="00F130B0" w:rsidRDefault="002717F3" w:rsidP="002169B0">
            <w:pPr>
              <w:ind w:left="257"/>
            </w:pPr>
            <w:r w:rsidRPr="002717F3">
              <w:rPr>
                <w:rFonts w:ascii="Segoe UI Symbol" w:hAnsi="Segoe UI Symbol" w:cs="Segoe UI Symbol"/>
              </w:rPr>
              <w:t>☐</w:t>
            </w:r>
            <w:r w:rsidRPr="002717F3">
              <w:t xml:space="preserve"> </w:t>
            </w:r>
            <w:r w:rsidR="00F130B0">
              <w:t>ROP</w:t>
            </w:r>
          </w:p>
          <w:p w14:paraId="58E6DC2D" w14:textId="0B311D29" w:rsidR="00EE4D03" w:rsidRDefault="002717F3" w:rsidP="002169B0">
            <w:pPr>
              <w:ind w:left="257"/>
            </w:pPr>
            <w:r w:rsidRPr="002717F3">
              <w:rPr>
                <w:rFonts w:ascii="Segoe UI Symbol" w:hAnsi="Segoe UI Symbol" w:cs="Segoe UI Symbol"/>
              </w:rPr>
              <w:t>☐</w:t>
            </w:r>
            <w:r w:rsidRPr="002717F3">
              <w:t xml:space="preserve"> </w:t>
            </w:r>
            <w:r w:rsidR="00F130B0">
              <w:t>Other</w:t>
            </w:r>
          </w:p>
        </w:tc>
        <w:tc>
          <w:tcPr>
            <w:tcW w:w="1620" w:type="dxa"/>
            <w:tcBorders>
              <w:top w:val="single" w:sz="8" w:space="0" w:color="0D0D0D" w:themeColor="text1" w:themeTint="F2"/>
              <w:bottom w:val="single" w:sz="6" w:space="0" w:color="0D0D0D" w:themeColor="text1" w:themeTint="F2"/>
            </w:tcBorders>
            <w:shd w:val="clear" w:color="auto" w:fill="D9D9D9" w:themeFill="background1" w:themeFillShade="D9"/>
            <w:vAlign w:val="center"/>
          </w:tcPr>
          <w:p w14:paraId="2E31A19E" w14:textId="77777777" w:rsidR="00F130B0" w:rsidRDefault="00F130B0" w:rsidP="002169B0">
            <w:pPr>
              <w:ind w:left="257"/>
            </w:pPr>
            <w:r w:rsidRPr="00587FA2">
              <w:rPr>
                <w:rFonts w:ascii="Wingdings" w:hAnsi="Wingdings" w:cs="Calibri"/>
                <w:b/>
                <w:bCs/>
              </w:rPr>
              <w:t>ü</w:t>
            </w:r>
            <w:r>
              <w:t xml:space="preserve"> ROP</w:t>
            </w:r>
          </w:p>
          <w:p w14:paraId="2B9986A9" w14:textId="4111E8BD" w:rsidR="00EE4D03" w:rsidRDefault="00F130B0" w:rsidP="002169B0">
            <w:pPr>
              <w:ind w:left="257"/>
            </w:pPr>
            <w:r w:rsidRPr="00587FA2">
              <w:rPr>
                <w:rFonts w:ascii="Wingdings" w:hAnsi="Wingdings" w:cs="Calibri"/>
                <w:b/>
                <w:bCs/>
              </w:rPr>
              <w:t>ü</w:t>
            </w:r>
            <w:r>
              <w:t xml:space="preserve"> Other</w:t>
            </w:r>
          </w:p>
        </w:tc>
        <w:tc>
          <w:tcPr>
            <w:tcW w:w="1800" w:type="dxa"/>
            <w:tcBorders>
              <w:top w:val="single" w:sz="8" w:space="0" w:color="0D0D0D" w:themeColor="text1" w:themeTint="F2"/>
              <w:bottom w:val="single" w:sz="6" w:space="0" w:color="0D0D0D" w:themeColor="text1" w:themeTint="F2"/>
              <w:right w:val="single" w:sz="8" w:space="0" w:color="0D0D0D" w:themeColor="text1" w:themeTint="F2"/>
            </w:tcBorders>
            <w:shd w:val="clear" w:color="auto" w:fill="D9D9D9" w:themeFill="background1" w:themeFillShade="D9"/>
            <w:vAlign w:val="center"/>
          </w:tcPr>
          <w:p w14:paraId="7DAC1BE4" w14:textId="0F7C30AE" w:rsidR="00F130B0" w:rsidRPr="002169B0" w:rsidRDefault="00F130B0" w:rsidP="002169B0">
            <w:pPr>
              <w:ind w:left="257"/>
              <w:rPr>
                <w:vertAlign w:val="superscript"/>
              </w:rPr>
            </w:pPr>
            <w:r w:rsidRPr="00587FA2">
              <w:rPr>
                <w:rFonts w:ascii="Wingdings" w:hAnsi="Wingdings" w:cs="Calibri"/>
                <w:b/>
                <w:bCs/>
              </w:rPr>
              <w:t>ü</w:t>
            </w:r>
            <w:r>
              <w:t xml:space="preserve"> ROP</w:t>
            </w:r>
          </w:p>
          <w:p w14:paraId="3BCFD2D8" w14:textId="271C9B3D" w:rsidR="00EE4D03" w:rsidRPr="002169B0" w:rsidRDefault="00F130B0" w:rsidP="002169B0">
            <w:pPr>
              <w:ind w:left="257"/>
              <w:rPr>
                <w:vertAlign w:val="superscript"/>
              </w:rPr>
            </w:pPr>
            <w:r w:rsidRPr="00587FA2">
              <w:rPr>
                <w:rFonts w:ascii="Wingdings" w:hAnsi="Wingdings" w:cs="Calibri"/>
                <w:b/>
                <w:bCs/>
              </w:rPr>
              <w:t>ü</w:t>
            </w:r>
            <w:r>
              <w:t xml:space="preserve"> Other</w:t>
            </w:r>
          </w:p>
        </w:tc>
      </w:tr>
      <w:tr w:rsidR="002717F3" w14:paraId="6A261D11" w14:textId="77777777" w:rsidTr="00B2371F">
        <w:trPr>
          <w:trHeight w:val="901"/>
        </w:trPr>
        <w:tc>
          <w:tcPr>
            <w:tcW w:w="3060" w:type="dxa"/>
            <w:tcBorders>
              <w:top w:val="single" w:sz="6" w:space="0" w:color="0D0D0D" w:themeColor="text1" w:themeTint="F2"/>
              <w:left w:val="single" w:sz="8" w:space="0" w:color="0D0D0D" w:themeColor="text1" w:themeTint="F2"/>
              <w:right w:val="single" w:sz="8" w:space="0" w:color="0D0D0D" w:themeColor="text1" w:themeTint="F2"/>
            </w:tcBorders>
            <w:shd w:val="clear" w:color="auto" w:fill="28666E"/>
            <w:vAlign w:val="center"/>
          </w:tcPr>
          <w:p w14:paraId="3FD8A73B" w14:textId="20BC9B8B" w:rsidR="00EE4D03" w:rsidRPr="00245DC2" w:rsidRDefault="00EE4D03" w:rsidP="00C57CC3">
            <w:pPr>
              <w:rPr>
                <w:color w:val="FFFFFF" w:themeColor="background1"/>
              </w:rPr>
            </w:pPr>
            <w:r w:rsidRPr="00245DC2">
              <w:rPr>
                <w:color w:val="FFFFFF" w:themeColor="background1"/>
              </w:rPr>
              <w:t>Dried Whole</w:t>
            </w:r>
            <w:bookmarkStart w:id="67" w:name="_Ref209433175"/>
            <w:r w:rsidR="00DD568D">
              <w:rPr>
                <w:rStyle w:val="FootnoteReference"/>
                <w:color w:val="FFFFFF" w:themeColor="background1"/>
              </w:rPr>
              <w:footnoteReference w:id="24"/>
            </w:r>
            <w:bookmarkEnd w:id="67"/>
            <w:r w:rsidRPr="00245DC2">
              <w:rPr>
                <w:color w:val="FFFFFF" w:themeColor="background1"/>
              </w:rPr>
              <w:t xml:space="preserve"> (&lt;0.85 a</w:t>
            </w:r>
            <w:r w:rsidRPr="00245DC2">
              <w:rPr>
                <w:color w:val="FFFFFF" w:themeColor="background1"/>
                <w:vertAlign w:val="subscript"/>
              </w:rPr>
              <w:t>W</w:t>
            </w:r>
            <w:r w:rsidRPr="00245DC2">
              <w:rPr>
                <w:color w:val="FFFFFF" w:themeColor="background1"/>
              </w:rPr>
              <w:t>)</w:t>
            </w:r>
          </w:p>
        </w:tc>
        <w:tc>
          <w:tcPr>
            <w:tcW w:w="2070" w:type="dxa"/>
            <w:tcBorders>
              <w:top w:val="single" w:sz="6" w:space="0" w:color="0D0D0D" w:themeColor="text1" w:themeTint="F2"/>
              <w:left w:val="single" w:sz="8" w:space="0" w:color="0D0D0D" w:themeColor="text1" w:themeTint="F2"/>
            </w:tcBorders>
            <w:vAlign w:val="center"/>
          </w:tcPr>
          <w:p w14:paraId="6A05A2AF" w14:textId="22B21D49" w:rsidR="00F130B0" w:rsidRDefault="002717F3" w:rsidP="002169B0">
            <w:pPr>
              <w:ind w:left="257"/>
            </w:pPr>
            <w:r w:rsidRPr="002717F3">
              <w:rPr>
                <w:rFonts w:ascii="Segoe UI Symbol" w:hAnsi="Segoe UI Symbol" w:cs="Segoe UI Symbol"/>
              </w:rPr>
              <w:t>☐</w:t>
            </w:r>
            <w:r w:rsidRPr="002717F3">
              <w:t xml:space="preserve"> </w:t>
            </w:r>
            <w:r w:rsidR="00F130B0">
              <w:t>ROP</w:t>
            </w:r>
          </w:p>
          <w:p w14:paraId="555D355B" w14:textId="6E157B7F" w:rsidR="00EE4D03" w:rsidRDefault="002717F3" w:rsidP="002169B0">
            <w:pPr>
              <w:ind w:left="257"/>
            </w:pPr>
            <w:r w:rsidRPr="002717F3">
              <w:rPr>
                <w:rFonts w:ascii="Segoe UI Symbol" w:hAnsi="Segoe UI Symbol" w:cs="Segoe UI Symbol"/>
              </w:rPr>
              <w:t>☐</w:t>
            </w:r>
            <w:r w:rsidRPr="002717F3">
              <w:t xml:space="preserve"> </w:t>
            </w:r>
            <w:r w:rsidR="00F130B0">
              <w:t>Other</w:t>
            </w:r>
          </w:p>
        </w:tc>
        <w:tc>
          <w:tcPr>
            <w:tcW w:w="1710" w:type="dxa"/>
            <w:tcBorders>
              <w:top w:val="single" w:sz="6" w:space="0" w:color="0D0D0D" w:themeColor="text1" w:themeTint="F2"/>
            </w:tcBorders>
            <w:vAlign w:val="center"/>
          </w:tcPr>
          <w:p w14:paraId="039B4E82" w14:textId="77777777" w:rsidR="00F130B0" w:rsidRDefault="00F130B0" w:rsidP="002169B0">
            <w:pPr>
              <w:ind w:left="257"/>
            </w:pPr>
            <w:r w:rsidRPr="00587FA2">
              <w:rPr>
                <w:rFonts w:ascii="Wingdings" w:hAnsi="Wingdings" w:cs="Calibri"/>
                <w:b/>
                <w:bCs/>
              </w:rPr>
              <w:t>ü</w:t>
            </w:r>
            <w:r>
              <w:t xml:space="preserve"> ROP</w:t>
            </w:r>
          </w:p>
          <w:p w14:paraId="73D4B61A" w14:textId="781F7EA1" w:rsidR="00EE4D03" w:rsidRDefault="00F130B0" w:rsidP="002169B0">
            <w:pPr>
              <w:ind w:left="257"/>
            </w:pPr>
            <w:r w:rsidRPr="00587FA2">
              <w:rPr>
                <w:rFonts w:ascii="Wingdings" w:hAnsi="Wingdings" w:cs="Calibri"/>
                <w:b/>
                <w:bCs/>
              </w:rPr>
              <w:t>ü</w:t>
            </w:r>
            <w:r>
              <w:t xml:space="preserve"> Other</w:t>
            </w:r>
          </w:p>
        </w:tc>
        <w:tc>
          <w:tcPr>
            <w:tcW w:w="2250" w:type="dxa"/>
            <w:tcBorders>
              <w:top w:val="single" w:sz="6" w:space="0" w:color="0D0D0D" w:themeColor="text1" w:themeTint="F2"/>
            </w:tcBorders>
            <w:vAlign w:val="center"/>
          </w:tcPr>
          <w:p w14:paraId="6682CCFD" w14:textId="38B8A13A" w:rsidR="00F130B0" w:rsidRDefault="002717F3" w:rsidP="002169B0">
            <w:pPr>
              <w:ind w:left="257"/>
            </w:pPr>
            <w:r w:rsidRPr="002717F3">
              <w:rPr>
                <w:rFonts w:ascii="Segoe UI Symbol" w:hAnsi="Segoe UI Symbol" w:cs="Segoe UI Symbol"/>
              </w:rPr>
              <w:t>☐</w:t>
            </w:r>
            <w:r w:rsidRPr="002717F3">
              <w:t xml:space="preserve"> </w:t>
            </w:r>
            <w:r w:rsidR="00F130B0">
              <w:t>ROP</w:t>
            </w:r>
          </w:p>
          <w:p w14:paraId="425AFFAD" w14:textId="5A17A409" w:rsidR="00EE4D03" w:rsidRDefault="002717F3" w:rsidP="002169B0">
            <w:pPr>
              <w:ind w:left="257"/>
            </w:pPr>
            <w:r w:rsidRPr="002717F3">
              <w:rPr>
                <w:rFonts w:ascii="Segoe UI Symbol" w:hAnsi="Segoe UI Symbol" w:cs="Segoe UI Symbol"/>
              </w:rPr>
              <w:t>☐</w:t>
            </w:r>
            <w:r w:rsidRPr="002717F3">
              <w:t xml:space="preserve"> </w:t>
            </w:r>
            <w:r w:rsidR="00F130B0">
              <w:t>Other</w:t>
            </w:r>
          </w:p>
        </w:tc>
        <w:tc>
          <w:tcPr>
            <w:tcW w:w="2070" w:type="dxa"/>
            <w:tcBorders>
              <w:top w:val="single" w:sz="6" w:space="0" w:color="0D0D0D" w:themeColor="text1" w:themeTint="F2"/>
            </w:tcBorders>
            <w:vAlign w:val="center"/>
          </w:tcPr>
          <w:p w14:paraId="7284D1DC" w14:textId="7D6F36C3" w:rsidR="00F130B0" w:rsidRDefault="002717F3" w:rsidP="002169B0">
            <w:pPr>
              <w:ind w:left="257"/>
            </w:pPr>
            <w:r w:rsidRPr="002717F3">
              <w:rPr>
                <w:rFonts w:ascii="Segoe UI Symbol" w:hAnsi="Segoe UI Symbol" w:cs="Segoe UI Symbol"/>
              </w:rPr>
              <w:t>☐</w:t>
            </w:r>
            <w:r w:rsidRPr="002717F3">
              <w:t xml:space="preserve"> </w:t>
            </w:r>
            <w:r w:rsidR="00F130B0">
              <w:t>ROP</w:t>
            </w:r>
          </w:p>
          <w:p w14:paraId="380F6FFB" w14:textId="69E117BE" w:rsidR="00EE4D03" w:rsidRDefault="002717F3" w:rsidP="002169B0">
            <w:pPr>
              <w:ind w:left="257"/>
            </w:pPr>
            <w:r w:rsidRPr="002717F3">
              <w:rPr>
                <w:rFonts w:ascii="Segoe UI Symbol" w:hAnsi="Segoe UI Symbol" w:cs="Segoe UI Symbol"/>
              </w:rPr>
              <w:t>☐</w:t>
            </w:r>
            <w:r w:rsidRPr="002717F3">
              <w:t xml:space="preserve"> </w:t>
            </w:r>
            <w:r w:rsidR="00F130B0">
              <w:t>Other</w:t>
            </w:r>
          </w:p>
        </w:tc>
        <w:tc>
          <w:tcPr>
            <w:tcW w:w="1620" w:type="dxa"/>
            <w:tcBorders>
              <w:top w:val="single" w:sz="6" w:space="0" w:color="0D0D0D" w:themeColor="text1" w:themeTint="F2"/>
            </w:tcBorders>
            <w:vAlign w:val="center"/>
          </w:tcPr>
          <w:p w14:paraId="12124213" w14:textId="77777777" w:rsidR="00F130B0" w:rsidRDefault="00F130B0" w:rsidP="002169B0">
            <w:pPr>
              <w:ind w:left="257"/>
            </w:pPr>
            <w:r w:rsidRPr="00587FA2">
              <w:rPr>
                <w:rFonts w:ascii="Wingdings" w:hAnsi="Wingdings" w:cs="Calibri"/>
                <w:b/>
                <w:bCs/>
              </w:rPr>
              <w:t>ü</w:t>
            </w:r>
            <w:r>
              <w:t xml:space="preserve"> ROP</w:t>
            </w:r>
          </w:p>
          <w:p w14:paraId="4347CBBF" w14:textId="617D809B" w:rsidR="00EE4D03" w:rsidRDefault="00F130B0" w:rsidP="002169B0">
            <w:pPr>
              <w:ind w:left="257"/>
            </w:pPr>
            <w:r w:rsidRPr="00587FA2">
              <w:rPr>
                <w:rFonts w:ascii="Wingdings" w:hAnsi="Wingdings" w:cs="Calibri"/>
                <w:b/>
                <w:bCs/>
              </w:rPr>
              <w:t>ü</w:t>
            </w:r>
            <w:r>
              <w:t xml:space="preserve"> Other</w:t>
            </w:r>
          </w:p>
        </w:tc>
        <w:tc>
          <w:tcPr>
            <w:tcW w:w="1800" w:type="dxa"/>
            <w:tcBorders>
              <w:top w:val="single" w:sz="6" w:space="0" w:color="0D0D0D" w:themeColor="text1" w:themeTint="F2"/>
              <w:right w:val="single" w:sz="8" w:space="0" w:color="0D0D0D" w:themeColor="text1" w:themeTint="F2"/>
            </w:tcBorders>
            <w:vAlign w:val="center"/>
          </w:tcPr>
          <w:p w14:paraId="09C9D275" w14:textId="2A643B8F" w:rsidR="00F130B0" w:rsidRPr="002169B0" w:rsidRDefault="00F130B0" w:rsidP="002169B0">
            <w:pPr>
              <w:ind w:left="257"/>
              <w:rPr>
                <w:vertAlign w:val="superscript"/>
              </w:rPr>
            </w:pPr>
            <w:r w:rsidRPr="00587FA2">
              <w:rPr>
                <w:rFonts w:ascii="Wingdings" w:hAnsi="Wingdings" w:cs="Calibri"/>
                <w:b/>
                <w:bCs/>
              </w:rPr>
              <w:t>ü</w:t>
            </w:r>
            <w:r>
              <w:t xml:space="preserve"> ROP</w:t>
            </w:r>
          </w:p>
          <w:p w14:paraId="346036E1" w14:textId="624DA734" w:rsidR="00EE4D03" w:rsidRPr="002169B0" w:rsidRDefault="00F130B0" w:rsidP="002169B0">
            <w:pPr>
              <w:ind w:left="257"/>
              <w:rPr>
                <w:vertAlign w:val="superscript"/>
              </w:rPr>
            </w:pPr>
            <w:r w:rsidRPr="00587FA2">
              <w:rPr>
                <w:rFonts w:ascii="Wingdings" w:hAnsi="Wingdings" w:cs="Calibri"/>
                <w:b/>
                <w:bCs/>
              </w:rPr>
              <w:t>ü</w:t>
            </w:r>
            <w:r>
              <w:t xml:space="preserve"> Other</w:t>
            </w:r>
          </w:p>
        </w:tc>
      </w:tr>
      <w:tr w:rsidR="002717F3" w14:paraId="44500663" w14:textId="77777777" w:rsidTr="00B2371F">
        <w:trPr>
          <w:trHeight w:val="901"/>
        </w:trPr>
        <w:tc>
          <w:tcPr>
            <w:tcW w:w="3060" w:type="dxa"/>
            <w:tcBorders>
              <w:left w:val="single" w:sz="8" w:space="0" w:color="0D0D0D" w:themeColor="text1" w:themeTint="F2"/>
              <w:bottom w:val="single" w:sz="6" w:space="0" w:color="0D0D0D" w:themeColor="text1" w:themeTint="F2"/>
              <w:right w:val="single" w:sz="8" w:space="0" w:color="0D0D0D" w:themeColor="text1" w:themeTint="F2"/>
            </w:tcBorders>
            <w:shd w:val="clear" w:color="auto" w:fill="28666E"/>
            <w:vAlign w:val="center"/>
          </w:tcPr>
          <w:p w14:paraId="53361261" w14:textId="3E0008A5" w:rsidR="00EE4D03" w:rsidRPr="00245DC2" w:rsidRDefault="00EE4D03" w:rsidP="00C57CC3">
            <w:pPr>
              <w:rPr>
                <w:color w:val="FFFFFF" w:themeColor="background1"/>
              </w:rPr>
            </w:pPr>
            <w:r w:rsidRPr="00245DC2">
              <w:rPr>
                <w:color w:val="FFFFFF" w:themeColor="background1"/>
              </w:rPr>
              <w:lastRenderedPageBreak/>
              <w:t>Dried Milled</w:t>
            </w:r>
            <w:r w:rsidR="00DD568D" w:rsidRPr="00DD568D">
              <w:rPr>
                <w:color w:val="FFFFFF" w:themeColor="background1"/>
              </w:rPr>
              <w:fldChar w:fldCharType="begin"/>
            </w:r>
            <w:r w:rsidR="00DD568D" w:rsidRPr="00DD568D">
              <w:rPr>
                <w:color w:val="FFFFFF" w:themeColor="background1"/>
              </w:rPr>
              <w:instrText xml:space="preserve"> NOTEREF _Ref209433175 \f \h </w:instrText>
            </w:r>
            <w:r w:rsidR="00DD568D" w:rsidRPr="00DD568D">
              <w:rPr>
                <w:color w:val="FFFFFF" w:themeColor="background1"/>
              </w:rPr>
            </w:r>
            <w:r w:rsidR="00DD568D" w:rsidRPr="00DD568D">
              <w:rPr>
                <w:color w:val="FFFFFF" w:themeColor="background1"/>
              </w:rPr>
              <w:fldChar w:fldCharType="separate"/>
            </w:r>
            <w:r w:rsidR="00A042AD" w:rsidRPr="00A042AD">
              <w:rPr>
                <w:rStyle w:val="FootnoteReference"/>
              </w:rPr>
              <w:t>3</w:t>
            </w:r>
            <w:r w:rsidR="00DD568D" w:rsidRPr="00DD568D">
              <w:rPr>
                <w:color w:val="FFFFFF" w:themeColor="background1"/>
              </w:rPr>
              <w:fldChar w:fldCharType="end"/>
            </w:r>
            <w:r w:rsidRPr="00245DC2">
              <w:rPr>
                <w:color w:val="FFFFFF" w:themeColor="background1"/>
              </w:rPr>
              <w:t xml:space="preserve"> (&lt;0.85 </w:t>
            </w:r>
            <w:proofErr w:type="spellStart"/>
            <w:r w:rsidRPr="00245DC2">
              <w:rPr>
                <w:color w:val="FFFFFF" w:themeColor="background1"/>
              </w:rPr>
              <w:t>a</w:t>
            </w:r>
            <w:r w:rsidRPr="00245DC2">
              <w:rPr>
                <w:color w:val="FFFFFF" w:themeColor="background1"/>
                <w:vertAlign w:val="subscript"/>
              </w:rPr>
              <w:t>W</w:t>
            </w:r>
            <w:proofErr w:type="spellEnd"/>
            <w:r w:rsidRPr="00245DC2">
              <w:rPr>
                <w:color w:val="FFFFFF" w:themeColor="background1"/>
              </w:rPr>
              <w:t>)</w:t>
            </w:r>
          </w:p>
        </w:tc>
        <w:tc>
          <w:tcPr>
            <w:tcW w:w="2070" w:type="dxa"/>
            <w:tcBorders>
              <w:left w:val="single" w:sz="8" w:space="0" w:color="0D0D0D" w:themeColor="text1" w:themeTint="F2"/>
              <w:bottom w:val="single" w:sz="6" w:space="0" w:color="0D0D0D" w:themeColor="text1" w:themeTint="F2"/>
            </w:tcBorders>
            <w:vAlign w:val="center"/>
          </w:tcPr>
          <w:p w14:paraId="51C5C67A" w14:textId="4390E0B8" w:rsidR="00F130B0" w:rsidRDefault="002717F3" w:rsidP="002169B0">
            <w:pPr>
              <w:ind w:left="257"/>
            </w:pPr>
            <w:r w:rsidRPr="002717F3">
              <w:rPr>
                <w:rFonts w:ascii="Segoe UI Symbol" w:hAnsi="Segoe UI Symbol" w:cs="Segoe UI Symbol"/>
              </w:rPr>
              <w:t>☐</w:t>
            </w:r>
            <w:r w:rsidRPr="002717F3">
              <w:t xml:space="preserve"> </w:t>
            </w:r>
            <w:r w:rsidR="00F130B0">
              <w:t>ROP</w:t>
            </w:r>
          </w:p>
          <w:p w14:paraId="36726769" w14:textId="33E1D927" w:rsidR="00EE4D03" w:rsidRDefault="002717F3" w:rsidP="002169B0">
            <w:pPr>
              <w:ind w:left="257"/>
            </w:pPr>
            <w:r w:rsidRPr="002717F3">
              <w:rPr>
                <w:rFonts w:ascii="Segoe UI Symbol" w:hAnsi="Segoe UI Symbol" w:cs="Segoe UI Symbol"/>
              </w:rPr>
              <w:t>☐</w:t>
            </w:r>
            <w:r w:rsidRPr="002717F3">
              <w:t xml:space="preserve"> </w:t>
            </w:r>
            <w:r w:rsidR="00F130B0">
              <w:t>Other</w:t>
            </w:r>
          </w:p>
        </w:tc>
        <w:tc>
          <w:tcPr>
            <w:tcW w:w="1710" w:type="dxa"/>
            <w:tcBorders>
              <w:bottom w:val="single" w:sz="6" w:space="0" w:color="0D0D0D" w:themeColor="text1" w:themeTint="F2"/>
            </w:tcBorders>
            <w:vAlign w:val="center"/>
          </w:tcPr>
          <w:p w14:paraId="67684ABE" w14:textId="77777777" w:rsidR="00F130B0" w:rsidRDefault="00F130B0" w:rsidP="002169B0">
            <w:pPr>
              <w:ind w:left="257"/>
            </w:pPr>
            <w:r w:rsidRPr="00587FA2">
              <w:rPr>
                <w:rFonts w:ascii="Wingdings" w:hAnsi="Wingdings" w:cs="Calibri"/>
                <w:b/>
                <w:bCs/>
              </w:rPr>
              <w:t>ü</w:t>
            </w:r>
            <w:r>
              <w:t xml:space="preserve"> ROP</w:t>
            </w:r>
          </w:p>
          <w:p w14:paraId="5DF5E662" w14:textId="270841D4" w:rsidR="00EE4D03" w:rsidRDefault="00F130B0" w:rsidP="002169B0">
            <w:pPr>
              <w:ind w:left="257"/>
            </w:pPr>
            <w:r w:rsidRPr="00587FA2">
              <w:rPr>
                <w:rFonts w:ascii="Wingdings" w:hAnsi="Wingdings" w:cs="Calibri"/>
                <w:b/>
                <w:bCs/>
              </w:rPr>
              <w:t>ü</w:t>
            </w:r>
            <w:r>
              <w:t xml:space="preserve"> Other</w:t>
            </w:r>
          </w:p>
        </w:tc>
        <w:tc>
          <w:tcPr>
            <w:tcW w:w="2250" w:type="dxa"/>
            <w:tcBorders>
              <w:bottom w:val="single" w:sz="6" w:space="0" w:color="0D0D0D" w:themeColor="text1" w:themeTint="F2"/>
            </w:tcBorders>
            <w:vAlign w:val="center"/>
          </w:tcPr>
          <w:p w14:paraId="454C4729" w14:textId="60BF89BF" w:rsidR="00F130B0" w:rsidRDefault="002717F3" w:rsidP="002169B0">
            <w:pPr>
              <w:ind w:left="257"/>
            </w:pPr>
            <w:r w:rsidRPr="002717F3">
              <w:rPr>
                <w:rFonts w:ascii="Segoe UI Symbol" w:hAnsi="Segoe UI Symbol" w:cs="Segoe UI Symbol"/>
              </w:rPr>
              <w:t>☐</w:t>
            </w:r>
            <w:r w:rsidRPr="002717F3">
              <w:t xml:space="preserve"> </w:t>
            </w:r>
            <w:r w:rsidR="00F130B0">
              <w:t>ROP</w:t>
            </w:r>
          </w:p>
          <w:p w14:paraId="3D942321" w14:textId="76B9CB46" w:rsidR="00EE4D03" w:rsidRDefault="002717F3" w:rsidP="002169B0">
            <w:pPr>
              <w:ind w:left="257"/>
            </w:pPr>
            <w:r w:rsidRPr="002717F3">
              <w:rPr>
                <w:rFonts w:ascii="Segoe UI Symbol" w:hAnsi="Segoe UI Symbol" w:cs="Segoe UI Symbol"/>
              </w:rPr>
              <w:t>☐</w:t>
            </w:r>
            <w:r w:rsidRPr="002717F3">
              <w:t xml:space="preserve"> </w:t>
            </w:r>
            <w:r w:rsidR="00F130B0">
              <w:t>Other</w:t>
            </w:r>
          </w:p>
        </w:tc>
        <w:tc>
          <w:tcPr>
            <w:tcW w:w="2070" w:type="dxa"/>
            <w:tcBorders>
              <w:bottom w:val="single" w:sz="6" w:space="0" w:color="0D0D0D" w:themeColor="text1" w:themeTint="F2"/>
            </w:tcBorders>
            <w:vAlign w:val="center"/>
          </w:tcPr>
          <w:p w14:paraId="56E287F4" w14:textId="3DC5EE57" w:rsidR="00F130B0" w:rsidRDefault="002717F3" w:rsidP="002169B0">
            <w:pPr>
              <w:ind w:left="257"/>
            </w:pPr>
            <w:r w:rsidRPr="002717F3">
              <w:rPr>
                <w:rFonts w:ascii="Segoe UI Symbol" w:hAnsi="Segoe UI Symbol" w:cs="Segoe UI Symbol"/>
              </w:rPr>
              <w:t>☐</w:t>
            </w:r>
            <w:r w:rsidRPr="002717F3">
              <w:t xml:space="preserve"> </w:t>
            </w:r>
            <w:r w:rsidR="00F130B0">
              <w:t>ROP</w:t>
            </w:r>
          </w:p>
          <w:p w14:paraId="7714878B" w14:textId="096617A8" w:rsidR="00EE4D03" w:rsidRDefault="002717F3" w:rsidP="002169B0">
            <w:pPr>
              <w:ind w:left="257"/>
            </w:pPr>
            <w:r w:rsidRPr="002717F3">
              <w:rPr>
                <w:rFonts w:ascii="Segoe UI Symbol" w:hAnsi="Segoe UI Symbol" w:cs="Segoe UI Symbol"/>
              </w:rPr>
              <w:t>☐</w:t>
            </w:r>
            <w:r w:rsidRPr="002717F3">
              <w:t xml:space="preserve"> </w:t>
            </w:r>
            <w:r w:rsidR="00F130B0">
              <w:t>Other</w:t>
            </w:r>
          </w:p>
        </w:tc>
        <w:tc>
          <w:tcPr>
            <w:tcW w:w="1620" w:type="dxa"/>
            <w:tcBorders>
              <w:bottom w:val="single" w:sz="6" w:space="0" w:color="0D0D0D" w:themeColor="text1" w:themeTint="F2"/>
            </w:tcBorders>
            <w:vAlign w:val="center"/>
          </w:tcPr>
          <w:p w14:paraId="45CCDAA2" w14:textId="77777777" w:rsidR="00F130B0" w:rsidRDefault="00F130B0" w:rsidP="002169B0">
            <w:pPr>
              <w:ind w:left="257"/>
            </w:pPr>
            <w:r w:rsidRPr="00587FA2">
              <w:rPr>
                <w:rFonts w:ascii="Wingdings" w:hAnsi="Wingdings" w:cs="Calibri"/>
                <w:b/>
                <w:bCs/>
              </w:rPr>
              <w:t>ü</w:t>
            </w:r>
            <w:r>
              <w:t xml:space="preserve"> ROP</w:t>
            </w:r>
          </w:p>
          <w:p w14:paraId="69A0E88A" w14:textId="5EEC4E0B" w:rsidR="00EE4D03" w:rsidRDefault="00F130B0" w:rsidP="002169B0">
            <w:pPr>
              <w:ind w:left="257"/>
            </w:pPr>
            <w:r w:rsidRPr="00587FA2">
              <w:rPr>
                <w:rFonts w:ascii="Wingdings" w:hAnsi="Wingdings" w:cs="Calibri"/>
                <w:b/>
                <w:bCs/>
              </w:rPr>
              <w:t>ü</w:t>
            </w:r>
            <w:r>
              <w:t xml:space="preserve"> Other</w:t>
            </w:r>
          </w:p>
        </w:tc>
        <w:tc>
          <w:tcPr>
            <w:tcW w:w="1800" w:type="dxa"/>
            <w:tcBorders>
              <w:bottom w:val="single" w:sz="6" w:space="0" w:color="0D0D0D" w:themeColor="text1" w:themeTint="F2"/>
              <w:right w:val="single" w:sz="8" w:space="0" w:color="0D0D0D" w:themeColor="text1" w:themeTint="F2"/>
            </w:tcBorders>
            <w:vAlign w:val="center"/>
          </w:tcPr>
          <w:p w14:paraId="7D6C7902" w14:textId="58144FF4" w:rsidR="00F130B0" w:rsidRPr="002169B0" w:rsidRDefault="00F130B0" w:rsidP="002169B0">
            <w:pPr>
              <w:ind w:left="257"/>
              <w:rPr>
                <w:vertAlign w:val="superscript"/>
              </w:rPr>
            </w:pPr>
            <w:r w:rsidRPr="00587FA2">
              <w:rPr>
                <w:rFonts w:ascii="Wingdings" w:hAnsi="Wingdings" w:cs="Calibri"/>
                <w:b/>
                <w:bCs/>
              </w:rPr>
              <w:t>ü</w:t>
            </w:r>
            <w:r>
              <w:t xml:space="preserve"> ROP</w:t>
            </w:r>
          </w:p>
          <w:p w14:paraId="5D05D883" w14:textId="1E4C2A38" w:rsidR="00EE4D03" w:rsidRPr="002169B0" w:rsidRDefault="00F130B0" w:rsidP="002169B0">
            <w:pPr>
              <w:ind w:left="257"/>
              <w:rPr>
                <w:vertAlign w:val="superscript"/>
              </w:rPr>
            </w:pPr>
            <w:r w:rsidRPr="00587FA2">
              <w:rPr>
                <w:rFonts w:ascii="Wingdings" w:hAnsi="Wingdings" w:cs="Calibri"/>
                <w:b/>
                <w:bCs/>
              </w:rPr>
              <w:t>ü</w:t>
            </w:r>
            <w:r>
              <w:t xml:space="preserve"> Other</w:t>
            </w:r>
          </w:p>
        </w:tc>
      </w:tr>
      <w:tr w:rsidR="002717F3" w14:paraId="782495AA" w14:textId="77777777" w:rsidTr="00B2371F">
        <w:trPr>
          <w:trHeight w:val="901"/>
        </w:trPr>
        <w:tc>
          <w:tcPr>
            <w:tcW w:w="3060" w:type="dxa"/>
            <w:tcBorders>
              <w:top w:val="single" w:sz="6" w:space="0" w:color="0D0D0D" w:themeColor="text1" w:themeTint="F2"/>
              <w:left w:val="single" w:sz="8" w:space="0" w:color="0D0D0D" w:themeColor="text1" w:themeTint="F2"/>
              <w:bottom w:val="single" w:sz="6" w:space="0" w:color="0D0D0D" w:themeColor="text1" w:themeTint="F2"/>
              <w:right w:val="single" w:sz="8" w:space="0" w:color="0D0D0D" w:themeColor="text1" w:themeTint="F2"/>
            </w:tcBorders>
            <w:shd w:val="clear" w:color="auto" w:fill="28666E"/>
            <w:vAlign w:val="center"/>
          </w:tcPr>
          <w:p w14:paraId="4D11D3EA" w14:textId="35FCC0E5" w:rsidR="00EE4D03" w:rsidRPr="00245DC2" w:rsidRDefault="00EE4D03" w:rsidP="00C57CC3">
            <w:pPr>
              <w:rPr>
                <w:color w:val="FFFFFF" w:themeColor="background1"/>
              </w:rPr>
            </w:pPr>
            <w:hyperlink w:anchor="_Fermentation" w:tooltip="A process commonly used to preserve and/or enhance foods, which involves the chemical breakdown of molecules such as sugars by bacteria into acids. This rapidly reduces the pH of the product and is another form of pickling." w:history="1">
              <w:r w:rsidRPr="00BC7922">
                <w:rPr>
                  <w:rStyle w:val="Hyperlink"/>
                  <w:color w:val="FFFFFF" w:themeColor="background1"/>
                </w:rPr>
                <w:t>Fermented</w:t>
              </w:r>
            </w:hyperlink>
            <w:r w:rsidRPr="00245DC2">
              <w:rPr>
                <w:color w:val="FFFFFF" w:themeColor="background1"/>
              </w:rPr>
              <w:t>/</w:t>
            </w:r>
            <w:hyperlink w:anchor="AcidifiedFood" w:tooltip="A product with a pH of 4.6 or less accomplished by adding acid, which is a form of pickling. Acidified shelf stable products are also regulated under 21 CFR 114 (Acidified Foods Regulations)." w:history="1">
              <w:r w:rsidRPr="000B284B">
                <w:rPr>
                  <w:rStyle w:val="Hyperlink"/>
                  <w:color w:val="FFFFFF" w:themeColor="background1"/>
                </w:rPr>
                <w:t>Acidified</w:t>
              </w:r>
            </w:hyperlink>
            <w:r w:rsidR="000B284B">
              <w:rPr>
                <w:color w:val="FFFFFF" w:themeColor="background1"/>
              </w:rPr>
              <w:t>/</w:t>
            </w:r>
            <w:hyperlink w:anchor="Salting" w:tooltip="Adding salt to foods to preserve or enhance the food, sometimes referred to as dry brining" w:history="1">
              <w:r w:rsidR="000B284B" w:rsidRPr="003E23E8">
                <w:rPr>
                  <w:rStyle w:val="Hyperlink"/>
                  <w:color w:val="FFFFFF" w:themeColor="background1"/>
                </w:rPr>
                <w:t>S</w:t>
              </w:r>
              <w:r w:rsidRPr="003E23E8">
                <w:rPr>
                  <w:rStyle w:val="Hyperlink"/>
                  <w:color w:val="FFFFFF" w:themeColor="background1"/>
                </w:rPr>
                <w:t>alted</w:t>
              </w:r>
            </w:hyperlink>
            <w:r w:rsidRPr="00245DC2">
              <w:rPr>
                <w:color w:val="FFFFFF" w:themeColor="background1"/>
              </w:rPr>
              <w:t>/</w:t>
            </w:r>
            <w:hyperlink w:anchor="Brining" w:tooltip="To treat with or steep in a brine, which is, most commonly, a strong solution of salt and water (wet brine). Other ingredients, like sugar, herbs/spices, and vinegar can also be added to enhance flavor." w:history="1">
              <w:r w:rsidRPr="004A0675">
                <w:rPr>
                  <w:rStyle w:val="Hyperlink"/>
                  <w:color w:val="FFFFFF" w:themeColor="background1"/>
                </w:rPr>
                <w:t>Brined</w:t>
              </w:r>
            </w:hyperlink>
            <w:r w:rsidRPr="00245DC2">
              <w:rPr>
                <w:color w:val="FFFFFF" w:themeColor="background1"/>
              </w:rPr>
              <w:t>/</w:t>
            </w:r>
            <w:hyperlink w:anchor="Pickling" w:tooltip="The process of preserving food by reducing its pH either by natural fermentation or acidification with vinegar." w:history="1">
              <w:r w:rsidRPr="0051253B">
                <w:rPr>
                  <w:rStyle w:val="Hyperlink"/>
                  <w:color w:val="FFFFFF" w:themeColor="background1"/>
                </w:rPr>
                <w:t>Pickled</w:t>
              </w:r>
            </w:hyperlink>
            <w:r w:rsidRPr="00245DC2">
              <w:rPr>
                <w:color w:val="FFFFFF" w:themeColor="background1"/>
              </w:rPr>
              <w:t xml:space="preserve"> (not cooked</w:t>
            </w:r>
            <w:r w:rsidR="002169B0" w:rsidRPr="00245DC2">
              <w:rPr>
                <w:color w:val="FFFFFF" w:themeColor="background1"/>
              </w:rPr>
              <w:t>/</w:t>
            </w:r>
            <w:hyperlink w:anchor="_Pasteurization" w:tooltip="A process (commonly heat) applied to foods to reduce the population of a target pathogen to a safe level." w:history="1">
              <w:r w:rsidR="00A90B55" w:rsidRPr="00A90B55">
                <w:rPr>
                  <w:rStyle w:val="Hyperlink"/>
                  <w:color w:val="FFFFFF" w:themeColor="background1"/>
                </w:rPr>
                <w:t>Pasteurized</w:t>
              </w:r>
            </w:hyperlink>
            <w:r w:rsidRPr="00245DC2">
              <w:rPr>
                <w:color w:val="FFFFFF" w:themeColor="background1"/>
              </w:rPr>
              <w:t>)</w:t>
            </w:r>
          </w:p>
        </w:tc>
        <w:tc>
          <w:tcPr>
            <w:tcW w:w="2070" w:type="dxa"/>
            <w:tcBorders>
              <w:top w:val="single" w:sz="6" w:space="0" w:color="0D0D0D" w:themeColor="text1" w:themeTint="F2"/>
              <w:left w:val="single" w:sz="8" w:space="0" w:color="0D0D0D" w:themeColor="text1" w:themeTint="F2"/>
              <w:bottom w:val="single" w:sz="6" w:space="0" w:color="0D0D0D" w:themeColor="text1" w:themeTint="F2"/>
            </w:tcBorders>
            <w:shd w:val="clear" w:color="auto" w:fill="D9D9D9" w:themeFill="background1" w:themeFillShade="D9"/>
            <w:vAlign w:val="center"/>
          </w:tcPr>
          <w:p w14:paraId="028AE0B8" w14:textId="77777777" w:rsidR="00F130B0" w:rsidRDefault="00F130B0" w:rsidP="002169B0">
            <w:pPr>
              <w:ind w:left="257"/>
            </w:pPr>
            <w:r w:rsidRPr="00587FA2">
              <w:rPr>
                <w:rFonts w:ascii="Wingdings" w:hAnsi="Wingdings" w:cs="Calibri"/>
                <w:b/>
                <w:bCs/>
              </w:rPr>
              <w:t>ü</w:t>
            </w:r>
            <w:r>
              <w:t xml:space="preserve"> ROP</w:t>
            </w:r>
          </w:p>
          <w:p w14:paraId="3000300D" w14:textId="24DB98FC" w:rsidR="00EE4D03" w:rsidRDefault="00F130B0" w:rsidP="002169B0">
            <w:pPr>
              <w:ind w:left="257"/>
            </w:pPr>
            <w:r w:rsidRPr="00587FA2">
              <w:rPr>
                <w:rFonts w:ascii="Wingdings" w:hAnsi="Wingdings" w:cs="Calibri"/>
                <w:b/>
                <w:bCs/>
              </w:rPr>
              <w:t>ü</w:t>
            </w:r>
            <w:r>
              <w:t xml:space="preserve"> Other</w:t>
            </w:r>
          </w:p>
        </w:tc>
        <w:tc>
          <w:tcPr>
            <w:tcW w:w="1710" w:type="dxa"/>
            <w:tcBorders>
              <w:top w:val="single" w:sz="6" w:space="0" w:color="0D0D0D" w:themeColor="text1" w:themeTint="F2"/>
              <w:bottom w:val="single" w:sz="6" w:space="0" w:color="0D0D0D" w:themeColor="text1" w:themeTint="F2"/>
            </w:tcBorders>
            <w:shd w:val="clear" w:color="auto" w:fill="D9D9D9" w:themeFill="background1" w:themeFillShade="D9"/>
            <w:vAlign w:val="center"/>
          </w:tcPr>
          <w:p w14:paraId="486F81A0" w14:textId="77777777" w:rsidR="00F130B0" w:rsidRDefault="00F130B0" w:rsidP="002169B0">
            <w:pPr>
              <w:ind w:left="257"/>
            </w:pPr>
            <w:r w:rsidRPr="00587FA2">
              <w:rPr>
                <w:rFonts w:ascii="Wingdings" w:hAnsi="Wingdings" w:cs="Calibri"/>
                <w:b/>
                <w:bCs/>
              </w:rPr>
              <w:t>ü</w:t>
            </w:r>
            <w:r>
              <w:t xml:space="preserve"> ROP</w:t>
            </w:r>
          </w:p>
          <w:p w14:paraId="124025DD" w14:textId="78CCB47C" w:rsidR="00EE4D03" w:rsidRDefault="00F130B0" w:rsidP="002169B0">
            <w:pPr>
              <w:ind w:left="257"/>
            </w:pPr>
            <w:r w:rsidRPr="00587FA2">
              <w:rPr>
                <w:rFonts w:ascii="Wingdings" w:hAnsi="Wingdings" w:cs="Calibri"/>
                <w:b/>
                <w:bCs/>
              </w:rPr>
              <w:t>ü</w:t>
            </w:r>
            <w:r>
              <w:t xml:space="preserve"> Other</w:t>
            </w:r>
          </w:p>
        </w:tc>
        <w:tc>
          <w:tcPr>
            <w:tcW w:w="2250" w:type="dxa"/>
            <w:tcBorders>
              <w:top w:val="single" w:sz="6" w:space="0" w:color="0D0D0D" w:themeColor="text1" w:themeTint="F2"/>
              <w:bottom w:val="single" w:sz="6" w:space="0" w:color="0D0D0D" w:themeColor="text1" w:themeTint="F2"/>
            </w:tcBorders>
            <w:shd w:val="clear" w:color="auto" w:fill="D9D9D9" w:themeFill="background1" w:themeFillShade="D9"/>
            <w:vAlign w:val="center"/>
          </w:tcPr>
          <w:p w14:paraId="71EAB027" w14:textId="77777777" w:rsidR="00F130B0" w:rsidRDefault="00F130B0" w:rsidP="002169B0">
            <w:pPr>
              <w:ind w:left="257"/>
            </w:pPr>
            <w:r w:rsidRPr="00587FA2">
              <w:rPr>
                <w:rFonts w:ascii="Wingdings" w:hAnsi="Wingdings" w:cs="Calibri"/>
                <w:b/>
                <w:bCs/>
              </w:rPr>
              <w:t>ü</w:t>
            </w:r>
            <w:r>
              <w:t xml:space="preserve"> ROP</w:t>
            </w:r>
          </w:p>
          <w:p w14:paraId="41F9392C" w14:textId="3AB4FCB9" w:rsidR="00EE4D03" w:rsidRDefault="002717F3" w:rsidP="002169B0">
            <w:pPr>
              <w:ind w:left="257"/>
            </w:pPr>
            <w:r w:rsidRPr="002717F3">
              <w:rPr>
                <w:rFonts w:ascii="Segoe UI Symbol" w:hAnsi="Segoe UI Symbol" w:cs="Segoe UI Symbol"/>
              </w:rPr>
              <w:t>☐</w:t>
            </w:r>
            <w:r w:rsidRPr="002717F3">
              <w:t xml:space="preserve"> </w:t>
            </w:r>
            <w:r w:rsidR="00F130B0">
              <w:t>Other</w:t>
            </w:r>
          </w:p>
        </w:tc>
        <w:tc>
          <w:tcPr>
            <w:tcW w:w="2070" w:type="dxa"/>
            <w:tcBorders>
              <w:top w:val="single" w:sz="6" w:space="0" w:color="0D0D0D" w:themeColor="text1" w:themeTint="F2"/>
              <w:bottom w:val="single" w:sz="6" w:space="0" w:color="0D0D0D" w:themeColor="text1" w:themeTint="F2"/>
            </w:tcBorders>
            <w:shd w:val="clear" w:color="auto" w:fill="D9D9D9" w:themeFill="background1" w:themeFillShade="D9"/>
            <w:vAlign w:val="center"/>
          </w:tcPr>
          <w:p w14:paraId="40D13CBF" w14:textId="10F53ECC" w:rsidR="00F130B0" w:rsidRDefault="002717F3" w:rsidP="002169B0">
            <w:pPr>
              <w:ind w:left="257"/>
            </w:pPr>
            <w:r w:rsidRPr="002717F3">
              <w:rPr>
                <w:rFonts w:ascii="Segoe UI Symbol" w:hAnsi="Segoe UI Symbol" w:cs="Segoe UI Symbol"/>
              </w:rPr>
              <w:t>☐</w:t>
            </w:r>
            <w:r w:rsidRPr="002717F3">
              <w:t xml:space="preserve"> </w:t>
            </w:r>
            <w:r w:rsidR="00F130B0">
              <w:t>ROP</w:t>
            </w:r>
          </w:p>
          <w:p w14:paraId="11131512" w14:textId="299D0FE4" w:rsidR="00EE4D03" w:rsidRDefault="002717F3" w:rsidP="002169B0">
            <w:pPr>
              <w:ind w:left="257"/>
            </w:pPr>
            <w:r w:rsidRPr="002717F3">
              <w:rPr>
                <w:rFonts w:ascii="Segoe UI Symbol" w:hAnsi="Segoe UI Symbol" w:cs="Segoe UI Symbol"/>
              </w:rPr>
              <w:t>☐</w:t>
            </w:r>
            <w:r w:rsidRPr="002717F3">
              <w:t xml:space="preserve"> </w:t>
            </w:r>
            <w:r w:rsidR="00F130B0">
              <w:t>Other</w:t>
            </w:r>
          </w:p>
        </w:tc>
        <w:tc>
          <w:tcPr>
            <w:tcW w:w="1620" w:type="dxa"/>
            <w:tcBorders>
              <w:top w:val="single" w:sz="6" w:space="0" w:color="0D0D0D" w:themeColor="text1" w:themeTint="F2"/>
              <w:bottom w:val="single" w:sz="6" w:space="0" w:color="0D0D0D" w:themeColor="text1" w:themeTint="F2"/>
            </w:tcBorders>
            <w:shd w:val="clear" w:color="auto" w:fill="D9D9D9" w:themeFill="background1" w:themeFillShade="D9"/>
            <w:vAlign w:val="center"/>
          </w:tcPr>
          <w:p w14:paraId="35FFACF1" w14:textId="77777777" w:rsidR="00F130B0" w:rsidRDefault="00F130B0" w:rsidP="002169B0">
            <w:pPr>
              <w:ind w:left="257"/>
            </w:pPr>
            <w:r w:rsidRPr="00587FA2">
              <w:rPr>
                <w:rFonts w:ascii="Wingdings" w:hAnsi="Wingdings" w:cs="Calibri"/>
                <w:b/>
                <w:bCs/>
              </w:rPr>
              <w:t>ü</w:t>
            </w:r>
            <w:r>
              <w:t xml:space="preserve"> ROP</w:t>
            </w:r>
          </w:p>
          <w:p w14:paraId="241BFCFA" w14:textId="2C9A6AED" w:rsidR="00EE4D03" w:rsidRDefault="00F130B0" w:rsidP="002169B0">
            <w:pPr>
              <w:ind w:left="257"/>
            </w:pPr>
            <w:r w:rsidRPr="00587FA2">
              <w:rPr>
                <w:rFonts w:ascii="Wingdings" w:hAnsi="Wingdings" w:cs="Calibri"/>
                <w:b/>
                <w:bCs/>
              </w:rPr>
              <w:t>ü</w:t>
            </w:r>
            <w:r>
              <w:t xml:space="preserve"> Other</w:t>
            </w:r>
          </w:p>
        </w:tc>
        <w:tc>
          <w:tcPr>
            <w:tcW w:w="1800" w:type="dxa"/>
            <w:tcBorders>
              <w:top w:val="single" w:sz="6" w:space="0" w:color="0D0D0D" w:themeColor="text1" w:themeTint="F2"/>
              <w:bottom w:val="single" w:sz="6" w:space="0" w:color="0D0D0D" w:themeColor="text1" w:themeTint="F2"/>
              <w:right w:val="single" w:sz="8" w:space="0" w:color="0D0D0D" w:themeColor="text1" w:themeTint="F2"/>
            </w:tcBorders>
            <w:shd w:val="clear" w:color="auto" w:fill="D9D9D9" w:themeFill="background1" w:themeFillShade="D9"/>
            <w:vAlign w:val="center"/>
          </w:tcPr>
          <w:p w14:paraId="4A2600FF" w14:textId="6AFC735E" w:rsidR="00F130B0" w:rsidRPr="002169B0" w:rsidRDefault="00F130B0" w:rsidP="002169B0">
            <w:pPr>
              <w:ind w:left="257"/>
              <w:rPr>
                <w:vertAlign w:val="superscript"/>
              </w:rPr>
            </w:pPr>
            <w:r w:rsidRPr="00587FA2">
              <w:rPr>
                <w:rFonts w:ascii="Wingdings" w:hAnsi="Wingdings" w:cs="Calibri"/>
                <w:b/>
                <w:bCs/>
              </w:rPr>
              <w:t>ü</w:t>
            </w:r>
            <w:r>
              <w:t xml:space="preserve"> ROP</w:t>
            </w:r>
          </w:p>
          <w:p w14:paraId="60C4C774" w14:textId="71E2D2DC" w:rsidR="00EE4D03" w:rsidRPr="002169B0" w:rsidRDefault="00F130B0" w:rsidP="002169B0">
            <w:pPr>
              <w:ind w:left="257"/>
              <w:rPr>
                <w:vertAlign w:val="superscript"/>
              </w:rPr>
            </w:pPr>
            <w:r w:rsidRPr="00587FA2">
              <w:rPr>
                <w:rFonts w:ascii="Wingdings" w:hAnsi="Wingdings" w:cs="Calibri"/>
                <w:b/>
                <w:bCs/>
              </w:rPr>
              <w:t>ü</w:t>
            </w:r>
            <w:r>
              <w:t xml:space="preserve"> Other</w:t>
            </w:r>
          </w:p>
        </w:tc>
      </w:tr>
      <w:tr w:rsidR="002717F3" w14:paraId="7E8A4343" w14:textId="77777777" w:rsidTr="00B2371F">
        <w:trPr>
          <w:trHeight w:val="901"/>
        </w:trPr>
        <w:tc>
          <w:tcPr>
            <w:tcW w:w="3060" w:type="dxa"/>
            <w:tcBorders>
              <w:top w:val="single" w:sz="6" w:space="0" w:color="0D0D0D" w:themeColor="text1" w:themeTint="F2"/>
              <w:left w:val="single" w:sz="8" w:space="0" w:color="0D0D0D" w:themeColor="text1" w:themeTint="F2"/>
              <w:bottom w:val="single" w:sz="6" w:space="0" w:color="0D0D0D" w:themeColor="text1" w:themeTint="F2"/>
              <w:right w:val="single" w:sz="8" w:space="0" w:color="0D0D0D" w:themeColor="text1" w:themeTint="F2"/>
            </w:tcBorders>
            <w:shd w:val="clear" w:color="auto" w:fill="28666E"/>
            <w:vAlign w:val="center"/>
          </w:tcPr>
          <w:p w14:paraId="2E8E8382" w14:textId="7B70614D" w:rsidR="00EE4D03" w:rsidRPr="00245DC2" w:rsidRDefault="00EE4D03" w:rsidP="00C57CC3">
            <w:pPr>
              <w:rPr>
                <w:color w:val="FFFFFF" w:themeColor="background1"/>
              </w:rPr>
            </w:pPr>
            <w:hyperlink w:anchor="_Fermentation" w:tooltip="Any canned food with a pH greater than 4.6 and a water activity (aW) above 0.85." w:history="1">
              <w:r w:rsidRPr="00A90B55">
                <w:rPr>
                  <w:rStyle w:val="Hyperlink"/>
                  <w:color w:val="FFFFFF" w:themeColor="background1"/>
                </w:rPr>
                <w:t>Low Acid Canned Food</w:t>
              </w:r>
            </w:hyperlink>
          </w:p>
        </w:tc>
        <w:tc>
          <w:tcPr>
            <w:tcW w:w="2070" w:type="dxa"/>
            <w:tcBorders>
              <w:top w:val="single" w:sz="6" w:space="0" w:color="0D0D0D" w:themeColor="text1" w:themeTint="F2"/>
              <w:left w:val="single" w:sz="8" w:space="0" w:color="0D0D0D" w:themeColor="text1" w:themeTint="F2"/>
              <w:bottom w:val="single" w:sz="6" w:space="0" w:color="0D0D0D" w:themeColor="text1" w:themeTint="F2"/>
            </w:tcBorders>
            <w:vAlign w:val="center"/>
          </w:tcPr>
          <w:p w14:paraId="744D23B8" w14:textId="77777777" w:rsidR="00F130B0" w:rsidRDefault="00F130B0" w:rsidP="002169B0">
            <w:pPr>
              <w:ind w:left="257"/>
            </w:pPr>
            <w:r w:rsidRPr="00587FA2">
              <w:rPr>
                <w:rFonts w:ascii="Wingdings" w:hAnsi="Wingdings" w:cs="Calibri"/>
                <w:b/>
                <w:bCs/>
              </w:rPr>
              <w:t>ü</w:t>
            </w:r>
            <w:r>
              <w:t xml:space="preserve"> ROP</w:t>
            </w:r>
          </w:p>
          <w:p w14:paraId="43AC1DFC" w14:textId="4E603F68" w:rsidR="00EE4D03" w:rsidRDefault="00F130B0" w:rsidP="002169B0">
            <w:pPr>
              <w:ind w:left="257"/>
            </w:pPr>
            <w:r w:rsidRPr="00587FA2">
              <w:rPr>
                <w:rFonts w:ascii="Wingdings" w:hAnsi="Wingdings" w:cs="Calibri"/>
                <w:b/>
                <w:bCs/>
              </w:rPr>
              <w:t>ü</w:t>
            </w:r>
            <w:r>
              <w:t xml:space="preserve"> Other</w:t>
            </w:r>
          </w:p>
        </w:tc>
        <w:tc>
          <w:tcPr>
            <w:tcW w:w="1710" w:type="dxa"/>
            <w:tcBorders>
              <w:top w:val="single" w:sz="6" w:space="0" w:color="0D0D0D" w:themeColor="text1" w:themeTint="F2"/>
              <w:bottom w:val="single" w:sz="6" w:space="0" w:color="0D0D0D" w:themeColor="text1" w:themeTint="F2"/>
            </w:tcBorders>
            <w:vAlign w:val="center"/>
          </w:tcPr>
          <w:p w14:paraId="4601AFB1" w14:textId="77777777" w:rsidR="00F130B0" w:rsidRDefault="00F130B0" w:rsidP="002169B0">
            <w:pPr>
              <w:ind w:left="257"/>
            </w:pPr>
            <w:r w:rsidRPr="00587FA2">
              <w:rPr>
                <w:rFonts w:ascii="Wingdings" w:hAnsi="Wingdings" w:cs="Calibri"/>
                <w:b/>
                <w:bCs/>
              </w:rPr>
              <w:t>ü</w:t>
            </w:r>
            <w:r>
              <w:t xml:space="preserve"> ROP</w:t>
            </w:r>
          </w:p>
          <w:p w14:paraId="3D0736B9" w14:textId="49BDFAEF" w:rsidR="00EE4D03" w:rsidRDefault="00F130B0" w:rsidP="002169B0">
            <w:pPr>
              <w:ind w:left="257"/>
            </w:pPr>
            <w:r w:rsidRPr="00587FA2">
              <w:rPr>
                <w:rFonts w:ascii="Wingdings" w:hAnsi="Wingdings" w:cs="Calibri"/>
                <w:b/>
                <w:bCs/>
              </w:rPr>
              <w:t>ü</w:t>
            </w:r>
            <w:r>
              <w:t xml:space="preserve"> Other</w:t>
            </w:r>
          </w:p>
        </w:tc>
        <w:tc>
          <w:tcPr>
            <w:tcW w:w="2250" w:type="dxa"/>
            <w:tcBorders>
              <w:top w:val="single" w:sz="6" w:space="0" w:color="0D0D0D" w:themeColor="text1" w:themeTint="F2"/>
              <w:bottom w:val="single" w:sz="6" w:space="0" w:color="0D0D0D" w:themeColor="text1" w:themeTint="F2"/>
            </w:tcBorders>
            <w:vAlign w:val="center"/>
          </w:tcPr>
          <w:p w14:paraId="60F10CC4" w14:textId="77777777" w:rsidR="00F130B0" w:rsidRDefault="00F130B0" w:rsidP="002169B0">
            <w:pPr>
              <w:ind w:left="257"/>
            </w:pPr>
            <w:r w:rsidRPr="00587FA2">
              <w:rPr>
                <w:rFonts w:ascii="Wingdings" w:hAnsi="Wingdings" w:cs="Calibri"/>
                <w:b/>
                <w:bCs/>
              </w:rPr>
              <w:t>ü</w:t>
            </w:r>
            <w:r>
              <w:t xml:space="preserve"> ROP</w:t>
            </w:r>
          </w:p>
          <w:p w14:paraId="58CB1971" w14:textId="4CC9F824" w:rsidR="00EE4D03" w:rsidRDefault="002717F3" w:rsidP="002169B0">
            <w:pPr>
              <w:ind w:left="257"/>
            </w:pPr>
            <w:r w:rsidRPr="002717F3">
              <w:rPr>
                <w:rFonts w:ascii="Segoe UI Symbol" w:hAnsi="Segoe UI Symbol" w:cs="Segoe UI Symbol"/>
              </w:rPr>
              <w:t>☐</w:t>
            </w:r>
            <w:r w:rsidRPr="002717F3">
              <w:t xml:space="preserve"> </w:t>
            </w:r>
            <w:r w:rsidR="00F130B0">
              <w:t>Other</w:t>
            </w:r>
          </w:p>
        </w:tc>
        <w:tc>
          <w:tcPr>
            <w:tcW w:w="2070" w:type="dxa"/>
            <w:tcBorders>
              <w:top w:val="single" w:sz="6" w:space="0" w:color="0D0D0D" w:themeColor="text1" w:themeTint="F2"/>
              <w:bottom w:val="single" w:sz="6" w:space="0" w:color="0D0D0D" w:themeColor="text1" w:themeTint="F2"/>
            </w:tcBorders>
            <w:vAlign w:val="center"/>
          </w:tcPr>
          <w:p w14:paraId="70C7AB9A" w14:textId="7CA50338" w:rsidR="00F130B0" w:rsidRDefault="002717F3" w:rsidP="002169B0">
            <w:pPr>
              <w:ind w:left="257"/>
            </w:pPr>
            <w:r w:rsidRPr="002717F3">
              <w:rPr>
                <w:rFonts w:ascii="Segoe UI Symbol" w:hAnsi="Segoe UI Symbol" w:cs="Segoe UI Symbol"/>
              </w:rPr>
              <w:t>☐</w:t>
            </w:r>
            <w:r w:rsidRPr="002717F3">
              <w:t xml:space="preserve"> </w:t>
            </w:r>
            <w:r w:rsidR="00F130B0">
              <w:t>ROP</w:t>
            </w:r>
          </w:p>
          <w:p w14:paraId="029BF3C6" w14:textId="0B3265B5" w:rsidR="00EE4D03" w:rsidRDefault="002717F3" w:rsidP="002169B0">
            <w:pPr>
              <w:ind w:left="257"/>
            </w:pPr>
            <w:r w:rsidRPr="002717F3">
              <w:rPr>
                <w:rFonts w:ascii="Segoe UI Symbol" w:hAnsi="Segoe UI Symbol" w:cs="Segoe UI Symbol"/>
              </w:rPr>
              <w:t>☐</w:t>
            </w:r>
            <w:r w:rsidRPr="002717F3">
              <w:t xml:space="preserve"> </w:t>
            </w:r>
            <w:r w:rsidR="00F130B0">
              <w:t>Other</w:t>
            </w:r>
          </w:p>
        </w:tc>
        <w:tc>
          <w:tcPr>
            <w:tcW w:w="1620" w:type="dxa"/>
            <w:tcBorders>
              <w:top w:val="single" w:sz="6" w:space="0" w:color="0D0D0D" w:themeColor="text1" w:themeTint="F2"/>
              <w:bottom w:val="single" w:sz="6" w:space="0" w:color="0D0D0D" w:themeColor="text1" w:themeTint="F2"/>
            </w:tcBorders>
            <w:vAlign w:val="center"/>
          </w:tcPr>
          <w:p w14:paraId="5CEB48E9" w14:textId="77777777" w:rsidR="00F130B0" w:rsidRDefault="00F130B0" w:rsidP="002169B0">
            <w:pPr>
              <w:ind w:left="257"/>
            </w:pPr>
            <w:r w:rsidRPr="00587FA2">
              <w:rPr>
                <w:rFonts w:ascii="Wingdings" w:hAnsi="Wingdings" w:cs="Calibri"/>
                <w:b/>
                <w:bCs/>
              </w:rPr>
              <w:t>ü</w:t>
            </w:r>
            <w:r>
              <w:t xml:space="preserve"> ROP</w:t>
            </w:r>
          </w:p>
          <w:p w14:paraId="33E39FBD" w14:textId="4958E896" w:rsidR="00EE4D03" w:rsidRDefault="00F130B0" w:rsidP="002169B0">
            <w:pPr>
              <w:ind w:left="257"/>
            </w:pPr>
            <w:r w:rsidRPr="00587FA2">
              <w:rPr>
                <w:rFonts w:ascii="Wingdings" w:hAnsi="Wingdings" w:cs="Calibri"/>
                <w:b/>
                <w:bCs/>
              </w:rPr>
              <w:t>ü</w:t>
            </w:r>
            <w:r>
              <w:t xml:space="preserve"> Other</w:t>
            </w:r>
          </w:p>
        </w:tc>
        <w:tc>
          <w:tcPr>
            <w:tcW w:w="1800" w:type="dxa"/>
            <w:tcBorders>
              <w:top w:val="single" w:sz="6" w:space="0" w:color="0D0D0D" w:themeColor="text1" w:themeTint="F2"/>
              <w:bottom w:val="single" w:sz="6" w:space="0" w:color="0D0D0D" w:themeColor="text1" w:themeTint="F2"/>
              <w:right w:val="single" w:sz="8" w:space="0" w:color="0D0D0D" w:themeColor="text1" w:themeTint="F2"/>
            </w:tcBorders>
            <w:vAlign w:val="center"/>
          </w:tcPr>
          <w:p w14:paraId="097443EC" w14:textId="25C0298D" w:rsidR="00F130B0" w:rsidRPr="002169B0" w:rsidRDefault="00F130B0" w:rsidP="002169B0">
            <w:pPr>
              <w:ind w:left="257"/>
              <w:rPr>
                <w:vertAlign w:val="superscript"/>
              </w:rPr>
            </w:pPr>
            <w:r w:rsidRPr="00587FA2">
              <w:rPr>
                <w:rFonts w:ascii="Wingdings" w:hAnsi="Wingdings" w:cs="Calibri"/>
                <w:b/>
                <w:bCs/>
              </w:rPr>
              <w:t>ü</w:t>
            </w:r>
            <w:r>
              <w:t xml:space="preserve"> ROP</w:t>
            </w:r>
          </w:p>
          <w:p w14:paraId="3E73E0F7" w14:textId="5806C1CA" w:rsidR="00EE4D03" w:rsidRPr="002169B0" w:rsidRDefault="00F130B0" w:rsidP="002169B0">
            <w:pPr>
              <w:ind w:left="257"/>
              <w:rPr>
                <w:vertAlign w:val="superscript"/>
              </w:rPr>
            </w:pPr>
            <w:r w:rsidRPr="00587FA2">
              <w:rPr>
                <w:rFonts w:ascii="Wingdings" w:hAnsi="Wingdings" w:cs="Calibri"/>
                <w:b/>
                <w:bCs/>
              </w:rPr>
              <w:t>ü</w:t>
            </w:r>
            <w:r>
              <w:t xml:space="preserve"> Other</w:t>
            </w:r>
          </w:p>
        </w:tc>
      </w:tr>
      <w:tr w:rsidR="002717F3" w14:paraId="0A998CD6" w14:textId="77777777" w:rsidTr="00B2371F">
        <w:trPr>
          <w:trHeight w:val="901"/>
        </w:trPr>
        <w:tc>
          <w:tcPr>
            <w:tcW w:w="3060" w:type="dxa"/>
            <w:tcBorders>
              <w:top w:val="single" w:sz="6" w:space="0" w:color="0D0D0D" w:themeColor="text1" w:themeTint="F2"/>
              <w:left w:val="single" w:sz="8" w:space="0" w:color="0D0D0D" w:themeColor="text1" w:themeTint="F2"/>
              <w:bottom w:val="single" w:sz="6" w:space="0" w:color="0D0D0D" w:themeColor="text1" w:themeTint="F2"/>
              <w:right w:val="single" w:sz="8" w:space="0" w:color="0D0D0D" w:themeColor="text1" w:themeTint="F2"/>
            </w:tcBorders>
            <w:shd w:val="clear" w:color="auto" w:fill="28666E"/>
            <w:vAlign w:val="center"/>
          </w:tcPr>
          <w:p w14:paraId="194351E3" w14:textId="68370D1F" w:rsidR="00EE4D03" w:rsidRPr="00245DC2" w:rsidRDefault="00EE4D03" w:rsidP="00C57CC3">
            <w:pPr>
              <w:rPr>
                <w:color w:val="FFFFFF" w:themeColor="background1"/>
              </w:rPr>
            </w:pPr>
            <w:r w:rsidRPr="00245DC2">
              <w:rPr>
                <w:color w:val="FFFFFF" w:themeColor="background1"/>
              </w:rPr>
              <w:t>Partially Cooked (</w:t>
            </w:r>
            <w:hyperlink w:anchor="_Blanching" w:tooltip="Submersion of foods in boiling water or exposure to steam for a short period of time before rapidly cooling. Blanching is commonly done to fix color and stop enzymatic activity. " w:history="1">
              <w:r w:rsidRPr="008F4577">
                <w:rPr>
                  <w:rStyle w:val="Hyperlink"/>
                  <w:color w:val="FFFFFF" w:themeColor="background1"/>
                </w:rPr>
                <w:t>blanched</w:t>
              </w:r>
            </w:hyperlink>
            <w:r w:rsidRPr="00245DC2">
              <w:rPr>
                <w:color w:val="FFFFFF" w:themeColor="background1"/>
              </w:rPr>
              <w:t>)</w:t>
            </w:r>
          </w:p>
        </w:tc>
        <w:tc>
          <w:tcPr>
            <w:tcW w:w="2070" w:type="dxa"/>
            <w:tcBorders>
              <w:top w:val="single" w:sz="6" w:space="0" w:color="0D0D0D" w:themeColor="text1" w:themeTint="F2"/>
              <w:left w:val="single" w:sz="8" w:space="0" w:color="0D0D0D" w:themeColor="text1" w:themeTint="F2"/>
              <w:bottom w:val="single" w:sz="6" w:space="0" w:color="0D0D0D" w:themeColor="text1" w:themeTint="F2"/>
            </w:tcBorders>
            <w:shd w:val="clear" w:color="auto" w:fill="D9D9D9" w:themeFill="background1" w:themeFillShade="D9"/>
            <w:vAlign w:val="center"/>
          </w:tcPr>
          <w:p w14:paraId="7F3F47EC" w14:textId="77777777" w:rsidR="00F130B0" w:rsidRDefault="00F130B0" w:rsidP="002169B0">
            <w:pPr>
              <w:ind w:left="257"/>
            </w:pPr>
            <w:r w:rsidRPr="00587FA2">
              <w:rPr>
                <w:rFonts w:ascii="Wingdings" w:hAnsi="Wingdings" w:cs="Calibri"/>
                <w:b/>
                <w:bCs/>
              </w:rPr>
              <w:t>ü</w:t>
            </w:r>
            <w:r>
              <w:t xml:space="preserve"> ROP</w:t>
            </w:r>
          </w:p>
          <w:p w14:paraId="60FE0E9A" w14:textId="39B7323A" w:rsidR="00EE4D03" w:rsidRDefault="00F130B0" w:rsidP="002169B0">
            <w:pPr>
              <w:ind w:left="257"/>
            </w:pPr>
            <w:r w:rsidRPr="00587FA2">
              <w:rPr>
                <w:rFonts w:ascii="Wingdings" w:hAnsi="Wingdings" w:cs="Calibri"/>
                <w:b/>
                <w:bCs/>
              </w:rPr>
              <w:t>ü</w:t>
            </w:r>
            <w:r>
              <w:t xml:space="preserve"> Other</w:t>
            </w:r>
          </w:p>
        </w:tc>
        <w:tc>
          <w:tcPr>
            <w:tcW w:w="1710" w:type="dxa"/>
            <w:tcBorders>
              <w:top w:val="single" w:sz="6" w:space="0" w:color="0D0D0D" w:themeColor="text1" w:themeTint="F2"/>
              <w:bottom w:val="single" w:sz="6" w:space="0" w:color="0D0D0D" w:themeColor="text1" w:themeTint="F2"/>
            </w:tcBorders>
            <w:shd w:val="clear" w:color="auto" w:fill="D9D9D9" w:themeFill="background1" w:themeFillShade="D9"/>
            <w:vAlign w:val="center"/>
          </w:tcPr>
          <w:p w14:paraId="242E7E64" w14:textId="77777777" w:rsidR="00F130B0" w:rsidRDefault="00F130B0" w:rsidP="002169B0">
            <w:pPr>
              <w:ind w:left="257"/>
            </w:pPr>
            <w:r w:rsidRPr="00587FA2">
              <w:rPr>
                <w:rFonts w:ascii="Wingdings" w:hAnsi="Wingdings" w:cs="Calibri"/>
                <w:b/>
                <w:bCs/>
              </w:rPr>
              <w:t>ü</w:t>
            </w:r>
            <w:r>
              <w:t xml:space="preserve"> ROP</w:t>
            </w:r>
          </w:p>
          <w:p w14:paraId="0D8314B9" w14:textId="26B39101" w:rsidR="00EE4D03" w:rsidRDefault="00F130B0" w:rsidP="002169B0">
            <w:pPr>
              <w:ind w:left="257"/>
            </w:pPr>
            <w:r w:rsidRPr="00587FA2">
              <w:rPr>
                <w:rFonts w:ascii="Wingdings" w:hAnsi="Wingdings" w:cs="Calibri"/>
                <w:b/>
                <w:bCs/>
              </w:rPr>
              <w:t>ü</w:t>
            </w:r>
            <w:r>
              <w:t xml:space="preserve"> Other</w:t>
            </w:r>
          </w:p>
        </w:tc>
        <w:tc>
          <w:tcPr>
            <w:tcW w:w="2250" w:type="dxa"/>
            <w:tcBorders>
              <w:top w:val="single" w:sz="6" w:space="0" w:color="0D0D0D" w:themeColor="text1" w:themeTint="F2"/>
              <w:bottom w:val="single" w:sz="6" w:space="0" w:color="0D0D0D" w:themeColor="text1" w:themeTint="F2"/>
            </w:tcBorders>
            <w:shd w:val="clear" w:color="auto" w:fill="D9D9D9" w:themeFill="background1" w:themeFillShade="D9"/>
            <w:vAlign w:val="center"/>
          </w:tcPr>
          <w:p w14:paraId="2AB62640" w14:textId="77777777" w:rsidR="00F130B0" w:rsidRDefault="00F130B0" w:rsidP="002169B0">
            <w:pPr>
              <w:ind w:left="257"/>
            </w:pPr>
            <w:r w:rsidRPr="00587FA2">
              <w:rPr>
                <w:rFonts w:ascii="Wingdings" w:hAnsi="Wingdings" w:cs="Calibri"/>
                <w:b/>
                <w:bCs/>
              </w:rPr>
              <w:t>ü</w:t>
            </w:r>
            <w:r>
              <w:t xml:space="preserve"> ROP</w:t>
            </w:r>
          </w:p>
          <w:p w14:paraId="78BEAA76" w14:textId="5CD24BFD" w:rsidR="00EE4D03" w:rsidRDefault="002717F3" w:rsidP="002169B0">
            <w:pPr>
              <w:ind w:left="257"/>
            </w:pPr>
            <w:r w:rsidRPr="002717F3">
              <w:rPr>
                <w:rFonts w:ascii="Segoe UI Symbol" w:hAnsi="Segoe UI Symbol" w:cs="Segoe UI Symbol"/>
              </w:rPr>
              <w:t>☐</w:t>
            </w:r>
            <w:r w:rsidRPr="002717F3">
              <w:t xml:space="preserve"> </w:t>
            </w:r>
            <w:r w:rsidR="00F130B0">
              <w:t>Other</w:t>
            </w:r>
          </w:p>
        </w:tc>
        <w:tc>
          <w:tcPr>
            <w:tcW w:w="2070" w:type="dxa"/>
            <w:tcBorders>
              <w:top w:val="single" w:sz="6" w:space="0" w:color="0D0D0D" w:themeColor="text1" w:themeTint="F2"/>
              <w:bottom w:val="single" w:sz="6" w:space="0" w:color="0D0D0D" w:themeColor="text1" w:themeTint="F2"/>
            </w:tcBorders>
            <w:shd w:val="clear" w:color="auto" w:fill="D9D9D9" w:themeFill="background1" w:themeFillShade="D9"/>
            <w:vAlign w:val="center"/>
          </w:tcPr>
          <w:p w14:paraId="35ADD693" w14:textId="7640D11A" w:rsidR="00F130B0" w:rsidRDefault="002717F3" w:rsidP="002169B0">
            <w:pPr>
              <w:ind w:left="257"/>
            </w:pPr>
            <w:r w:rsidRPr="002717F3">
              <w:rPr>
                <w:rFonts w:ascii="Segoe UI Symbol" w:hAnsi="Segoe UI Symbol" w:cs="Segoe UI Symbol"/>
              </w:rPr>
              <w:t>☐</w:t>
            </w:r>
            <w:r w:rsidRPr="002717F3">
              <w:t xml:space="preserve"> </w:t>
            </w:r>
            <w:r w:rsidR="00F130B0">
              <w:t>ROP</w:t>
            </w:r>
          </w:p>
          <w:p w14:paraId="459E65FB" w14:textId="491D0FCA" w:rsidR="00EE4D03" w:rsidRDefault="002717F3" w:rsidP="002169B0">
            <w:pPr>
              <w:ind w:left="257"/>
            </w:pPr>
            <w:r w:rsidRPr="002717F3">
              <w:rPr>
                <w:rFonts w:ascii="Segoe UI Symbol" w:hAnsi="Segoe UI Symbol" w:cs="Segoe UI Symbol"/>
              </w:rPr>
              <w:t>☐</w:t>
            </w:r>
            <w:r w:rsidRPr="002717F3">
              <w:t xml:space="preserve"> </w:t>
            </w:r>
            <w:r w:rsidR="00F130B0">
              <w:t>Other</w:t>
            </w:r>
          </w:p>
        </w:tc>
        <w:tc>
          <w:tcPr>
            <w:tcW w:w="1620" w:type="dxa"/>
            <w:tcBorders>
              <w:top w:val="single" w:sz="6" w:space="0" w:color="0D0D0D" w:themeColor="text1" w:themeTint="F2"/>
              <w:bottom w:val="single" w:sz="6" w:space="0" w:color="0D0D0D" w:themeColor="text1" w:themeTint="F2"/>
            </w:tcBorders>
            <w:shd w:val="clear" w:color="auto" w:fill="D9D9D9" w:themeFill="background1" w:themeFillShade="D9"/>
            <w:vAlign w:val="center"/>
          </w:tcPr>
          <w:p w14:paraId="2723B3D4" w14:textId="77777777" w:rsidR="00F130B0" w:rsidRDefault="00F130B0" w:rsidP="002169B0">
            <w:pPr>
              <w:ind w:left="257"/>
            </w:pPr>
            <w:r w:rsidRPr="00587FA2">
              <w:rPr>
                <w:rFonts w:ascii="Wingdings" w:hAnsi="Wingdings" w:cs="Calibri"/>
                <w:b/>
                <w:bCs/>
              </w:rPr>
              <w:t>ü</w:t>
            </w:r>
            <w:r>
              <w:t xml:space="preserve"> ROP</w:t>
            </w:r>
          </w:p>
          <w:p w14:paraId="68BB246D" w14:textId="1FB6A4A8" w:rsidR="00EE4D03" w:rsidRDefault="00F130B0" w:rsidP="002169B0">
            <w:pPr>
              <w:ind w:left="257"/>
            </w:pPr>
            <w:r w:rsidRPr="00587FA2">
              <w:rPr>
                <w:rFonts w:ascii="Wingdings" w:hAnsi="Wingdings" w:cs="Calibri"/>
                <w:b/>
                <w:bCs/>
              </w:rPr>
              <w:t>ü</w:t>
            </w:r>
            <w:r>
              <w:t xml:space="preserve"> Other</w:t>
            </w:r>
          </w:p>
        </w:tc>
        <w:tc>
          <w:tcPr>
            <w:tcW w:w="1800" w:type="dxa"/>
            <w:tcBorders>
              <w:top w:val="single" w:sz="6" w:space="0" w:color="0D0D0D" w:themeColor="text1" w:themeTint="F2"/>
              <w:bottom w:val="single" w:sz="6" w:space="0" w:color="0D0D0D" w:themeColor="text1" w:themeTint="F2"/>
              <w:right w:val="single" w:sz="8" w:space="0" w:color="0D0D0D" w:themeColor="text1" w:themeTint="F2"/>
            </w:tcBorders>
            <w:shd w:val="clear" w:color="auto" w:fill="D9D9D9" w:themeFill="background1" w:themeFillShade="D9"/>
            <w:vAlign w:val="center"/>
          </w:tcPr>
          <w:p w14:paraId="0422C690" w14:textId="16454BBC" w:rsidR="00F130B0" w:rsidRPr="002169B0" w:rsidRDefault="00F130B0" w:rsidP="002169B0">
            <w:pPr>
              <w:ind w:left="257"/>
              <w:rPr>
                <w:vertAlign w:val="superscript"/>
              </w:rPr>
            </w:pPr>
            <w:r w:rsidRPr="00587FA2">
              <w:rPr>
                <w:rFonts w:ascii="Wingdings" w:hAnsi="Wingdings" w:cs="Calibri"/>
                <w:b/>
                <w:bCs/>
              </w:rPr>
              <w:t>ü</w:t>
            </w:r>
            <w:r>
              <w:t xml:space="preserve"> ROP</w:t>
            </w:r>
          </w:p>
          <w:p w14:paraId="6E71460F" w14:textId="7B772D9B" w:rsidR="00EE4D03" w:rsidRDefault="00F130B0" w:rsidP="002169B0">
            <w:pPr>
              <w:ind w:left="257"/>
            </w:pPr>
            <w:r w:rsidRPr="00587FA2">
              <w:rPr>
                <w:rFonts w:ascii="Wingdings" w:hAnsi="Wingdings" w:cs="Calibri"/>
                <w:b/>
                <w:bCs/>
              </w:rPr>
              <w:t>ü</w:t>
            </w:r>
            <w:r>
              <w:t xml:space="preserve"> Other</w:t>
            </w:r>
          </w:p>
        </w:tc>
      </w:tr>
      <w:tr w:rsidR="002717F3" w14:paraId="5929B5B4" w14:textId="77777777" w:rsidTr="00B2371F">
        <w:trPr>
          <w:trHeight w:val="901"/>
        </w:trPr>
        <w:tc>
          <w:tcPr>
            <w:tcW w:w="3060" w:type="dxa"/>
            <w:tcBorders>
              <w:top w:val="single" w:sz="6" w:space="0" w:color="0D0D0D" w:themeColor="text1" w:themeTint="F2"/>
              <w:left w:val="single" w:sz="8" w:space="0" w:color="0D0D0D" w:themeColor="text1" w:themeTint="F2"/>
              <w:bottom w:val="single" w:sz="6" w:space="0" w:color="0D0D0D" w:themeColor="text1" w:themeTint="F2"/>
              <w:right w:val="single" w:sz="8" w:space="0" w:color="0D0D0D" w:themeColor="text1" w:themeTint="F2"/>
            </w:tcBorders>
            <w:shd w:val="clear" w:color="auto" w:fill="28666E"/>
            <w:vAlign w:val="center"/>
          </w:tcPr>
          <w:p w14:paraId="415526AB" w14:textId="6A6A9427" w:rsidR="00EE4D03" w:rsidRPr="00245DC2" w:rsidRDefault="00EE4D03" w:rsidP="00C57CC3">
            <w:pPr>
              <w:rPr>
                <w:color w:val="FFFFFF" w:themeColor="background1"/>
              </w:rPr>
            </w:pPr>
            <w:hyperlink w:anchor="_Pasteurization" w:tooltip="A process (commonly heat) applied to foods to reduce the population of a target pathogen to a safe level." w:history="1">
              <w:r w:rsidRPr="00A90B55">
                <w:rPr>
                  <w:rStyle w:val="Hyperlink"/>
                  <w:color w:val="FFFFFF" w:themeColor="background1"/>
                </w:rPr>
                <w:t>Pasteurized</w:t>
              </w:r>
            </w:hyperlink>
          </w:p>
        </w:tc>
        <w:tc>
          <w:tcPr>
            <w:tcW w:w="2070" w:type="dxa"/>
            <w:tcBorders>
              <w:top w:val="single" w:sz="6" w:space="0" w:color="0D0D0D" w:themeColor="text1" w:themeTint="F2"/>
              <w:left w:val="single" w:sz="8" w:space="0" w:color="0D0D0D" w:themeColor="text1" w:themeTint="F2"/>
              <w:bottom w:val="single" w:sz="6" w:space="0" w:color="0D0D0D" w:themeColor="text1" w:themeTint="F2"/>
            </w:tcBorders>
            <w:vAlign w:val="center"/>
          </w:tcPr>
          <w:p w14:paraId="050B0BA1" w14:textId="77777777" w:rsidR="00F130B0" w:rsidRDefault="00F130B0" w:rsidP="002169B0">
            <w:pPr>
              <w:ind w:left="257"/>
            </w:pPr>
            <w:r w:rsidRPr="00587FA2">
              <w:rPr>
                <w:rFonts w:ascii="Wingdings" w:hAnsi="Wingdings" w:cs="Calibri"/>
                <w:b/>
                <w:bCs/>
              </w:rPr>
              <w:t>ü</w:t>
            </w:r>
            <w:r>
              <w:t xml:space="preserve"> ROP</w:t>
            </w:r>
          </w:p>
          <w:p w14:paraId="30DC7C1C" w14:textId="13C9CB53" w:rsidR="00EE4D03" w:rsidRDefault="00F130B0" w:rsidP="002169B0">
            <w:pPr>
              <w:ind w:left="257"/>
            </w:pPr>
            <w:r w:rsidRPr="00587FA2">
              <w:rPr>
                <w:rFonts w:ascii="Wingdings" w:hAnsi="Wingdings" w:cs="Calibri"/>
                <w:b/>
                <w:bCs/>
              </w:rPr>
              <w:t>ü</w:t>
            </w:r>
            <w:r>
              <w:t xml:space="preserve"> Other</w:t>
            </w:r>
          </w:p>
        </w:tc>
        <w:tc>
          <w:tcPr>
            <w:tcW w:w="1710" w:type="dxa"/>
            <w:tcBorders>
              <w:top w:val="single" w:sz="6" w:space="0" w:color="0D0D0D" w:themeColor="text1" w:themeTint="F2"/>
              <w:bottom w:val="single" w:sz="6" w:space="0" w:color="0D0D0D" w:themeColor="text1" w:themeTint="F2"/>
            </w:tcBorders>
            <w:vAlign w:val="center"/>
          </w:tcPr>
          <w:p w14:paraId="29465AF6" w14:textId="2C11A134" w:rsidR="00F130B0" w:rsidRDefault="00F130B0" w:rsidP="002169B0">
            <w:pPr>
              <w:ind w:left="257"/>
            </w:pPr>
            <w:r w:rsidRPr="00587FA2">
              <w:rPr>
                <w:rFonts w:ascii="Wingdings" w:hAnsi="Wingdings" w:cs="Calibri"/>
                <w:b/>
                <w:bCs/>
              </w:rPr>
              <w:t>ü</w:t>
            </w:r>
            <w:r>
              <w:t xml:space="preserve"> ROP</w:t>
            </w:r>
            <w:bookmarkStart w:id="68" w:name="_Ref209433473"/>
            <w:r w:rsidR="00DD568D">
              <w:rPr>
                <w:rStyle w:val="FootnoteReference"/>
              </w:rPr>
              <w:footnoteReference w:id="25"/>
            </w:r>
            <w:bookmarkEnd w:id="68"/>
          </w:p>
          <w:p w14:paraId="15920CED" w14:textId="37243E3E" w:rsidR="00EE4D03" w:rsidRDefault="00F130B0" w:rsidP="002169B0">
            <w:pPr>
              <w:ind w:left="257"/>
            </w:pPr>
            <w:r w:rsidRPr="00587FA2">
              <w:rPr>
                <w:rFonts w:ascii="Wingdings" w:hAnsi="Wingdings" w:cs="Calibri"/>
                <w:b/>
                <w:bCs/>
              </w:rPr>
              <w:t>ü</w:t>
            </w:r>
            <w:r>
              <w:t xml:space="preserve"> Othe</w:t>
            </w:r>
            <w:r w:rsidR="00DD568D">
              <w:t>r</w:t>
            </w:r>
            <w:r w:rsidR="00DD568D">
              <w:fldChar w:fldCharType="begin"/>
            </w:r>
            <w:r w:rsidR="00DD568D">
              <w:instrText xml:space="preserve"> NOTEREF _Ref209433473 \f \h </w:instrText>
            </w:r>
            <w:r w:rsidR="00DD568D">
              <w:fldChar w:fldCharType="separate"/>
            </w:r>
            <w:r w:rsidR="00A042AD" w:rsidRPr="00A042AD">
              <w:rPr>
                <w:rStyle w:val="FootnoteReference"/>
              </w:rPr>
              <w:t>4</w:t>
            </w:r>
            <w:r w:rsidR="00DD568D">
              <w:fldChar w:fldCharType="end"/>
            </w:r>
          </w:p>
        </w:tc>
        <w:tc>
          <w:tcPr>
            <w:tcW w:w="2250" w:type="dxa"/>
            <w:tcBorders>
              <w:top w:val="single" w:sz="6" w:space="0" w:color="0D0D0D" w:themeColor="text1" w:themeTint="F2"/>
              <w:bottom w:val="single" w:sz="6" w:space="0" w:color="0D0D0D" w:themeColor="text1" w:themeTint="F2"/>
            </w:tcBorders>
            <w:vAlign w:val="center"/>
          </w:tcPr>
          <w:p w14:paraId="2844FF38" w14:textId="77777777" w:rsidR="00F130B0" w:rsidRDefault="00F130B0" w:rsidP="002169B0">
            <w:pPr>
              <w:ind w:left="257"/>
            </w:pPr>
            <w:r w:rsidRPr="00587FA2">
              <w:rPr>
                <w:rFonts w:ascii="Wingdings" w:hAnsi="Wingdings" w:cs="Calibri"/>
                <w:b/>
                <w:bCs/>
              </w:rPr>
              <w:t>ü</w:t>
            </w:r>
            <w:r>
              <w:t xml:space="preserve"> ROP</w:t>
            </w:r>
          </w:p>
          <w:p w14:paraId="1F068FE7" w14:textId="2C9877AC" w:rsidR="00EE4D03" w:rsidRDefault="002169B0" w:rsidP="002169B0">
            <w:pPr>
              <w:ind w:left="257"/>
            </w:pPr>
            <w:r w:rsidRPr="002717F3">
              <w:rPr>
                <w:rFonts w:ascii="Segoe UI Symbol" w:hAnsi="Segoe UI Symbol" w:cs="Segoe UI Symbol"/>
              </w:rPr>
              <w:t>☐</w:t>
            </w:r>
            <w:r>
              <w:rPr>
                <w:rFonts w:ascii="Segoe UI Symbol" w:hAnsi="Segoe UI Symbol" w:cs="Segoe UI Symbol"/>
              </w:rPr>
              <w:t xml:space="preserve"> </w:t>
            </w:r>
            <w:r w:rsidR="00F130B0">
              <w:t>Other</w:t>
            </w:r>
          </w:p>
        </w:tc>
        <w:tc>
          <w:tcPr>
            <w:tcW w:w="2070" w:type="dxa"/>
            <w:tcBorders>
              <w:top w:val="single" w:sz="6" w:space="0" w:color="0D0D0D" w:themeColor="text1" w:themeTint="F2"/>
              <w:bottom w:val="single" w:sz="6" w:space="0" w:color="0D0D0D" w:themeColor="text1" w:themeTint="F2"/>
            </w:tcBorders>
            <w:vAlign w:val="center"/>
          </w:tcPr>
          <w:p w14:paraId="35D44A89" w14:textId="77777777" w:rsidR="00F130B0" w:rsidRDefault="00F130B0" w:rsidP="002169B0">
            <w:pPr>
              <w:ind w:left="257"/>
            </w:pPr>
            <w:r w:rsidRPr="00587FA2">
              <w:rPr>
                <w:rFonts w:ascii="Wingdings" w:hAnsi="Wingdings" w:cs="Calibri"/>
                <w:b/>
                <w:bCs/>
              </w:rPr>
              <w:t>ü</w:t>
            </w:r>
            <w:r>
              <w:t xml:space="preserve"> ROP</w:t>
            </w:r>
          </w:p>
          <w:p w14:paraId="59CB6669" w14:textId="2C3C4688" w:rsidR="00EE4D03" w:rsidRDefault="00F130B0" w:rsidP="002169B0">
            <w:pPr>
              <w:ind w:left="257"/>
            </w:pPr>
            <w:r w:rsidRPr="00587FA2">
              <w:rPr>
                <w:rFonts w:ascii="Wingdings" w:hAnsi="Wingdings" w:cs="Calibri"/>
                <w:b/>
                <w:bCs/>
              </w:rPr>
              <w:t>ü</w:t>
            </w:r>
            <w:r>
              <w:t xml:space="preserve"> Other</w:t>
            </w:r>
          </w:p>
        </w:tc>
        <w:tc>
          <w:tcPr>
            <w:tcW w:w="1620" w:type="dxa"/>
            <w:tcBorders>
              <w:top w:val="single" w:sz="6" w:space="0" w:color="0D0D0D" w:themeColor="text1" w:themeTint="F2"/>
              <w:bottom w:val="single" w:sz="6" w:space="0" w:color="0D0D0D" w:themeColor="text1" w:themeTint="F2"/>
            </w:tcBorders>
            <w:vAlign w:val="center"/>
          </w:tcPr>
          <w:p w14:paraId="592DF018" w14:textId="77777777" w:rsidR="00F130B0" w:rsidRDefault="00F130B0" w:rsidP="002169B0">
            <w:pPr>
              <w:ind w:left="257"/>
            </w:pPr>
            <w:r w:rsidRPr="00587FA2">
              <w:rPr>
                <w:rFonts w:ascii="Wingdings" w:hAnsi="Wingdings" w:cs="Calibri"/>
                <w:b/>
                <w:bCs/>
              </w:rPr>
              <w:t>ü</w:t>
            </w:r>
            <w:r>
              <w:t xml:space="preserve"> ROP</w:t>
            </w:r>
          </w:p>
          <w:p w14:paraId="6B24ADA6" w14:textId="5260A58E" w:rsidR="00EE4D03" w:rsidRDefault="00F130B0" w:rsidP="002169B0">
            <w:pPr>
              <w:ind w:left="257"/>
            </w:pPr>
            <w:r w:rsidRPr="00587FA2">
              <w:rPr>
                <w:rFonts w:ascii="Wingdings" w:hAnsi="Wingdings" w:cs="Calibri"/>
                <w:b/>
                <w:bCs/>
              </w:rPr>
              <w:t>ü</w:t>
            </w:r>
            <w:r>
              <w:t xml:space="preserve"> Other</w:t>
            </w:r>
          </w:p>
        </w:tc>
        <w:tc>
          <w:tcPr>
            <w:tcW w:w="1800" w:type="dxa"/>
            <w:tcBorders>
              <w:top w:val="single" w:sz="6" w:space="0" w:color="0D0D0D" w:themeColor="text1" w:themeTint="F2"/>
              <w:bottom w:val="single" w:sz="6" w:space="0" w:color="0D0D0D" w:themeColor="text1" w:themeTint="F2"/>
              <w:right w:val="single" w:sz="8" w:space="0" w:color="0D0D0D" w:themeColor="text1" w:themeTint="F2"/>
            </w:tcBorders>
            <w:vAlign w:val="center"/>
          </w:tcPr>
          <w:p w14:paraId="2A694DC8" w14:textId="261D89FF" w:rsidR="00F130B0" w:rsidRDefault="00F130B0" w:rsidP="002169B0">
            <w:pPr>
              <w:ind w:left="257"/>
            </w:pPr>
            <w:r w:rsidRPr="00587FA2">
              <w:rPr>
                <w:rFonts w:ascii="Wingdings" w:hAnsi="Wingdings" w:cs="Calibri"/>
                <w:b/>
                <w:bCs/>
              </w:rPr>
              <w:t>ü</w:t>
            </w:r>
            <w:r>
              <w:t xml:space="preserve"> ROP</w:t>
            </w:r>
          </w:p>
          <w:p w14:paraId="79269B88" w14:textId="5643CAAF" w:rsidR="00EE4D03" w:rsidRPr="002169B0" w:rsidRDefault="00F130B0" w:rsidP="002169B0">
            <w:pPr>
              <w:ind w:left="257"/>
              <w:rPr>
                <w:vertAlign w:val="superscript"/>
              </w:rPr>
            </w:pPr>
            <w:r w:rsidRPr="00587FA2">
              <w:rPr>
                <w:rFonts w:ascii="Wingdings" w:hAnsi="Wingdings" w:cs="Calibri"/>
                <w:b/>
                <w:bCs/>
              </w:rPr>
              <w:t>ü</w:t>
            </w:r>
            <w:r>
              <w:t xml:space="preserve"> Other</w:t>
            </w:r>
          </w:p>
        </w:tc>
      </w:tr>
      <w:tr w:rsidR="002717F3" w14:paraId="505C2111" w14:textId="77777777" w:rsidTr="00B2371F">
        <w:trPr>
          <w:trHeight w:val="901"/>
        </w:trPr>
        <w:tc>
          <w:tcPr>
            <w:tcW w:w="3060" w:type="dxa"/>
            <w:tcBorders>
              <w:top w:val="single" w:sz="6" w:space="0" w:color="0D0D0D" w:themeColor="text1" w:themeTint="F2"/>
              <w:left w:val="single" w:sz="8" w:space="0" w:color="0D0D0D" w:themeColor="text1" w:themeTint="F2"/>
              <w:bottom w:val="single" w:sz="6" w:space="0" w:color="0D0D0D" w:themeColor="text1" w:themeTint="F2"/>
              <w:right w:val="single" w:sz="8" w:space="0" w:color="0D0D0D" w:themeColor="text1" w:themeTint="F2"/>
            </w:tcBorders>
            <w:shd w:val="clear" w:color="auto" w:fill="28666E"/>
            <w:vAlign w:val="center"/>
          </w:tcPr>
          <w:p w14:paraId="302C99A0" w14:textId="325E4572" w:rsidR="00EE4D03" w:rsidRPr="00245DC2" w:rsidRDefault="00EE4D03" w:rsidP="00C57CC3">
            <w:pPr>
              <w:rPr>
                <w:color w:val="FFFFFF" w:themeColor="background1"/>
              </w:rPr>
            </w:pPr>
            <w:r w:rsidRPr="00245DC2">
              <w:rPr>
                <w:color w:val="FFFFFF" w:themeColor="background1"/>
              </w:rPr>
              <w:t>Fully Cooked Prepared Food</w:t>
            </w:r>
          </w:p>
        </w:tc>
        <w:tc>
          <w:tcPr>
            <w:tcW w:w="2070" w:type="dxa"/>
            <w:tcBorders>
              <w:top w:val="single" w:sz="6" w:space="0" w:color="0D0D0D" w:themeColor="text1" w:themeTint="F2"/>
              <w:left w:val="single" w:sz="8" w:space="0" w:color="0D0D0D" w:themeColor="text1" w:themeTint="F2"/>
              <w:bottom w:val="single" w:sz="6" w:space="0" w:color="0D0D0D" w:themeColor="text1" w:themeTint="F2"/>
            </w:tcBorders>
            <w:shd w:val="clear" w:color="auto" w:fill="D9D9D9" w:themeFill="background1" w:themeFillShade="D9"/>
            <w:vAlign w:val="center"/>
          </w:tcPr>
          <w:p w14:paraId="30D3BDB2" w14:textId="77777777" w:rsidR="00F130B0" w:rsidRDefault="00F130B0" w:rsidP="002169B0">
            <w:pPr>
              <w:ind w:left="257"/>
            </w:pPr>
            <w:r w:rsidRPr="00587FA2">
              <w:rPr>
                <w:rFonts w:ascii="Wingdings" w:hAnsi="Wingdings" w:cs="Calibri"/>
                <w:b/>
                <w:bCs/>
              </w:rPr>
              <w:t>ü</w:t>
            </w:r>
            <w:r>
              <w:t xml:space="preserve"> ROP</w:t>
            </w:r>
          </w:p>
          <w:p w14:paraId="55174653" w14:textId="46212B15" w:rsidR="00EE4D03" w:rsidRDefault="00F130B0" w:rsidP="002169B0">
            <w:pPr>
              <w:ind w:left="257"/>
            </w:pPr>
            <w:r w:rsidRPr="00587FA2">
              <w:rPr>
                <w:rFonts w:ascii="Wingdings" w:hAnsi="Wingdings" w:cs="Calibri"/>
                <w:b/>
                <w:bCs/>
              </w:rPr>
              <w:t>ü</w:t>
            </w:r>
            <w:r>
              <w:t xml:space="preserve"> Other</w:t>
            </w:r>
          </w:p>
        </w:tc>
        <w:tc>
          <w:tcPr>
            <w:tcW w:w="1710" w:type="dxa"/>
            <w:tcBorders>
              <w:top w:val="single" w:sz="6" w:space="0" w:color="0D0D0D" w:themeColor="text1" w:themeTint="F2"/>
              <w:bottom w:val="single" w:sz="6" w:space="0" w:color="0D0D0D" w:themeColor="text1" w:themeTint="F2"/>
            </w:tcBorders>
            <w:shd w:val="clear" w:color="auto" w:fill="D9D9D9" w:themeFill="background1" w:themeFillShade="D9"/>
            <w:vAlign w:val="center"/>
          </w:tcPr>
          <w:p w14:paraId="7479A0E7" w14:textId="0B1FFECE" w:rsidR="00F130B0" w:rsidRDefault="00F130B0" w:rsidP="002169B0">
            <w:pPr>
              <w:ind w:left="257"/>
            </w:pPr>
            <w:r w:rsidRPr="00587FA2">
              <w:rPr>
                <w:rFonts w:ascii="Wingdings" w:hAnsi="Wingdings" w:cs="Calibri"/>
                <w:b/>
                <w:bCs/>
              </w:rPr>
              <w:t>ü</w:t>
            </w:r>
            <w:r>
              <w:t xml:space="preserve"> ROP</w:t>
            </w:r>
            <w:r w:rsidR="00DD568D">
              <w:fldChar w:fldCharType="begin"/>
            </w:r>
            <w:r w:rsidR="00DD568D">
              <w:instrText xml:space="preserve"> NOTEREF _Ref209433473 \f \h </w:instrText>
            </w:r>
            <w:r w:rsidR="00DD568D">
              <w:fldChar w:fldCharType="separate"/>
            </w:r>
            <w:r w:rsidR="00A042AD" w:rsidRPr="00A042AD">
              <w:rPr>
                <w:rStyle w:val="FootnoteReference"/>
              </w:rPr>
              <w:t>4</w:t>
            </w:r>
            <w:r w:rsidR="00DD568D">
              <w:fldChar w:fldCharType="end"/>
            </w:r>
          </w:p>
          <w:p w14:paraId="78F1C759" w14:textId="4EEF7EB7" w:rsidR="00EE4D03" w:rsidRDefault="00F130B0" w:rsidP="002169B0">
            <w:pPr>
              <w:ind w:left="257"/>
            </w:pPr>
            <w:r w:rsidRPr="00587FA2">
              <w:rPr>
                <w:rFonts w:ascii="Wingdings" w:hAnsi="Wingdings" w:cs="Calibri"/>
                <w:b/>
                <w:bCs/>
              </w:rPr>
              <w:t>ü</w:t>
            </w:r>
            <w:r>
              <w:t xml:space="preserve"> Other</w:t>
            </w:r>
            <w:r w:rsidR="00DD568D">
              <w:fldChar w:fldCharType="begin"/>
            </w:r>
            <w:r w:rsidR="00DD568D">
              <w:instrText xml:space="preserve"> NOTEREF _Ref209433473 \f \h </w:instrText>
            </w:r>
            <w:r w:rsidR="00DD568D">
              <w:fldChar w:fldCharType="separate"/>
            </w:r>
            <w:r w:rsidR="00A042AD" w:rsidRPr="00A042AD">
              <w:rPr>
                <w:rStyle w:val="FootnoteReference"/>
              </w:rPr>
              <w:t>4</w:t>
            </w:r>
            <w:r w:rsidR="00DD568D">
              <w:fldChar w:fldCharType="end"/>
            </w:r>
          </w:p>
        </w:tc>
        <w:tc>
          <w:tcPr>
            <w:tcW w:w="2250" w:type="dxa"/>
            <w:tcBorders>
              <w:top w:val="single" w:sz="6" w:space="0" w:color="0D0D0D" w:themeColor="text1" w:themeTint="F2"/>
              <w:bottom w:val="single" w:sz="6" w:space="0" w:color="0D0D0D" w:themeColor="text1" w:themeTint="F2"/>
            </w:tcBorders>
            <w:shd w:val="clear" w:color="auto" w:fill="D9D9D9" w:themeFill="background1" w:themeFillShade="D9"/>
            <w:vAlign w:val="center"/>
          </w:tcPr>
          <w:p w14:paraId="1075A28C" w14:textId="77777777" w:rsidR="00F130B0" w:rsidRDefault="00F130B0" w:rsidP="002169B0">
            <w:pPr>
              <w:ind w:left="257"/>
            </w:pPr>
            <w:r w:rsidRPr="00587FA2">
              <w:rPr>
                <w:rFonts w:ascii="Wingdings" w:hAnsi="Wingdings" w:cs="Calibri"/>
                <w:b/>
                <w:bCs/>
              </w:rPr>
              <w:t>ü</w:t>
            </w:r>
            <w:r>
              <w:t xml:space="preserve"> ROP</w:t>
            </w:r>
          </w:p>
          <w:p w14:paraId="6E79A26E" w14:textId="0EB444DF" w:rsidR="00EE4D03" w:rsidRDefault="002169B0" w:rsidP="002169B0">
            <w:pPr>
              <w:ind w:left="257"/>
            </w:pPr>
            <w:r w:rsidRPr="002717F3">
              <w:rPr>
                <w:rFonts w:ascii="Segoe UI Symbol" w:hAnsi="Segoe UI Symbol" w:cs="Segoe UI Symbol"/>
              </w:rPr>
              <w:t>☐</w:t>
            </w:r>
            <w:r>
              <w:rPr>
                <w:rFonts w:ascii="Segoe UI Symbol" w:hAnsi="Segoe UI Symbol" w:cs="Segoe UI Symbol"/>
              </w:rPr>
              <w:t xml:space="preserve"> </w:t>
            </w:r>
            <w:r w:rsidR="00F130B0">
              <w:t>Other</w:t>
            </w:r>
          </w:p>
        </w:tc>
        <w:tc>
          <w:tcPr>
            <w:tcW w:w="2070" w:type="dxa"/>
            <w:tcBorders>
              <w:top w:val="single" w:sz="6" w:space="0" w:color="0D0D0D" w:themeColor="text1" w:themeTint="F2"/>
              <w:bottom w:val="single" w:sz="6" w:space="0" w:color="0D0D0D" w:themeColor="text1" w:themeTint="F2"/>
            </w:tcBorders>
            <w:shd w:val="clear" w:color="auto" w:fill="D9D9D9" w:themeFill="background1" w:themeFillShade="D9"/>
            <w:vAlign w:val="center"/>
          </w:tcPr>
          <w:p w14:paraId="0D66B3B6" w14:textId="77777777" w:rsidR="00F130B0" w:rsidRDefault="00F130B0" w:rsidP="002169B0">
            <w:pPr>
              <w:ind w:left="257"/>
            </w:pPr>
            <w:r w:rsidRPr="00587FA2">
              <w:rPr>
                <w:rFonts w:ascii="Wingdings" w:hAnsi="Wingdings" w:cs="Calibri"/>
                <w:b/>
                <w:bCs/>
              </w:rPr>
              <w:t>ü</w:t>
            </w:r>
            <w:r>
              <w:t xml:space="preserve"> ROP</w:t>
            </w:r>
          </w:p>
          <w:p w14:paraId="4B5954F7" w14:textId="380917AC" w:rsidR="00EE4D03" w:rsidRDefault="00F130B0" w:rsidP="002169B0">
            <w:pPr>
              <w:ind w:left="257"/>
            </w:pPr>
            <w:r w:rsidRPr="00587FA2">
              <w:rPr>
                <w:rFonts w:ascii="Wingdings" w:hAnsi="Wingdings" w:cs="Calibri"/>
                <w:b/>
                <w:bCs/>
              </w:rPr>
              <w:t>ü</w:t>
            </w:r>
            <w:r>
              <w:t xml:space="preserve"> Other</w:t>
            </w:r>
          </w:p>
        </w:tc>
        <w:tc>
          <w:tcPr>
            <w:tcW w:w="1620" w:type="dxa"/>
            <w:tcBorders>
              <w:top w:val="single" w:sz="6" w:space="0" w:color="0D0D0D" w:themeColor="text1" w:themeTint="F2"/>
              <w:bottom w:val="single" w:sz="6" w:space="0" w:color="0D0D0D" w:themeColor="text1" w:themeTint="F2"/>
            </w:tcBorders>
            <w:shd w:val="clear" w:color="auto" w:fill="D9D9D9" w:themeFill="background1" w:themeFillShade="D9"/>
            <w:vAlign w:val="center"/>
          </w:tcPr>
          <w:p w14:paraId="69349045" w14:textId="77777777" w:rsidR="00F130B0" w:rsidRDefault="00F130B0" w:rsidP="002169B0">
            <w:pPr>
              <w:ind w:left="257"/>
            </w:pPr>
            <w:r w:rsidRPr="00587FA2">
              <w:rPr>
                <w:rFonts w:ascii="Wingdings" w:hAnsi="Wingdings" w:cs="Calibri"/>
                <w:b/>
                <w:bCs/>
              </w:rPr>
              <w:t>ü</w:t>
            </w:r>
            <w:r>
              <w:t xml:space="preserve"> ROP</w:t>
            </w:r>
          </w:p>
          <w:p w14:paraId="3D1D5D13" w14:textId="208F8F85" w:rsidR="00EE4D03" w:rsidRDefault="00F130B0" w:rsidP="002169B0">
            <w:pPr>
              <w:ind w:left="257"/>
            </w:pPr>
            <w:r w:rsidRPr="00587FA2">
              <w:rPr>
                <w:rFonts w:ascii="Wingdings" w:hAnsi="Wingdings" w:cs="Calibri"/>
                <w:b/>
                <w:bCs/>
              </w:rPr>
              <w:t>ü</w:t>
            </w:r>
            <w:r>
              <w:t xml:space="preserve"> Other</w:t>
            </w:r>
          </w:p>
        </w:tc>
        <w:tc>
          <w:tcPr>
            <w:tcW w:w="1800" w:type="dxa"/>
            <w:tcBorders>
              <w:top w:val="single" w:sz="6" w:space="0" w:color="0D0D0D" w:themeColor="text1" w:themeTint="F2"/>
              <w:bottom w:val="single" w:sz="6" w:space="0" w:color="0D0D0D" w:themeColor="text1" w:themeTint="F2"/>
              <w:right w:val="single" w:sz="8" w:space="0" w:color="0D0D0D" w:themeColor="text1" w:themeTint="F2"/>
            </w:tcBorders>
            <w:shd w:val="clear" w:color="auto" w:fill="D9D9D9" w:themeFill="background1" w:themeFillShade="D9"/>
            <w:vAlign w:val="center"/>
          </w:tcPr>
          <w:p w14:paraId="345FEBA6" w14:textId="01C38D9F" w:rsidR="00F130B0" w:rsidRPr="002169B0" w:rsidRDefault="00F130B0" w:rsidP="002169B0">
            <w:pPr>
              <w:ind w:left="257"/>
              <w:rPr>
                <w:vertAlign w:val="superscript"/>
              </w:rPr>
            </w:pPr>
            <w:r w:rsidRPr="00587FA2">
              <w:rPr>
                <w:rFonts w:ascii="Wingdings" w:hAnsi="Wingdings" w:cs="Calibri"/>
                <w:b/>
                <w:bCs/>
              </w:rPr>
              <w:t>ü</w:t>
            </w:r>
            <w:r>
              <w:t xml:space="preserve"> ROP</w:t>
            </w:r>
          </w:p>
          <w:p w14:paraId="2A887779" w14:textId="461CAB68" w:rsidR="00EE4D03" w:rsidRPr="002169B0" w:rsidRDefault="00F130B0" w:rsidP="002169B0">
            <w:pPr>
              <w:ind w:left="257"/>
              <w:rPr>
                <w:vertAlign w:val="superscript"/>
              </w:rPr>
            </w:pPr>
            <w:r w:rsidRPr="00587FA2">
              <w:rPr>
                <w:rFonts w:ascii="Wingdings" w:hAnsi="Wingdings" w:cs="Calibri"/>
                <w:b/>
                <w:bCs/>
              </w:rPr>
              <w:t>ü</w:t>
            </w:r>
            <w:r>
              <w:t xml:space="preserve"> Other</w:t>
            </w:r>
          </w:p>
        </w:tc>
      </w:tr>
      <w:tr w:rsidR="002717F3" w14:paraId="13202280" w14:textId="77777777" w:rsidTr="00B2371F">
        <w:trPr>
          <w:trHeight w:val="1034"/>
        </w:trPr>
        <w:tc>
          <w:tcPr>
            <w:tcW w:w="3060" w:type="dxa"/>
            <w:tcBorders>
              <w:top w:val="single" w:sz="6"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28666E"/>
            <w:vAlign w:val="center"/>
          </w:tcPr>
          <w:p w14:paraId="796D6748" w14:textId="44505DC9" w:rsidR="00EE4D03" w:rsidRPr="00245DC2" w:rsidRDefault="00EE4D03" w:rsidP="00C57CC3">
            <w:pPr>
              <w:rPr>
                <w:color w:val="FFFFFF" w:themeColor="background1"/>
              </w:rPr>
            </w:pPr>
            <w:r w:rsidRPr="00245DC2">
              <w:rPr>
                <w:color w:val="FFFFFF" w:themeColor="background1"/>
              </w:rPr>
              <w:t xml:space="preserve">Prepared from </w:t>
            </w:r>
            <w:hyperlink w:anchor="RTE" w:tooltip="Foods being sold with the intention of being consumed without any further processing or preparation." w:history="1">
              <w:r w:rsidRPr="00AE1C32">
                <w:rPr>
                  <w:rStyle w:val="Hyperlink"/>
                  <w:color w:val="FFFFFF" w:themeColor="background1"/>
                </w:rPr>
                <w:t>Ready-to-Eat</w:t>
              </w:r>
            </w:hyperlink>
            <w:r w:rsidRPr="00245DC2">
              <w:rPr>
                <w:color w:val="FFFFFF" w:themeColor="background1"/>
              </w:rPr>
              <w:t xml:space="preserve"> Seaweed Product (salads, dips, spreads, dressings)</w:t>
            </w:r>
          </w:p>
        </w:tc>
        <w:tc>
          <w:tcPr>
            <w:tcW w:w="2070" w:type="dxa"/>
            <w:tcBorders>
              <w:top w:val="single" w:sz="6" w:space="0" w:color="0D0D0D" w:themeColor="text1" w:themeTint="F2"/>
              <w:left w:val="single" w:sz="8" w:space="0" w:color="0D0D0D" w:themeColor="text1" w:themeTint="F2"/>
              <w:bottom w:val="single" w:sz="8" w:space="0" w:color="0D0D0D" w:themeColor="text1" w:themeTint="F2"/>
            </w:tcBorders>
            <w:vAlign w:val="center"/>
          </w:tcPr>
          <w:p w14:paraId="71F9AE9B" w14:textId="77777777" w:rsidR="00F130B0" w:rsidRDefault="00F130B0" w:rsidP="002169B0">
            <w:pPr>
              <w:ind w:left="257"/>
            </w:pPr>
            <w:r w:rsidRPr="00587FA2">
              <w:rPr>
                <w:rFonts w:ascii="Wingdings" w:hAnsi="Wingdings" w:cs="Calibri"/>
                <w:b/>
                <w:bCs/>
              </w:rPr>
              <w:t>ü</w:t>
            </w:r>
            <w:r>
              <w:t xml:space="preserve"> ROP</w:t>
            </w:r>
          </w:p>
          <w:p w14:paraId="707AD2DB" w14:textId="12AC7529" w:rsidR="00EE4D03" w:rsidRDefault="00F130B0" w:rsidP="002169B0">
            <w:pPr>
              <w:ind w:left="257"/>
            </w:pPr>
            <w:r w:rsidRPr="00587FA2">
              <w:rPr>
                <w:rFonts w:ascii="Wingdings" w:hAnsi="Wingdings" w:cs="Calibri"/>
                <w:b/>
                <w:bCs/>
              </w:rPr>
              <w:t>ü</w:t>
            </w:r>
            <w:r>
              <w:t xml:space="preserve"> Other</w:t>
            </w:r>
          </w:p>
        </w:tc>
        <w:tc>
          <w:tcPr>
            <w:tcW w:w="1710" w:type="dxa"/>
            <w:tcBorders>
              <w:top w:val="single" w:sz="6" w:space="0" w:color="0D0D0D" w:themeColor="text1" w:themeTint="F2"/>
              <w:bottom w:val="single" w:sz="8" w:space="0" w:color="0D0D0D" w:themeColor="text1" w:themeTint="F2"/>
            </w:tcBorders>
            <w:vAlign w:val="center"/>
          </w:tcPr>
          <w:p w14:paraId="05D1CBE9" w14:textId="77777777" w:rsidR="00F130B0" w:rsidRDefault="00F130B0" w:rsidP="002169B0">
            <w:pPr>
              <w:ind w:left="257"/>
            </w:pPr>
            <w:r w:rsidRPr="00587FA2">
              <w:rPr>
                <w:rFonts w:ascii="Wingdings" w:hAnsi="Wingdings" w:cs="Calibri"/>
                <w:b/>
                <w:bCs/>
              </w:rPr>
              <w:t>ü</w:t>
            </w:r>
            <w:r>
              <w:t xml:space="preserve"> ROP</w:t>
            </w:r>
          </w:p>
          <w:p w14:paraId="32F8062F" w14:textId="5C884FEE" w:rsidR="00EE4D03" w:rsidRDefault="00F130B0" w:rsidP="002169B0">
            <w:pPr>
              <w:ind w:left="257"/>
            </w:pPr>
            <w:r w:rsidRPr="00587FA2">
              <w:rPr>
                <w:rFonts w:ascii="Wingdings" w:hAnsi="Wingdings" w:cs="Calibri"/>
                <w:b/>
                <w:bCs/>
              </w:rPr>
              <w:t>ü</w:t>
            </w:r>
            <w:r>
              <w:t xml:space="preserve"> Other</w:t>
            </w:r>
          </w:p>
        </w:tc>
        <w:tc>
          <w:tcPr>
            <w:tcW w:w="2250" w:type="dxa"/>
            <w:tcBorders>
              <w:top w:val="single" w:sz="6" w:space="0" w:color="0D0D0D" w:themeColor="text1" w:themeTint="F2"/>
              <w:bottom w:val="single" w:sz="8" w:space="0" w:color="0D0D0D" w:themeColor="text1" w:themeTint="F2"/>
            </w:tcBorders>
            <w:vAlign w:val="center"/>
          </w:tcPr>
          <w:p w14:paraId="6E5DC074" w14:textId="77777777" w:rsidR="00F130B0" w:rsidRDefault="00F130B0" w:rsidP="002169B0">
            <w:pPr>
              <w:ind w:left="257"/>
            </w:pPr>
            <w:r w:rsidRPr="00587FA2">
              <w:rPr>
                <w:rFonts w:ascii="Wingdings" w:hAnsi="Wingdings" w:cs="Calibri"/>
                <w:b/>
                <w:bCs/>
              </w:rPr>
              <w:t>ü</w:t>
            </w:r>
            <w:r>
              <w:t xml:space="preserve"> ROP</w:t>
            </w:r>
          </w:p>
          <w:p w14:paraId="7011FED4" w14:textId="06545ADF" w:rsidR="00EE4D03" w:rsidRDefault="002717F3" w:rsidP="002169B0">
            <w:pPr>
              <w:ind w:left="257"/>
            </w:pPr>
            <w:r w:rsidRPr="002717F3">
              <w:rPr>
                <w:rFonts w:ascii="Segoe UI Symbol" w:hAnsi="Segoe UI Symbol" w:cs="Segoe UI Symbol"/>
              </w:rPr>
              <w:t>☐</w:t>
            </w:r>
            <w:r w:rsidRPr="002717F3">
              <w:t xml:space="preserve"> </w:t>
            </w:r>
            <w:r w:rsidR="00F130B0">
              <w:t>Other</w:t>
            </w:r>
          </w:p>
        </w:tc>
        <w:tc>
          <w:tcPr>
            <w:tcW w:w="2070" w:type="dxa"/>
            <w:tcBorders>
              <w:top w:val="single" w:sz="6" w:space="0" w:color="0D0D0D" w:themeColor="text1" w:themeTint="F2"/>
              <w:bottom w:val="single" w:sz="8" w:space="0" w:color="0D0D0D" w:themeColor="text1" w:themeTint="F2"/>
            </w:tcBorders>
            <w:vAlign w:val="center"/>
          </w:tcPr>
          <w:p w14:paraId="7E0A38EE" w14:textId="160FF663" w:rsidR="00F130B0" w:rsidRDefault="002717F3" w:rsidP="002169B0">
            <w:pPr>
              <w:ind w:left="257"/>
            </w:pPr>
            <w:r w:rsidRPr="002717F3">
              <w:rPr>
                <w:rFonts w:ascii="Segoe UI Symbol" w:hAnsi="Segoe UI Symbol" w:cs="Segoe UI Symbol"/>
              </w:rPr>
              <w:t>☐</w:t>
            </w:r>
            <w:r w:rsidRPr="002717F3">
              <w:t xml:space="preserve"> </w:t>
            </w:r>
            <w:r w:rsidR="00F130B0">
              <w:t>ROP</w:t>
            </w:r>
          </w:p>
          <w:p w14:paraId="7D6A0F56" w14:textId="467B1E70" w:rsidR="00EE4D03" w:rsidRDefault="002717F3" w:rsidP="002169B0">
            <w:pPr>
              <w:ind w:left="257"/>
            </w:pPr>
            <w:r w:rsidRPr="002717F3">
              <w:rPr>
                <w:rFonts w:ascii="Segoe UI Symbol" w:hAnsi="Segoe UI Symbol" w:cs="Segoe UI Symbol"/>
              </w:rPr>
              <w:t>☐</w:t>
            </w:r>
            <w:r w:rsidRPr="002717F3">
              <w:t xml:space="preserve"> </w:t>
            </w:r>
            <w:r w:rsidR="00F130B0">
              <w:t>Other</w:t>
            </w:r>
          </w:p>
        </w:tc>
        <w:tc>
          <w:tcPr>
            <w:tcW w:w="1620" w:type="dxa"/>
            <w:tcBorders>
              <w:top w:val="single" w:sz="6" w:space="0" w:color="0D0D0D" w:themeColor="text1" w:themeTint="F2"/>
              <w:bottom w:val="single" w:sz="8" w:space="0" w:color="0D0D0D" w:themeColor="text1" w:themeTint="F2"/>
            </w:tcBorders>
            <w:vAlign w:val="center"/>
          </w:tcPr>
          <w:p w14:paraId="5E527AA6" w14:textId="77777777" w:rsidR="00F130B0" w:rsidRDefault="00F130B0" w:rsidP="002169B0">
            <w:pPr>
              <w:ind w:left="257"/>
            </w:pPr>
            <w:r w:rsidRPr="00587FA2">
              <w:rPr>
                <w:rFonts w:ascii="Wingdings" w:hAnsi="Wingdings" w:cs="Calibri"/>
                <w:b/>
                <w:bCs/>
              </w:rPr>
              <w:t>ü</w:t>
            </w:r>
            <w:r>
              <w:t xml:space="preserve"> ROP</w:t>
            </w:r>
          </w:p>
          <w:p w14:paraId="68DB4E0D" w14:textId="1D380E3F" w:rsidR="00EE4D03" w:rsidRDefault="00F130B0" w:rsidP="002169B0">
            <w:pPr>
              <w:ind w:left="257"/>
            </w:pPr>
            <w:r w:rsidRPr="00587FA2">
              <w:rPr>
                <w:rFonts w:ascii="Wingdings" w:hAnsi="Wingdings" w:cs="Calibri"/>
                <w:b/>
                <w:bCs/>
              </w:rPr>
              <w:t>ü</w:t>
            </w:r>
            <w:r>
              <w:t xml:space="preserve"> Other</w:t>
            </w:r>
          </w:p>
        </w:tc>
        <w:tc>
          <w:tcPr>
            <w:tcW w:w="1800" w:type="dxa"/>
            <w:tcBorders>
              <w:top w:val="single" w:sz="6" w:space="0" w:color="0D0D0D" w:themeColor="text1" w:themeTint="F2"/>
              <w:bottom w:val="single" w:sz="8" w:space="0" w:color="0D0D0D" w:themeColor="text1" w:themeTint="F2"/>
              <w:right w:val="single" w:sz="8" w:space="0" w:color="0D0D0D" w:themeColor="text1" w:themeTint="F2"/>
            </w:tcBorders>
            <w:vAlign w:val="center"/>
          </w:tcPr>
          <w:p w14:paraId="001BFBDE" w14:textId="54E899C9" w:rsidR="00F130B0" w:rsidRPr="002169B0" w:rsidRDefault="00F130B0" w:rsidP="002169B0">
            <w:pPr>
              <w:ind w:left="257"/>
              <w:rPr>
                <w:vertAlign w:val="superscript"/>
              </w:rPr>
            </w:pPr>
            <w:r w:rsidRPr="00587FA2">
              <w:rPr>
                <w:rFonts w:ascii="Wingdings" w:hAnsi="Wingdings" w:cs="Calibri"/>
                <w:b/>
                <w:bCs/>
              </w:rPr>
              <w:t>ü</w:t>
            </w:r>
            <w:r>
              <w:t xml:space="preserve"> ROP</w:t>
            </w:r>
          </w:p>
          <w:p w14:paraId="404E33A5" w14:textId="7A609F2A" w:rsidR="00EE4D03" w:rsidRDefault="00F130B0" w:rsidP="002169B0">
            <w:pPr>
              <w:ind w:left="257"/>
            </w:pPr>
            <w:r w:rsidRPr="00587FA2">
              <w:rPr>
                <w:rFonts w:ascii="Wingdings" w:hAnsi="Wingdings" w:cs="Calibri"/>
                <w:b/>
                <w:bCs/>
              </w:rPr>
              <w:t>ü</w:t>
            </w:r>
            <w:r>
              <w:t xml:space="preserve"> Other</w:t>
            </w:r>
          </w:p>
        </w:tc>
      </w:tr>
    </w:tbl>
    <w:p w14:paraId="49D1D0E5" w14:textId="77777777" w:rsidR="006B45DF" w:rsidRDefault="006B45DF">
      <w:pPr>
        <w:sectPr w:rsidR="006B45DF" w:rsidSect="00FC5EB5">
          <w:footnotePr>
            <w:numRestart w:val="eachSect"/>
          </w:footnotePr>
          <w:pgSz w:w="15840" w:h="12240" w:orient="landscape"/>
          <w:pgMar w:top="1440" w:right="1440" w:bottom="1440" w:left="1440" w:header="720" w:footer="720" w:gutter="0"/>
          <w:pgNumType w:chapStyle="1"/>
          <w:cols w:space="720"/>
          <w:docGrid w:linePitch="360"/>
        </w:sectPr>
      </w:pPr>
    </w:p>
    <w:p w14:paraId="36D2A35C" w14:textId="7954CAA7" w:rsidR="002F6074" w:rsidRDefault="0066438F" w:rsidP="00441BE0">
      <w:pPr>
        <w:pStyle w:val="Heading2"/>
      </w:pPr>
      <w:bookmarkStart w:id="69" w:name="_Toc208503180"/>
      <w:r>
        <w:lastRenderedPageBreak/>
        <w:t>Definitions</w:t>
      </w:r>
      <w:bookmarkEnd w:id="69"/>
    </w:p>
    <w:p w14:paraId="4D8FF0F3" w14:textId="76499D5E" w:rsidR="009832D8" w:rsidRPr="00850A97" w:rsidRDefault="009832D8" w:rsidP="004A0EDE">
      <w:pPr>
        <w:spacing w:before="240"/>
        <w:ind w:left="360" w:hanging="360"/>
      </w:pPr>
      <w:bookmarkStart w:id="70" w:name="AcidifiedFood"/>
      <w:r w:rsidRPr="00850A97">
        <w:rPr>
          <w:rStyle w:val="DefinitionsChar"/>
          <w:rFonts w:eastAsiaTheme="minorHAnsi"/>
        </w:rPr>
        <w:t>Acidified Food</w:t>
      </w:r>
      <w:r w:rsidR="00850A97" w:rsidRPr="00850A97">
        <w:rPr>
          <w:rStyle w:val="DefinitionsChar"/>
          <w:rFonts w:eastAsiaTheme="minorHAnsi"/>
        </w:rPr>
        <w:t>:</w:t>
      </w:r>
      <w:r w:rsidR="00850A97">
        <w:t xml:space="preserve"> </w:t>
      </w:r>
      <w:bookmarkEnd w:id="70"/>
      <w:r w:rsidRPr="00850A97">
        <w:t>A product with a pH of 4.6 or less accomplished by adding acid, which is a form of pickling. Acidified shelf stable products are also regulated under 21 CFR 114 (Acidified Foods Regulations).</w:t>
      </w:r>
    </w:p>
    <w:p w14:paraId="261B705F" w14:textId="0127176A" w:rsidR="009832D8" w:rsidRPr="00850A97" w:rsidRDefault="009832D8" w:rsidP="007B4248">
      <w:pPr>
        <w:ind w:left="360" w:hanging="360"/>
      </w:pPr>
      <w:bookmarkStart w:id="71" w:name="ActionLevel"/>
      <w:r w:rsidRPr="00850A97">
        <w:rPr>
          <w:rStyle w:val="DefinitionsChar"/>
          <w:rFonts w:eastAsiaTheme="minorHAnsi"/>
        </w:rPr>
        <w:t>Action Level</w:t>
      </w:r>
      <w:bookmarkEnd w:id="71"/>
      <w:r w:rsidR="00850A97" w:rsidRPr="00850A97">
        <w:rPr>
          <w:rStyle w:val="DefinitionsChar"/>
          <w:rFonts w:eastAsiaTheme="minorHAnsi"/>
        </w:rPr>
        <w:t>:</w:t>
      </w:r>
      <w:r w:rsidRPr="00850A97">
        <w:t xml:space="preserve"> </w:t>
      </w:r>
      <w:r w:rsidR="00850A97" w:rsidRPr="00850A97">
        <w:t>A t</w:t>
      </w:r>
      <w:r w:rsidRPr="00850A97">
        <w:t>hreshold established by regulatory bodies, such as the U.S. Food and Drug Administration (FDA), indicating the maximum concentration of a contaminant (e.g., arsenic, cadmium, lead, or mercury) in food or feed. If a contaminant in a product exceeds this level, regulatory action may be taken, such as removing the product from the market or issuing a recall. Action levels are not legally binding but serve as guidelines for industry compliance.</w:t>
      </w:r>
    </w:p>
    <w:p w14:paraId="05B2C681" w14:textId="0C4A6839" w:rsidR="009832D8" w:rsidRPr="00850A97" w:rsidRDefault="009832D8" w:rsidP="007B4248">
      <w:pPr>
        <w:ind w:left="360" w:hanging="360"/>
      </w:pPr>
      <w:bookmarkStart w:id="72" w:name="Blanching"/>
      <w:r w:rsidRPr="00850A97">
        <w:rPr>
          <w:rStyle w:val="DefinitionsChar"/>
          <w:rFonts w:eastAsiaTheme="minorHAnsi"/>
        </w:rPr>
        <w:t>Blanching</w:t>
      </w:r>
      <w:bookmarkEnd w:id="72"/>
      <w:r w:rsidR="00850A97" w:rsidRPr="00850A97">
        <w:rPr>
          <w:rStyle w:val="DefinitionsChar"/>
          <w:rFonts w:eastAsiaTheme="minorHAnsi"/>
        </w:rPr>
        <w:t>:</w:t>
      </w:r>
      <w:r w:rsidRPr="00850A97">
        <w:t xml:space="preserve"> </w:t>
      </w:r>
      <w:r w:rsidR="00850A97" w:rsidRPr="00850A97">
        <w:t>S</w:t>
      </w:r>
      <w:r w:rsidRPr="00850A97">
        <w:t xml:space="preserve">ubmersion of foods in boiling water or exposure to steam for a short period of time before rapidly cooling. Blanching is commonly done to fix color and stop enzymatic activity. </w:t>
      </w:r>
    </w:p>
    <w:p w14:paraId="3675FC1C" w14:textId="181BD57F" w:rsidR="009832D8" w:rsidRDefault="009832D8" w:rsidP="007B4248">
      <w:pPr>
        <w:ind w:left="360" w:hanging="360"/>
      </w:pPr>
      <w:bookmarkStart w:id="73" w:name="Brining"/>
      <w:r w:rsidRPr="00850A97">
        <w:rPr>
          <w:rStyle w:val="DefinitionsChar"/>
          <w:rFonts w:eastAsiaTheme="minorHAnsi"/>
        </w:rPr>
        <w:t>Brining</w:t>
      </w:r>
      <w:r w:rsidR="00850A97" w:rsidRPr="00850A97">
        <w:rPr>
          <w:rStyle w:val="DefinitionsChar"/>
          <w:rFonts w:eastAsiaTheme="minorHAnsi"/>
        </w:rPr>
        <w:t>:</w:t>
      </w:r>
      <w:bookmarkEnd w:id="73"/>
      <w:r w:rsidR="00850A97" w:rsidRPr="00850A97">
        <w:t xml:space="preserve"> T</w:t>
      </w:r>
      <w:r w:rsidRPr="00850A97">
        <w:t>o tr</w:t>
      </w:r>
      <w:r>
        <w:t>eat with or steep in a brine, which is, most commonly, a strong solution of salt and water (wet brine). Other ingredients, like sugar, herbs/spices, and vinegar can also be added to enhance flavor.</w:t>
      </w:r>
    </w:p>
    <w:p w14:paraId="67558F51" w14:textId="7019EF10" w:rsidR="009832D8" w:rsidRDefault="009832D8" w:rsidP="007B4248">
      <w:pPr>
        <w:ind w:left="360" w:hanging="360"/>
      </w:pPr>
      <w:bookmarkStart w:id="74" w:name="DryingDehydrating"/>
      <w:r w:rsidRPr="00850A97">
        <w:rPr>
          <w:rStyle w:val="DefinitionsChar"/>
          <w:rFonts w:eastAsiaTheme="minorHAnsi"/>
        </w:rPr>
        <w:t>Drying (Dehydrating)</w:t>
      </w:r>
      <w:r w:rsidR="00850A97" w:rsidRPr="00850A97">
        <w:rPr>
          <w:rStyle w:val="DefinitionsChar"/>
          <w:rFonts w:eastAsiaTheme="minorHAnsi"/>
        </w:rPr>
        <w:t>:</w:t>
      </w:r>
      <w:r>
        <w:t xml:space="preserve"> </w:t>
      </w:r>
      <w:bookmarkEnd w:id="74"/>
      <w:r w:rsidR="00850A97">
        <w:t>T</w:t>
      </w:r>
      <w:r>
        <w:t>he natural (sun or air drying) or mechanical (dehydrator, oven, freeze drying, etc.) removal of water from a food or food product to reduce the water available for microbial growth (Aw). A commonly used method of food preservation.</w:t>
      </w:r>
    </w:p>
    <w:p w14:paraId="58680BC3" w14:textId="799988B4" w:rsidR="009832D8" w:rsidRDefault="009832D8" w:rsidP="007B4248">
      <w:pPr>
        <w:ind w:left="360" w:hanging="360"/>
      </w:pPr>
      <w:bookmarkStart w:id="75" w:name="Fermentation"/>
      <w:r w:rsidRPr="00850A97">
        <w:rPr>
          <w:rStyle w:val="DefinitionsChar"/>
          <w:rFonts w:eastAsiaTheme="minorHAnsi"/>
        </w:rPr>
        <w:t>Fermentation</w:t>
      </w:r>
      <w:bookmarkEnd w:id="75"/>
      <w:r w:rsidR="00850A97" w:rsidRPr="00850A97">
        <w:rPr>
          <w:rStyle w:val="DefinitionsChar"/>
          <w:rFonts w:eastAsiaTheme="minorHAnsi"/>
        </w:rPr>
        <w:t>:</w:t>
      </w:r>
      <w:r>
        <w:t xml:space="preserve"> </w:t>
      </w:r>
      <w:r w:rsidR="00850A97">
        <w:t>A</w:t>
      </w:r>
      <w:r>
        <w:t xml:space="preserve"> process commonly used to preserve and/or enhance foods, which involves the chemical breakdown of molecules such as sugars by bacteria into acids. This rapidly reduces the pH of the product and is another form of pickling.</w:t>
      </w:r>
    </w:p>
    <w:p w14:paraId="2A9822EA" w14:textId="7B6FA690" w:rsidR="009832D8" w:rsidRDefault="009832D8" w:rsidP="007B4248">
      <w:pPr>
        <w:ind w:left="360" w:hanging="360"/>
      </w:pPr>
      <w:r w:rsidRPr="00850A97">
        <w:rPr>
          <w:rStyle w:val="DefinitionsChar"/>
          <w:rFonts w:eastAsiaTheme="minorHAnsi"/>
        </w:rPr>
        <w:t>Low Acid Canned Food (LACF)</w:t>
      </w:r>
      <w:r w:rsidR="00850A97" w:rsidRPr="00850A97">
        <w:rPr>
          <w:rStyle w:val="DefinitionsChar"/>
          <w:rFonts w:eastAsiaTheme="minorHAnsi"/>
        </w:rPr>
        <w:t>:</w:t>
      </w:r>
      <w:r>
        <w:t xml:space="preserve"> </w:t>
      </w:r>
      <w:r w:rsidR="00850A97">
        <w:t>A</w:t>
      </w:r>
      <w:r>
        <w:t>ny canned food with a pH greater than 4.6 and a water activity (aW) above 0.85.</w:t>
      </w:r>
    </w:p>
    <w:p w14:paraId="29803424" w14:textId="0EE49E5F" w:rsidR="009832D8" w:rsidRDefault="009832D8" w:rsidP="007B4248">
      <w:pPr>
        <w:ind w:left="360" w:hanging="360"/>
      </w:pPr>
      <w:bookmarkStart w:id="76" w:name="Parasites"/>
      <w:r w:rsidRPr="007B4248">
        <w:rPr>
          <w:rStyle w:val="DefinitionsChar"/>
          <w:rFonts w:eastAsiaTheme="minorHAnsi"/>
        </w:rPr>
        <w:t>Parasites</w:t>
      </w:r>
      <w:bookmarkEnd w:id="76"/>
      <w:r w:rsidR="00850A97" w:rsidRPr="007B4248">
        <w:rPr>
          <w:rStyle w:val="DefinitionsChar"/>
          <w:rFonts w:eastAsiaTheme="minorHAnsi"/>
        </w:rPr>
        <w:t>:</w:t>
      </w:r>
      <w:r>
        <w:t xml:space="preserve"> </w:t>
      </w:r>
      <w:r w:rsidR="00850A97">
        <w:t>A</w:t>
      </w:r>
      <w:r>
        <w:t>n organism living in or on another (host) and relying on the host for survival, typically at the host’s expense.</w:t>
      </w:r>
    </w:p>
    <w:p w14:paraId="365D0758" w14:textId="15B67A64" w:rsidR="009832D8" w:rsidRDefault="009832D8" w:rsidP="007B4248">
      <w:pPr>
        <w:ind w:left="360" w:hanging="360"/>
      </w:pPr>
      <w:bookmarkStart w:id="77" w:name="Pasteurization"/>
      <w:r w:rsidRPr="007B4248">
        <w:rPr>
          <w:rStyle w:val="DefinitionsChar"/>
          <w:rFonts w:eastAsiaTheme="minorHAnsi"/>
        </w:rPr>
        <w:t>Pasteurization</w:t>
      </w:r>
      <w:bookmarkEnd w:id="77"/>
      <w:r w:rsidR="00850A97" w:rsidRPr="007B4248">
        <w:rPr>
          <w:rStyle w:val="DefinitionsChar"/>
          <w:rFonts w:eastAsiaTheme="minorHAnsi"/>
        </w:rPr>
        <w:t>:</w:t>
      </w:r>
      <w:r w:rsidR="00850A97">
        <w:t xml:space="preserve"> A</w:t>
      </w:r>
      <w:r>
        <w:t xml:space="preserve"> process (commonly heat) applied to foods to reduce the population of a target pathogen to a safe level.</w:t>
      </w:r>
    </w:p>
    <w:p w14:paraId="29EF92A3" w14:textId="4CEC4DE2" w:rsidR="009832D8" w:rsidRDefault="009832D8" w:rsidP="007B4248">
      <w:pPr>
        <w:ind w:left="360" w:hanging="360"/>
      </w:pPr>
      <w:bookmarkStart w:id="78" w:name="Pathogens"/>
      <w:r w:rsidRPr="007B4248">
        <w:rPr>
          <w:rStyle w:val="DefinitionsChar"/>
          <w:rFonts w:eastAsiaTheme="minorHAnsi"/>
        </w:rPr>
        <w:t>Pathogens</w:t>
      </w:r>
      <w:bookmarkEnd w:id="78"/>
      <w:r w:rsidR="00850A97" w:rsidRPr="007B4248">
        <w:rPr>
          <w:rStyle w:val="DefinitionsChar"/>
          <w:rFonts w:eastAsiaTheme="minorHAnsi"/>
        </w:rPr>
        <w:t>:</w:t>
      </w:r>
      <w:r>
        <w:t xml:space="preserve"> </w:t>
      </w:r>
      <w:r w:rsidR="00850A97">
        <w:t>M</w:t>
      </w:r>
      <w:r>
        <w:t>icroorganisms that cause disease.</w:t>
      </w:r>
    </w:p>
    <w:p w14:paraId="66D93E9F" w14:textId="12224012" w:rsidR="009832D8" w:rsidRDefault="009832D8" w:rsidP="007B4248">
      <w:pPr>
        <w:ind w:left="360" w:hanging="360"/>
      </w:pPr>
      <w:bookmarkStart w:id="79" w:name="Pickling"/>
      <w:r w:rsidRPr="007B4248">
        <w:rPr>
          <w:rStyle w:val="DefinitionsChar"/>
          <w:rFonts w:eastAsiaTheme="minorHAnsi"/>
        </w:rPr>
        <w:t>Pickling</w:t>
      </w:r>
      <w:bookmarkEnd w:id="79"/>
      <w:r w:rsidR="00850A97" w:rsidRPr="007B4248">
        <w:rPr>
          <w:rStyle w:val="DefinitionsChar"/>
          <w:rFonts w:eastAsiaTheme="minorHAnsi"/>
        </w:rPr>
        <w:t>:</w:t>
      </w:r>
      <w:r>
        <w:t xml:space="preserve"> </w:t>
      </w:r>
      <w:r w:rsidR="00850A97">
        <w:t>T</w:t>
      </w:r>
      <w:r>
        <w:t>he process of preserving food by reducing its pH either by natural fermentation or acidification with vinegar.</w:t>
      </w:r>
    </w:p>
    <w:p w14:paraId="37443793" w14:textId="39FDD15B" w:rsidR="009832D8" w:rsidRDefault="009832D8" w:rsidP="007B4248">
      <w:pPr>
        <w:ind w:left="360" w:hanging="360"/>
      </w:pPr>
      <w:bookmarkStart w:id="80" w:name="PrimaryProcessor"/>
      <w:r w:rsidRPr="007B4248">
        <w:rPr>
          <w:rStyle w:val="DefinitionsChar"/>
          <w:rFonts w:eastAsiaTheme="minorHAnsi"/>
        </w:rPr>
        <w:t xml:space="preserve">Primary </w:t>
      </w:r>
      <w:r w:rsidR="00850A97" w:rsidRPr="007B4248">
        <w:rPr>
          <w:rStyle w:val="DefinitionsChar"/>
          <w:rFonts w:eastAsiaTheme="minorHAnsi"/>
        </w:rPr>
        <w:t>P</w:t>
      </w:r>
      <w:r w:rsidRPr="007B4248">
        <w:rPr>
          <w:rStyle w:val="DefinitionsChar"/>
          <w:rFonts w:eastAsiaTheme="minorHAnsi"/>
        </w:rPr>
        <w:t>rocessor</w:t>
      </w:r>
      <w:bookmarkEnd w:id="80"/>
      <w:r w:rsidR="00850A97" w:rsidRPr="007B4248">
        <w:rPr>
          <w:rStyle w:val="DefinitionsChar"/>
          <w:rFonts w:eastAsiaTheme="minorHAnsi"/>
        </w:rPr>
        <w:t>:</w:t>
      </w:r>
      <w:r>
        <w:t xml:space="preserve"> </w:t>
      </w:r>
      <w:r w:rsidR="007B4248">
        <w:t>A p</w:t>
      </w:r>
      <w:r>
        <w:t>rocessor sourcing and receiving raw materials directly from the farmer or harvester.</w:t>
      </w:r>
    </w:p>
    <w:p w14:paraId="4F14C5C3" w14:textId="053659E3" w:rsidR="009832D8" w:rsidRDefault="009832D8" w:rsidP="007B4248">
      <w:pPr>
        <w:ind w:left="360" w:hanging="360"/>
      </w:pPr>
      <w:bookmarkStart w:id="81" w:name="RAC"/>
      <w:r w:rsidRPr="007B4248">
        <w:rPr>
          <w:rStyle w:val="DefinitionsChar"/>
          <w:rFonts w:eastAsiaTheme="minorHAnsi"/>
        </w:rPr>
        <w:lastRenderedPageBreak/>
        <w:t>Raw Agricultural Commodity (RAC)</w:t>
      </w:r>
      <w:r w:rsidR="0051253B">
        <w:rPr>
          <w:rStyle w:val="DefinitionsChar"/>
          <w:rFonts w:eastAsiaTheme="minorHAnsi"/>
        </w:rPr>
        <w:t>:</w:t>
      </w:r>
      <w:r>
        <w:t xml:space="preserve"> </w:t>
      </w:r>
      <w:bookmarkEnd w:id="81"/>
      <w:r>
        <w:t>[</w:t>
      </w:r>
      <w:r w:rsidRPr="0051253B">
        <w:rPr>
          <w:i/>
          <w:iCs/>
        </w:rPr>
        <w:t>regulatory term</w:t>
      </w:r>
      <w:r>
        <w:t>] Any food in its raw or natural state, including all fruits that are washed, colored, or otherwise treated in their unpeeled natural form prior to marketing.</w:t>
      </w:r>
    </w:p>
    <w:p w14:paraId="6AF3AEFE" w14:textId="0684BA68" w:rsidR="009832D8" w:rsidRPr="00AE1C32" w:rsidRDefault="009832D8" w:rsidP="00AE1C32">
      <w:pPr>
        <w:ind w:left="360" w:hanging="360"/>
        <w:rPr>
          <w:rFonts w:cs="Times New Roman (Headings CS)"/>
          <w:b/>
          <w:i/>
          <w:iCs/>
          <w:color w:val="28666E"/>
        </w:rPr>
      </w:pPr>
      <w:bookmarkStart w:id="82" w:name="RawFood"/>
      <w:r w:rsidRPr="007B4248">
        <w:rPr>
          <w:rStyle w:val="DefinitionsChar"/>
          <w:rFonts w:eastAsiaTheme="minorHAnsi"/>
        </w:rPr>
        <w:t>Raw Food</w:t>
      </w:r>
      <w:r w:rsidR="007B4248" w:rsidRPr="004A0675">
        <w:rPr>
          <w:rStyle w:val="DefinitionsChar"/>
          <w:rFonts w:eastAsiaTheme="minorHAnsi"/>
        </w:rPr>
        <w:t>:</w:t>
      </w:r>
      <w:r>
        <w:t xml:space="preserve"> </w:t>
      </w:r>
      <w:bookmarkEnd w:id="82"/>
      <w:r w:rsidR="004A0675">
        <w:t>[</w:t>
      </w:r>
      <w:r w:rsidR="004A0675" w:rsidRPr="004A0675">
        <w:rPr>
          <w:i/>
          <w:iCs/>
        </w:rPr>
        <w:t>industry term</w:t>
      </w:r>
      <w:r w:rsidR="004A0675">
        <w:t xml:space="preserve">] </w:t>
      </w:r>
      <w:r>
        <w:t>Any food that has not been processed, cooked or heat treated.</w:t>
      </w:r>
    </w:p>
    <w:p w14:paraId="218D285B" w14:textId="41E8D917" w:rsidR="009832D8" w:rsidRDefault="009832D8" w:rsidP="007B4248">
      <w:pPr>
        <w:ind w:left="360" w:hanging="360"/>
      </w:pPr>
      <w:bookmarkStart w:id="83" w:name="RTE"/>
      <w:r w:rsidRPr="007B4248">
        <w:rPr>
          <w:rStyle w:val="DefinitionsChar"/>
          <w:rFonts w:eastAsiaTheme="minorHAnsi"/>
        </w:rPr>
        <w:t>Ready-to-Eat (RTE)</w:t>
      </w:r>
      <w:r w:rsidR="007B4248" w:rsidRPr="007B4248">
        <w:rPr>
          <w:rStyle w:val="DefinitionsChar"/>
          <w:rFonts w:eastAsiaTheme="minorHAnsi"/>
        </w:rPr>
        <w:t>:</w:t>
      </w:r>
      <w:r>
        <w:t xml:space="preserve"> </w:t>
      </w:r>
      <w:bookmarkEnd w:id="83"/>
      <w:r w:rsidR="007B4248">
        <w:t>F</w:t>
      </w:r>
      <w:r>
        <w:t>oods being sold with the intention of being consumed without any further processing or preparation.</w:t>
      </w:r>
    </w:p>
    <w:p w14:paraId="3F51FC0E" w14:textId="67ABCB3A" w:rsidR="009832D8" w:rsidRDefault="009832D8" w:rsidP="007B4248">
      <w:pPr>
        <w:ind w:left="360" w:hanging="360"/>
      </w:pPr>
      <w:bookmarkStart w:id="84" w:name="RDI"/>
      <w:r w:rsidRPr="007B4248">
        <w:rPr>
          <w:rStyle w:val="DefinitionsChar"/>
          <w:rFonts w:eastAsiaTheme="minorHAnsi"/>
        </w:rPr>
        <w:t>Recommended Daily Intake (RDI)</w:t>
      </w:r>
      <w:r w:rsidR="007B4248" w:rsidRPr="007B4248">
        <w:rPr>
          <w:rStyle w:val="DefinitionsChar"/>
          <w:rFonts w:eastAsiaTheme="minorHAnsi"/>
        </w:rPr>
        <w:t>:</w:t>
      </w:r>
      <w:r>
        <w:t xml:space="preserve"> </w:t>
      </w:r>
      <w:bookmarkEnd w:id="84"/>
      <w:r>
        <w:t>The average daily level of nutrient intake sufficient to meet the requirements of nearly all healthy individuals in a specific age and gender group. RDIs are set by health authorities and are used as a reference for dietary guidelines, labeling, and ensuring nutritional adequacy.</w:t>
      </w:r>
    </w:p>
    <w:p w14:paraId="473F8C7D" w14:textId="28EEAE95" w:rsidR="009832D8" w:rsidRDefault="009832D8" w:rsidP="007B4248">
      <w:pPr>
        <w:ind w:left="360" w:hanging="360"/>
      </w:pPr>
      <w:bookmarkStart w:id="85" w:name="ROP"/>
      <w:r w:rsidRPr="007B4248">
        <w:rPr>
          <w:rStyle w:val="DefinitionsChar"/>
          <w:rFonts w:eastAsiaTheme="minorHAnsi"/>
        </w:rPr>
        <w:t>Reduced Oxygen Packages (ROP)</w:t>
      </w:r>
      <w:r w:rsidR="007B4248" w:rsidRPr="007B4248">
        <w:rPr>
          <w:rStyle w:val="DefinitionsChar"/>
          <w:rFonts w:eastAsiaTheme="minorHAnsi"/>
        </w:rPr>
        <w:t>:</w:t>
      </w:r>
      <w:r>
        <w:t xml:space="preserve"> </w:t>
      </w:r>
      <w:bookmarkEnd w:id="85"/>
      <w:r w:rsidR="007B4248">
        <w:t>F</w:t>
      </w:r>
      <w:r>
        <w:t>ood packaging method that results in reduced or no presence of oxygen (mechanical vacuum, steam flush, hot fill, modified atmosphere packaging (MAP), controlled atmosphere packaging, hermetically sealed, or packed in oil).</w:t>
      </w:r>
    </w:p>
    <w:p w14:paraId="6BFD645C" w14:textId="2562626A" w:rsidR="009832D8" w:rsidRDefault="009832D8" w:rsidP="007B4248">
      <w:pPr>
        <w:ind w:left="360" w:hanging="360"/>
      </w:pPr>
      <w:bookmarkStart w:id="86" w:name="Salting"/>
      <w:r w:rsidRPr="007B4248">
        <w:rPr>
          <w:rStyle w:val="DefinitionsChar"/>
          <w:rFonts w:eastAsiaTheme="minorHAnsi"/>
        </w:rPr>
        <w:t>Salting</w:t>
      </w:r>
      <w:r w:rsidR="007B4248" w:rsidRPr="007B4248">
        <w:rPr>
          <w:rStyle w:val="DefinitionsChar"/>
          <w:rFonts w:eastAsiaTheme="minorHAnsi"/>
        </w:rPr>
        <w:t>:</w:t>
      </w:r>
      <w:bookmarkEnd w:id="86"/>
      <w:r w:rsidR="007B4248">
        <w:t xml:space="preserve"> A</w:t>
      </w:r>
      <w:r>
        <w:t>dding salt to foods to preserve or enhance the food, sometimes referred to as dry brining.</w:t>
      </w:r>
    </w:p>
    <w:p w14:paraId="73000C2A" w14:textId="32B8A39E" w:rsidR="009832D8" w:rsidRDefault="009832D8" w:rsidP="007B4248">
      <w:pPr>
        <w:ind w:left="360" w:hanging="360"/>
      </w:pPr>
      <w:bookmarkStart w:id="87" w:name="SecondaryProcessor"/>
      <w:r w:rsidRPr="007B4248">
        <w:rPr>
          <w:rStyle w:val="DefinitionsChar"/>
          <w:rFonts w:eastAsiaTheme="minorHAnsi"/>
        </w:rPr>
        <w:t>Secondary Processor</w:t>
      </w:r>
      <w:bookmarkEnd w:id="87"/>
      <w:r w:rsidR="007B4248" w:rsidRPr="007B4248">
        <w:rPr>
          <w:rStyle w:val="DefinitionsChar"/>
          <w:rFonts w:eastAsiaTheme="minorHAnsi"/>
        </w:rPr>
        <w:t>:</w:t>
      </w:r>
      <w:r w:rsidR="007B4248">
        <w:t xml:space="preserve"> A</w:t>
      </w:r>
      <w:r>
        <w:t xml:space="preserve"> processor sourcing and receiving product from another processor and NOT directly from the farmer or harvester.</w:t>
      </w:r>
    </w:p>
    <w:p w14:paraId="63DF9314" w14:textId="46B8E067" w:rsidR="009832D8" w:rsidRDefault="009832D8" w:rsidP="007B4248">
      <w:pPr>
        <w:ind w:left="360" w:hanging="360"/>
      </w:pPr>
      <w:bookmarkStart w:id="88" w:name="ServingSize"/>
      <w:r w:rsidRPr="007B4248">
        <w:rPr>
          <w:rStyle w:val="DefinitionsChar"/>
          <w:rFonts w:eastAsiaTheme="minorHAnsi"/>
        </w:rPr>
        <w:t>Serving Size</w:t>
      </w:r>
      <w:r w:rsidR="007B4248" w:rsidRPr="007B4248">
        <w:rPr>
          <w:rStyle w:val="DefinitionsChar"/>
          <w:rFonts w:eastAsiaTheme="minorHAnsi"/>
        </w:rPr>
        <w:t>:</w:t>
      </w:r>
      <w:bookmarkEnd w:id="88"/>
      <w:r w:rsidR="007B4248">
        <w:t xml:space="preserve"> </w:t>
      </w:r>
      <w:r>
        <w:t>The standard portion typically consumed in one sitting, defined by regulatory agencies or nutritional guidelines. Serving sizes can vary based on the type of food product (e.g., dried, fresh, or processed) and cultural or dietary norms. For instance, the serving size might be specified as a weight (e.g., 5 grams of dried seaweed) or a volume (e.g., 1 cup of rehydrated seaweed).</w:t>
      </w:r>
    </w:p>
    <w:p w14:paraId="131A4ECB" w14:textId="6A2940F7" w:rsidR="009832D8" w:rsidRDefault="009832D8" w:rsidP="007B4248">
      <w:pPr>
        <w:ind w:left="360" w:hanging="360"/>
      </w:pPr>
      <w:bookmarkStart w:id="89" w:name="TolerableLevel"/>
      <w:r w:rsidRPr="007B4248">
        <w:rPr>
          <w:rStyle w:val="DefinitionsChar"/>
          <w:rFonts w:eastAsiaTheme="minorHAnsi"/>
        </w:rPr>
        <w:t>Tolerable Level</w:t>
      </w:r>
      <w:r w:rsidR="007B4248" w:rsidRPr="007B4248">
        <w:rPr>
          <w:rStyle w:val="DefinitionsChar"/>
          <w:rFonts w:eastAsiaTheme="minorHAnsi"/>
        </w:rPr>
        <w:t>:</w:t>
      </w:r>
      <w:bookmarkEnd w:id="89"/>
      <w:r>
        <w:t xml:space="preserve"> The maximum amount of a substance, such as a heavy metal or toxin, that can be consumed daily over a lifetime without posing a significant health risk. This level is typically expressed in terms of a dose relative to body weight (e.g., micrograms per kilogram of body weight per day). It is established by health organizations such as the World Health Organization (WHO) or the European Food Safety Authority (EFSA) based on scientific risk assessments.</w:t>
      </w:r>
    </w:p>
    <w:p w14:paraId="2F40C8A4" w14:textId="3D1FAD9D" w:rsidR="0066438F" w:rsidRDefault="009832D8" w:rsidP="007B4248">
      <w:pPr>
        <w:ind w:left="360" w:hanging="360"/>
      </w:pPr>
      <w:bookmarkStart w:id="90" w:name="WaterActivity"/>
      <w:r w:rsidRPr="007B4248">
        <w:rPr>
          <w:rStyle w:val="DefinitionsChar"/>
          <w:rFonts w:eastAsiaTheme="minorHAnsi"/>
        </w:rPr>
        <w:t>Water Activity (a</w:t>
      </w:r>
      <w:r w:rsidRPr="008B4365">
        <w:rPr>
          <w:rStyle w:val="DefinitionsChar"/>
          <w:rFonts w:eastAsiaTheme="minorHAnsi"/>
          <w:vertAlign w:val="subscript"/>
        </w:rPr>
        <w:t>W</w:t>
      </w:r>
      <w:r w:rsidRPr="007B4248">
        <w:rPr>
          <w:rStyle w:val="DefinitionsChar"/>
          <w:rFonts w:eastAsiaTheme="minorHAnsi"/>
        </w:rPr>
        <w:t>)</w:t>
      </w:r>
      <w:r w:rsidR="007B4248" w:rsidRPr="007B4248">
        <w:rPr>
          <w:rStyle w:val="DefinitionsChar"/>
          <w:rFonts w:eastAsiaTheme="minorHAnsi"/>
        </w:rPr>
        <w:t>:</w:t>
      </w:r>
      <w:r>
        <w:t xml:space="preserve"> </w:t>
      </w:r>
      <w:bookmarkEnd w:id="90"/>
      <w:r w:rsidR="007B4248">
        <w:t>A</w:t>
      </w:r>
      <w:r>
        <w:t xml:space="preserve"> measure of free or available water in a food, which is different from total water in a food, which is referred to as moisture content. Available water is used by microorganisms for growth; by limiting available water, one reduces a</w:t>
      </w:r>
      <w:r w:rsidRPr="008B4365">
        <w:rPr>
          <w:vertAlign w:val="subscript"/>
        </w:rPr>
        <w:t>W</w:t>
      </w:r>
      <w:r>
        <w:t>, which reduces the risk of pathogen growth and spoilage of foods.</w:t>
      </w:r>
    </w:p>
    <w:p w14:paraId="314038F2" w14:textId="1413D8FF" w:rsidR="007B4248" w:rsidRDefault="007B4248" w:rsidP="00441BE0">
      <w:pPr>
        <w:pStyle w:val="Heading2"/>
      </w:pPr>
      <w:bookmarkStart w:id="91" w:name="_Toc208503181"/>
      <w:r>
        <w:lastRenderedPageBreak/>
        <w:t>Abbreviations</w:t>
      </w:r>
      <w:bookmarkEnd w:id="91"/>
    </w:p>
    <w:p w14:paraId="0D8B8B61" w14:textId="77E47D33" w:rsidR="00045395" w:rsidRDefault="00045395" w:rsidP="00C54E07">
      <w:pPr>
        <w:pStyle w:val="Caption"/>
      </w:pPr>
      <w:r w:rsidRPr="00710E2D">
        <w:t xml:space="preserve">Table </w:t>
      </w:r>
      <w:fldSimple w:instr=" STYLEREF 1 \s ">
        <w:r w:rsidR="00A042AD">
          <w:rPr>
            <w:noProof/>
          </w:rPr>
          <w:t>4</w:t>
        </w:r>
      </w:fldSimple>
      <w:r w:rsidR="00896F22">
        <w:noBreakHyphen/>
      </w:r>
      <w:fldSimple w:instr=" SEQ Table \* ARABIC \s 1 ">
        <w:r w:rsidR="00A042AD">
          <w:rPr>
            <w:noProof/>
          </w:rPr>
          <w:t>5</w:t>
        </w:r>
      </w:fldSimple>
      <w:r w:rsidRPr="00710E2D">
        <w:t>:</w:t>
      </w:r>
      <w:r>
        <w:t xml:space="preserve"> Abbreviations Used in This Guide.</w:t>
      </w:r>
    </w:p>
    <w:tbl>
      <w:tblPr>
        <w:tblStyle w:val="TableGrid"/>
        <w:tblW w:w="0" w:type="auto"/>
        <w:tblInd w:w="-5" w:type="dxa"/>
        <w:tblCellMar>
          <w:top w:w="43" w:type="dxa"/>
          <w:bottom w:w="43" w:type="dxa"/>
        </w:tblCellMar>
        <w:tblLook w:val="04A0" w:firstRow="1" w:lastRow="0" w:firstColumn="1" w:lastColumn="0" w:noHBand="0" w:noVBand="1"/>
      </w:tblPr>
      <w:tblGrid>
        <w:gridCol w:w="1934"/>
        <w:gridCol w:w="6616"/>
      </w:tblGrid>
      <w:tr w:rsidR="007B4248" w14:paraId="5275F218" w14:textId="77777777" w:rsidTr="00B2371F">
        <w:trPr>
          <w:trHeight w:val="568"/>
          <w:tblHeader/>
        </w:trPr>
        <w:tc>
          <w:tcPr>
            <w:tcW w:w="1934" w:type="dxa"/>
            <w:tcBorders>
              <w:top w:val="single" w:sz="8" w:space="0" w:color="0D0D0D" w:themeColor="text1" w:themeTint="F2"/>
              <w:left w:val="single" w:sz="8" w:space="0" w:color="0D0D0D" w:themeColor="text1" w:themeTint="F2"/>
              <w:bottom w:val="single" w:sz="8" w:space="0" w:color="0D0D0D" w:themeColor="text1" w:themeTint="F2"/>
            </w:tcBorders>
            <w:shd w:val="clear" w:color="auto" w:fill="28666E"/>
            <w:vAlign w:val="center"/>
          </w:tcPr>
          <w:p w14:paraId="3464082E" w14:textId="0F325237" w:rsidR="007B4248" w:rsidRPr="0054509C" w:rsidRDefault="0018137A" w:rsidP="0054509C">
            <w:pPr>
              <w:rPr>
                <w:b/>
                <w:bCs/>
                <w:color w:val="FFFFFF" w:themeColor="background1"/>
                <w:sz w:val="28"/>
                <w:szCs w:val="28"/>
              </w:rPr>
            </w:pPr>
            <w:r w:rsidRPr="0054509C">
              <w:rPr>
                <w:b/>
                <w:bCs/>
                <w:color w:val="FFFFFF" w:themeColor="background1"/>
                <w:sz w:val="28"/>
                <w:szCs w:val="28"/>
              </w:rPr>
              <w:t>Abbreviation</w:t>
            </w:r>
          </w:p>
        </w:tc>
        <w:tc>
          <w:tcPr>
            <w:tcW w:w="6616" w:type="dxa"/>
            <w:tcBorders>
              <w:top w:val="single" w:sz="8" w:space="0" w:color="0D0D0D" w:themeColor="text1" w:themeTint="F2"/>
              <w:bottom w:val="single" w:sz="8" w:space="0" w:color="0D0D0D" w:themeColor="text1" w:themeTint="F2"/>
              <w:right w:val="single" w:sz="8" w:space="0" w:color="0D0D0D" w:themeColor="text1" w:themeTint="F2"/>
            </w:tcBorders>
            <w:shd w:val="clear" w:color="auto" w:fill="28666E"/>
            <w:vAlign w:val="center"/>
          </w:tcPr>
          <w:p w14:paraId="7C9A9C95" w14:textId="1BBACE0C" w:rsidR="007B4248" w:rsidRPr="0054509C" w:rsidRDefault="0018137A" w:rsidP="0054509C">
            <w:pPr>
              <w:rPr>
                <w:b/>
                <w:bCs/>
                <w:color w:val="FFFFFF" w:themeColor="background1"/>
                <w:sz w:val="28"/>
                <w:szCs w:val="28"/>
              </w:rPr>
            </w:pPr>
            <w:r w:rsidRPr="0054509C">
              <w:rPr>
                <w:b/>
                <w:bCs/>
                <w:color w:val="FFFFFF" w:themeColor="background1"/>
                <w:sz w:val="28"/>
                <w:szCs w:val="28"/>
              </w:rPr>
              <w:t>Meaning</w:t>
            </w:r>
          </w:p>
        </w:tc>
      </w:tr>
      <w:tr w:rsidR="007B4248" w14:paraId="606F88A0" w14:textId="77777777" w:rsidTr="00B2371F">
        <w:trPr>
          <w:trHeight w:val="331"/>
        </w:trPr>
        <w:tc>
          <w:tcPr>
            <w:tcW w:w="1934" w:type="dxa"/>
            <w:tcBorders>
              <w:top w:val="single" w:sz="8" w:space="0" w:color="0D0D0D" w:themeColor="text1" w:themeTint="F2"/>
              <w:left w:val="single" w:sz="8" w:space="0" w:color="0D0D0D" w:themeColor="text1" w:themeTint="F2"/>
            </w:tcBorders>
            <w:shd w:val="clear" w:color="auto" w:fill="D9D9D9" w:themeFill="background1" w:themeFillShade="D9"/>
            <w:vAlign w:val="center"/>
          </w:tcPr>
          <w:p w14:paraId="11D56733" w14:textId="72D64BBC" w:rsidR="007B4248" w:rsidRPr="0018137A" w:rsidRDefault="0018137A" w:rsidP="00C57CC3">
            <w:pPr>
              <w:rPr>
                <w:rStyle w:val="Strong"/>
              </w:rPr>
            </w:pPr>
            <w:r w:rsidRPr="0018137A">
              <w:rPr>
                <w:rStyle w:val="Strong"/>
              </w:rPr>
              <w:t>ASP</w:t>
            </w:r>
          </w:p>
        </w:tc>
        <w:tc>
          <w:tcPr>
            <w:tcW w:w="6616" w:type="dxa"/>
            <w:tcBorders>
              <w:top w:val="single" w:sz="8" w:space="0" w:color="0D0D0D" w:themeColor="text1" w:themeTint="F2"/>
              <w:right w:val="single" w:sz="8" w:space="0" w:color="0D0D0D" w:themeColor="text1" w:themeTint="F2"/>
            </w:tcBorders>
            <w:shd w:val="clear" w:color="auto" w:fill="D9D9D9" w:themeFill="background1" w:themeFillShade="D9"/>
            <w:vAlign w:val="center"/>
          </w:tcPr>
          <w:p w14:paraId="42E4D942" w14:textId="08E4F65D" w:rsidR="007B4248" w:rsidRDefault="0018137A" w:rsidP="00C57CC3">
            <w:r>
              <w:t>Amnesic Shellfish Poisoning</w:t>
            </w:r>
          </w:p>
        </w:tc>
      </w:tr>
      <w:tr w:rsidR="007B4248" w14:paraId="70C6C61A" w14:textId="77777777" w:rsidTr="00B2371F">
        <w:trPr>
          <w:trHeight w:val="331"/>
        </w:trPr>
        <w:tc>
          <w:tcPr>
            <w:tcW w:w="1934" w:type="dxa"/>
            <w:tcBorders>
              <w:left w:val="single" w:sz="8" w:space="0" w:color="0D0D0D" w:themeColor="text1" w:themeTint="F2"/>
            </w:tcBorders>
            <w:vAlign w:val="center"/>
          </w:tcPr>
          <w:p w14:paraId="31D93F30" w14:textId="6ADDD801" w:rsidR="007B4248" w:rsidRPr="0018137A" w:rsidRDefault="0018137A" w:rsidP="00C57CC3">
            <w:pPr>
              <w:rPr>
                <w:rStyle w:val="Strong"/>
              </w:rPr>
            </w:pPr>
            <w:r w:rsidRPr="0018137A">
              <w:rPr>
                <w:rStyle w:val="Strong"/>
              </w:rPr>
              <w:t>a</w:t>
            </w:r>
            <w:r w:rsidRPr="00AF729A">
              <w:rPr>
                <w:rStyle w:val="Strong"/>
                <w:vertAlign w:val="subscript"/>
              </w:rPr>
              <w:t>W</w:t>
            </w:r>
          </w:p>
        </w:tc>
        <w:tc>
          <w:tcPr>
            <w:tcW w:w="6616" w:type="dxa"/>
            <w:tcBorders>
              <w:right w:val="single" w:sz="8" w:space="0" w:color="0D0D0D" w:themeColor="text1" w:themeTint="F2"/>
            </w:tcBorders>
            <w:vAlign w:val="center"/>
          </w:tcPr>
          <w:p w14:paraId="7659DED7" w14:textId="5DB6EB5D" w:rsidR="007B4248" w:rsidRDefault="0018137A" w:rsidP="00C57CC3">
            <w:r>
              <w:t>Water Activity</w:t>
            </w:r>
          </w:p>
        </w:tc>
      </w:tr>
      <w:tr w:rsidR="007B4248" w14:paraId="2D93F986"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14AAD825" w14:textId="0291C86B" w:rsidR="007B4248" w:rsidRPr="0018137A" w:rsidRDefault="0018137A" w:rsidP="00C57CC3">
            <w:pPr>
              <w:rPr>
                <w:rStyle w:val="Strong"/>
              </w:rPr>
            </w:pPr>
            <w:r w:rsidRPr="0018137A">
              <w:rPr>
                <w:rStyle w:val="Strong"/>
              </w:rPr>
              <w:t>CAGR</w:t>
            </w:r>
          </w:p>
        </w:tc>
        <w:tc>
          <w:tcPr>
            <w:tcW w:w="6616" w:type="dxa"/>
            <w:tcBorders>
              <w:right w:val="single" w:sz="8" w:space="0" w:color="0D0D0D" w:themeColor="text1" w:themeTint="F2"/>
            </w:tcBorders>
            <w:shd w:val="clear" w:color="auto" w:fill="D9D9D9" w:themeFill="background1" w:themeFillShade="D9"/>
            <w:vAlign w:val="center"/>
          </w:tcPr>
          <w:p w14:paraId="7932D14A" w14:textId="1C5E3012" w:rsidR="007B4248" w:rsidRDefault="0018137A" w:rsidP="00C57CC3">
            <w:r>
              <w:t>Compound Annual Growth Rate</w:t>
            </w:r>
          </w:p>
        </w:tc>
      </w:tr>
      <w:tr w:rsidR="007B4248" w14:paraId="4EE92738" w14:textId="77777777" w:rsidTr="00B2371F">
        <w:trPr>
          <w:trHeight w:val="331"/>
        </w:trPr>
        <w:tc>
          <w:tcPr>
            <w:tcW w:w="1934" w:type="dxa"/>
            <w:tcBorders>
              <w:left w:val="single" w:sz="8" w:space="0" w:color="0D0D0D" w:themeColor="text1" w:themeTint="F2"/>
            </w:tcBorders>
            <w:vAlign w:val="center"/>
          </w:tcPr>
          <w:p w14:paraId="20D8440D" w14:textId="3154EE58" w:rsidR="007B4248" w:rsidRPr="0018137A" w:rsidRDefault="0018137A" w:rsidP="00C57CC3">
            <w:pPr>
              <w:rPr>
                <w:rStyle w:val="Strong"/>
              </w:rPr>
            </w:pPr>
            <w:r w:rsidRPr="0018137A">
              <w:rPr>
                <w:rStyle w:val="Strong"/>
              </w:rPr>
              <w:t>CCP</w:t>
            </w:r>
          </w:p>
        </w:tc>
        <w:tc>
          <w:tcPr>
            <w:tcW w:w="6616" w:type="dxa"/>
            <w:tcBorders>
              <w:right w:val="single" w:sz="8" w:space="0" w:color="0D0D0D" w:themeColor="text1" w:themeTint="F2"/>
            </w:tcBorders>
            <w:vAlign w:val="center"/>
          </w:tcPr>
          <w:p w14:paraId="23B76D4F" w14:textId="34C51617" w:rsidR="007B4248" w:rsidRDefault="0018137A" w:rsidP="00C57CC3">
            <w:r>
              <w:t>Critical Control Point</w:t>
            </w:r>
          </w:p>
        </w:tc>
      </w:tr>
      <w:tr w:rsidR="007B4248" w14:paraId="65ED8FFB"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73DE8F5C" w14:textId="6BEC6B76" w:rsidR="007B4248" w:rsidRPr="0018137A" w:rsidRDefault="0018137A" w:rsidP="00C57CC3">
            <w:pPr>
              <w:rPr>
                <w:rStyle w:val="Strong"/>
              </w:rPr>
            </w:pPr>
            <w:r w:rsidRPr="0018137A">
              <w:rPr>
                <w:rStyle w:val="Strong"/>
              </w:rPr>
              <w:t>EFSA</w:t>
            </w:r>
          </w:p>
        </w:tc>
        <w:tc>
          <w:tcPr>
            <w:tcW w:w="6616" w:type="dxa"/>
            <w:tcBorders>
              <w:right w:val="single" w:sz="8" w:space="0" w:color="0D0D0D" w:themeColor="text1" w:themeTint="F2"/>
            </w:tcBorders>
            <w:shd w:val="clear" w:color="auto" w:fill="D9D9D9" w:themeFill="background1" w:themeFillShade="D9"/>
            <w:vAlign w:val="center"/>
          </w:tcPr>
          <w:p w14:paraId="3C2EAE9D" w14:textId="3C7FDAC3" w:rsidR="007B4248" w:rsidRDefault="0018137A" w:rsidP="00C57CC3">
            <w:r>
              <w:t>European Food Safety Authority</w:t>
            </w:r>
          </w:p>
        </w:tc>
      </w:tr>
      <w:tr w:rsidR="007B4248" w14:paraId="1CE35B53" w14:textId="77777777" w:rsidTr="00B2371F">
        <w:trPr>
          <w:trHeight w:val="331"/>
        </w:trPr>
        <w:tc>
          <w:tcPr>
            <w:tcW w:w="1934" w:type="dxa"/>
            <w:tcBorders>
              <w:left w:val="single" w:sz="8" w:space="0" w:color="0D0D0D" w:themeColor="text1" w:themeTint="F2"/>
            </w:tcBorders>
            <w:vAlign w:val="center"/>
          </w:tcPr>
          <w:p w14:paraId="65B96CF1" w14:textId="1FC36F27" w:rsidR="007B4248" w:rsidRPr="0018137A" w:rsidRDefault="0018137A" w:rsidP="00C57CC3">
            <w:pPr>
              <w:rPr>
                <w:rStyle w:val="Strong"/>
              </w:rPr>
            </w:pPr>
            <w:r w:rsidRPr="0018137A">
              <w:rPr>
                <w:rStyle w:val="Strong"/>
              </w:rPr>
              <w:t>DIL</w:t>
            </w:r>
          </w:p>
        </w:tc>
        <w:tc>
          <w:tcPr>
            <w:tcW w:w="6616" w:type="dxa"/>
            <w:tcBorders>
              <w:right w:val="single" w:sz="8" w:space="0" w:color="0D0D0D" w:themeColor="text1" w:themeTint="F2"/>
            </w:tcBorders>
            <w:vAlign w:val="center"/>
          </w:tcPr>
          <w:p w14:paraId="159554D0" w14:textId="7E4B1267" w:rsidR="007B4248" w:rsidRDefault="0018137A" w:rsidP="00C57CC3">
            <w:r>
              <w:t>Derived Intervention Levels</w:t>
            </w:r>
          </w:p>
        </w:tc>
      </w:tr>
      <w:tr w:rsidR="0018137A" w14:paraId="66EF2E1B"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078A85D0" w14:textId="772C59C3" w:rsidR="0018137A" w:rsidRPr="0018137A" w:rsidRDefault="0018137A" w:rsidP="00C57CC3">
            <w:pPr>
              <w:rPr>
                <w:rStyle w:val="Strong"/>
              </w:rPr>
            </w:pPr>
            <w:r w:rsidRPr="0018137A">
              <w:rPr>
                <w:rStyle w:val="Strong"/>
              </w:rPr>
              <w:t>EHEC</w:t>
            </w:r>
          </w:p>
        </w:tc>
        <w:tc>
          <w:tcPr>
            <w:tcW w:w="6616" w:type="dxa"/>
            <w:tcBorders>
              <w:right w:val="single" w:sz="8" w:space="0" w:color="0D0D0D" w:themeColor="text1" w:themeTint="F2"/>
            </w:tcBorders>
            <w:shd w:val="clear" w:color="auto" w:fill="D9D9D9" w:themeFill="background1" w:themeFillShade="D9"/>
            <w:vAlign w:val="center"/>
          </w:tcPr>
          <w:p w14:paraId="683C289E" w14:textId="1FF96C3A" w:rsidR="0018137A" w:rsidRPr="0018137A" w:rsidRDefault="0018137A" w:rsidP="00C57CC3">
            <w:pPr>
              <w:rPr>
                <w:i/>
                <w:iCs/>
              </w:rPr>
            </w:pPr>
            <w:r>
              <w:t xml:space="preserve">Enterohemorrhagic </w:t>
            </w:r>
            <w:r>
              <w:rPr>
                <w:i/>
                <w:iCs/>
              </w:rPr>
              <w:t>E. coli</w:t>
            </w:r>
          </w:p>
        </w:tc>
      </w:tr>
      <w:tr w:rsidR="0018137A" w14:paraId="120139E6" w14:textId="77777777" w:rsidTr="00B2371F">
        <w:trPr>
          <w:trHeight w:val="331"/>
        </w:trPr>
        <w:tc>
          <w:tcPr>
            <w:tcW w:w="1934" w:type="dxa"/>
            <w:tcBorders>
              <w:left w:val="single" w:sz="8" w:space="0" w:color="0D0D0D" w:themeColor="text1" w:themeTint="F2"/>
            </w:tcBorders>
            <w:vAlign w:val="center"/>
          </w:tcPr>
          <w:p w14:paraId="4457F247" w14:textId="0831830E" w:rsidR="0018137A" w:rsidRPr="0018137A" w:rsidRDefault="0018137A" w:rsidP="00C57CC3">
            <w:pPr>
              <w:rPr>
                <w:rStyle w:val="Strong"/>
              </w:rPr>
            </w:pPr>
            <w:r w:rsidRPr="0018137A">
              <w:rPr>
                <w:rStyle w:val="Strong"/>
              </w:rPr>
              <w:t>FALCPA</w:t>
            </w:r>
          </w:p>
        </w:tc>
        <w:tc>
          <w:tcPr>
            <w:tcW w:w="6616" w:type="dxa"/>
            <w:tcBorders>
              <w:right w:val="single" w:sz="8" w:space="0" w:color="0D0D0D" w:themeColor="text1" w:themeTint="F2"/>
            </w:tcBorders>
            <w:vAlign w:val="center"/>
          </w:tcPr>
          <w:p w14:paraId="7CF65AAA" w14:textId="538A49C8" w:rsidR="0018137A" w:rsidRDefault="0018137A" w:rsidP="00C57CC3">
            <w:r>
              <w:t>Food and Allergen Labeling and Consumer Protection Act of 2004</w:t>
            </w:r>
          </w:p>
        </w:tc>
      </w:tr>
      <w:tr w:rsidR="0018137A" w14:paraId="5CDBC3B6"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3205F703" w14:textId="6383E432" w:rsidR="0018137A" w:rsidRPr="0018137A" w:rsidRDefault="0018137A" w:rsidP="00C57CC3">
            <w:pPr>
              <w:rPr>
                <w:rStyle w:val="Strong"/>
              </w:rPr>
            </w:pPr>
            <w:r w:rsidRPr="0018137A">
              <w:rPr>
                <w:rStyle w:val="Strong"/>
              </w:rPr>
              <w:t>FFDCA</w:t>
            </w:r>
          </w:p>
        </w:tc>
        <w:tc>
          <w:tcPr>
            <w:tcW w:w="6616" w:type="dxa"/>
            <w:tcBorders>
              <w:right w:val="single" w:sz="8" w:space="0" w:color="0D0D0D" w:themeColor="text1" w:themeTint="F2"/>
            </w:tcBorders>
            <w:shd w:val="clear" w:color="auto" w:fill="D9D9D9" w:themeFill="background1" w:themeFillShade="D9"/>
            <w:vAlign w:val="center"/>
          </w:tcPr>
          <w:p w14:paraId="29E1F75F" w14:textId="4CD82E11" w:rsidR="0018137A" w:rsidRDefault="0018137A" w:rsidP="00C57CC3">
            <w:r>
              <w:t>Federal Food, Drug, and Cosmetics Act</w:t>
            </w:r>
          </w:p>
        </w:tc>
      </w:tr>
      <w:tr w:rsidR="0018137A" w14:paraId="4EF39D87" w14:textId="77777777" w:rsidTr="00B2371F">
        <w:trPr>
          <w:trHeight w:val="331"/>
        </w:trPr>
        <w:tc>
          <w:tcPr>
            <w:tcW w:w="1934" w:type="dxa"/>
            <w:tcBorders>
              <w:left w:val="single" w:sz="8" w:space="0" w:color="0D0D0D" w:themeColor="text1" w:themeTint="F2"/>
            </w:tcBorders>
            <w:vAlign w:val="center"/>
          </w:tcPr>
          <w:p w14:paraId="75F012E7" w14:textId="7D52EA7F" w:rsidR="0018137A" w:rsidRPr="0018137A" w:rsidRDefault="0018137A" w:rsidP="00C57CC3">
            <w:pPr>
              <w:rPr>
                <w:rStyle w:val="Strong"/>
              </w:rPr>
            </w:pPr>
            <w:r w:rsidRPr="0018137A">
              <w:rPr>
                <w:rStyle w:val="Strong"/>
              </w:rPr>
              <w:t>FASTER</w:t>
            </w:r>
          </w:p>
        </w:tc>
        <w:tc>
          <w:tcPr>
            <w:tcW w:w="6616" w:type="dxa"/>
            <w:tcBorders>
              <w:right w:val="single" w:sz="8" w:space="0" w:color="0D0D0D" w:themeColor="text1" w:themeTint="F2"/>
            </w:tcBorders>
            <w:vAlign w:val="center"/>
          </w:tcPr>
          <w:p w14:paraId="16121671" w14:textId="3937DB2F" w:rsidR="0018137A" w:rsidRDefault="0018137A" w:rsidP="00C57CC3">
            <w:r>
              <w:t>Food Allergy Safety, Treatment, Education, and Research Act</w:t>
            </w:r>
          </w:p>
        </w:tc>
      </w:tr>
      <w:tr w:rsidR="0018137A" w14:paraId="55B14E33"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72EF31E3" w14:textId="54517679" w:rsidR="0018137A" w:rsidRPr="0018137A" w:rsidRDefault="0018137A" w:rsidP="00C57CC3">
            <w:pPr>
              <w:rPr>
                <w:rStyle w:val="Strong"/>
              </w:rPr>
            </w:pPr>
            <w:r w:rsidRPr="0018137A">
              <w:rPr>
                <w:rStyle w:val="Strong"/>
              </w:rPr>
              <w:t>FSMA</w:t>
            </w:r>
          </w:p>
        </w:tc>
        <w:tc>
          <w:tcPr>
            <w:tcW w:w="6616" w:type="dxa"/>
            <w:tcBorders>
              <w:right w:val="single" w:sz="8" w:space="0" w:color="0D0D0D" w:themeColor="text1" w:themeTint="F2"/>
            </w:tcBorders>
            <w:shd w:val="clear" w:color="auto" w:fill="D9D9D9" w:themeFill="background1" w:themeFillShade="D9"/>
            <w:vAlign w:val="center"/>
          </w:tcPr>
          <w:p w14:paraId="5D59B63E" w14:textId="073F3B37" w:rsidR="0018137A" w:rsidRDefault="0018137A" w:rsidP="00C57CC3">
            <w:r>
              <w:t>Food Safety Modernization Act</w:t>
            </w:r>
          </w:p>
        </w:tc>
      </w:tr>
      <w:tr w:rsidR="0018137A" w14:paraId="163CAF75"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0E11E707" w14:textId="682E4852" w:rsidR="0018137A" w:rsidRPr="0018137A" w:rsidRDefault="0018137A" w:rsidP="00C57CC3">
            <w:pPr>
              <w:rPr>
                <w:rStyle w:val="Strong"/>
              </w:rPr>
            </w:pPr>
            <w:r w:rsidRPr="0018137A">
              <w:rPr>
                <w:rStyle w:val="Strong"/>
              </w:rPr>
              <w:t>GMP</w:t>
            </w:r>
          </w:p>
        </w:tc>
        <w:tc>
          <w:tcPr>
            <w:tcW w:w="6616" w:type="dxa"/>
            <w:tcBorders>
              <w:right w:val="single" w:sz="8" w:space="0" w:color="0D0D0D" w:themeColor="text1" w:themeTint="F2"/>
            </w:tcBorders>
            <w:shd w:val="clear" w:color="auto" w:fill="D9D9D9" w:themeFill="background1" w:themeFillShade="D9"/>
            <w:vAlign w:val="center"/>
          </w:tcPr>
          <w:p w14:paraId="5FD8AB9E" w14:textId="5D7CA73B" w:rsidR="0018137A" w:rsidRDefault="0018137A" w:rsidP="00C57CC3">
            <w:r>
              <w:t>Good Manufacturing Pr</w:t>
            </w:r>
            <w:r w:rsidR="00A42929">
              <w:t>actices</w:t>
            </w:r>
          </w:p>
        </w:tc>
      </w:tr>
      <w:tr w:rsidR="0018137A" w14:paraId="1D2DABBC" w14:textId="77777777" w:rsidTr="00B2371F">
        <w:trPr>
          <w:trHeight w:val="331"/>
        </w:trPr>
        <w:tc>
          <w:tcPr>
            <w:tcW w:w="1934" w:type="dxa"/>
            <w:tcBorders>
              <w:left w:val="single" w:sz="8" w:space="0" w:color="0D0D0D" w:themeColor="text1" w:themeTint="F2"/>
            </w:tcBorders>
            <w:vAlign w:val="center"/>
          </w:tcPr>
          <w:p w14:paraId="3123D3ED" w14:textId="3F31CEDA" w:rsidR="0018137A" w:rsidRPr="0018137A" w:rsidRDefault="0018137A" w:rsidP="00C57CC3">
            <w:pPr>
              <w:rPr>
                <w:rStyle w:val="Strong"/>
              </w:rPr>
            </w:pPr>
            <w:r w:rsidRPr="0018137A">
              <w:rPr>
                <w:rStyle w:val="Strong"/>
              </w:rPr>
              <w:t>GRAS</w:t>
            </w:r>
          </w:p>
        </w:tc>
        <w:tc>
          <w:tcPr>
            <w:tcW w:w="6616" w:type="dxa"/>
            <w:tcBorders>
              <w:right w:val="single" w:sz="8" w:space="0" w:color="0D0D0D" w:themeColor="text1" w:themeTint="F2"/>
            </w:tcBorders>
            <w:vAlign w:val="center"/>
          </w:tcPr>
          <w:p w14:paraId="4685FC52" w14:textId="693DABC3" w:rsidR="0018137A" w:rsidRDefault="0018137A" w:rsidP="00C57CC3">
            <w:r>
              <w:t>Generally Recognized as Safe</w:t>
            </w:r>
          </w:p>
        </w:tc>
      </w:tr>
      <w:tr w:rsidR="0018137A" w14:paraId="66CC0E1F"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2F94B180" w14:textId="45E69ED6" w:rsidR="0018137A" w:rsidRPr="0018137A" w:rsidRDefault="0018137A" w:rsidP="00C57CC3">
            <w:pPr>
              <w:rPr>
                <w:rStyle w:val="Strong"/>
              </w:rPr>
            </w:pPr>
            <w:r w:rsidRPr="0018137A">
              <w:rPr>
                <w:rStyle w:val="Strong"/>
              </w:rPr>
              <w:t>HACCP</w:t>
            </w:r>
          </w:p>
        </w:tc>
        <w:tc>
          <w:tcPr>
            <w:tcW w:w="6616" w:type="dxa"/>
            <w:tcBorders>
              <w:right w:val="single" w:sz="8" w:space="0" w:color="0D0D0D" w:themeColor="text1" w:themeTint="F2"/>
            </w:tcBorders>
            <w:shd w:val="clear" w:color="auto" w:fill="D9D9D9" w:themeFill="background1" w:themeFillShade="D9"/>
            <w:vAlign w:val="center"/>
          </w:tcPr>
          <w:p w14:paraId="766A4AFF" w14:textId="2C14D652" w:rsidR="0018137A" w:rsidRDefault="0018137A" w:rsidP="00C57CC3">
            <w:r>
              <w:t>Hazard Analysis Critical Control Point</w:t>
            </w:r>
          </w:p>
        </w:tc>
      </w:tr>
      <w:tr w:rsidR="0018137A" w14:paraId="0125E2CF" w14:textId="77777777" w:rsidTr="00B2371F">
        <w:trPr>
          <w:trHeight w:val="331"/>
        </w:trPr>
        <w:tc>
          <w:tcPr>
            <w:tcW w:w="1934" w:type="dxa"/>
            <w:tcBorders>
              <w:left w:val="single" w:sz="8" w:space="0" w:color="0D0D0D" w:themeColor="text1" w:themeTint="F2"/>
            </w:tcBorders>
            <w:vAlign w:val="center"/>
          </w:tcPr>
          <w:p w14:paraId="3D46B445" w14:textId="47FF5CB5" w:rsidR="0018137A" w:rsidRPr="0018137A" w:rsidRDefault="0018137A" w:rsidP="00C57CC3">
            <w:pPr>
              <w:rPr>
                <w:rStyle w:val="Strong"/>
              </w:rPr>
            </w:pPr>
            <w:r w:rsidRPr="0018137A">
              <w:rPr>
                <w:rStyle w:val="Strong"/>
              </w:rPr>
              <w:t>IMTA</w:t>
            </w:r>
          </w:p>
        </w:tc>
        <w:tc>
          <w:tcPr>
            <w:tcW w:w="6616" w:type="dxa"/>
            <w:tcBorders>
              <w:right w:val="single" w:sz="8" w:space="0" w:color="0D0D0D" w:themeColor="text1" w:themeTint="F2"/>
            </w:tcBorders>
            <w:vAlign w:val="center"/>
          </w:tcPr>
          <w:p w14:paraId="5C7EA251" w14:textId="6FBB494A" w:rsidR="0018137A" w:rsidRDefault="0018137A" w:rsidP="00C57CC3">
            <w:r>
              <w:t>Integrated Multitrophic Aquaculture Systems</w:t>
            </w:r>
          </w:p>
        </w:tc>
      </w:tr>
      <w:tr w:rsidR="0018137A" w14:paraId="050BDAA9"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257AC976" w14:textId="44CB43E4" w:rsidR="0018137A" w:rsidRPr="0018137A" w:rsidRDefault="0018137A" w:rsidP="00C57CC3">
            <w:pPr>
              <w:rPr>
                <w:rStyle w:val="Strong"/>
              </w:rPr>
            </w:pPr>
            <w:r w:rsidRPr="0018137A">
              <w:rPr>
                <w:rStyle w:val="Strong"/>
              </w:rPr>
              <w:t>JECFA</w:t>
            </w:r>
          </w:p>
        </w:tc>
        <w:tc>
          <w:tcPr>
            <w:tcW w:w="6616" w:type="dxa"/>
            <w:tcBorders>
              <w:right w:val="single" w:sz="8" w:space="0" w:color="0D0D0D" w:themeColor="text1" w:themeTint="F2"/>
            </w:tcBorders>
            <w:shd w:val="clear" w:color="auto" w:fill="D9D9D9" w:themeFill="background1" w:themeFillShade="D9"/>
            <w:vAlign w:val="center"/>
          </w:tcPr>
          <w:p w14:paraId="728F786D" w14:textId="48E7DBB2" w:rsidR="0018137A" w:rsidRDefault="0018137A" w:rsidP="00C57CC3">
            <w:r>
              <w:t>Joint FAO/WHO Expert Committee on Food Additives</w:t>
            </w:r>
          </w:p>
        </w:tc>
      </w:tr>
      <w:tr w:rsidR="0018137A" w14:paraId="09A131BF" w14:textId="77777777" w:rsidTr="00B2371F">
        <w:trPr>
          <w:trHeight w:val="331"/>
        </w:trPr>
        <w:tc>
          <w:tcPr>
            <w:tcW w:w="1934" w:type="dxa"/>
            <w:tcBorders>
              <w:left w:val="single" w:sz="8" w:space="0" w:color="0D0D0D" w:themeColor="text1" w:themeTint="F2"/>
            </w:tcBorders>
            <w:vAlign w:val="center"/>
          </w:tcPr>
          <w:p w14:paraId="32D0343A" w14:textId="6AEEECB9" w:rsidR="0018137A" w:rsidRPr="0018137A" w:rsidRDefault="0018137A" w:rsidP="00C57CC3">
            <w:pPr>
              <w:rPr>
                <w:rStyle w:val="Strong"/>
              </w:rPr>
            </w:pPr>
            <w:r w:rsidRPr="0018137A">
              <w:rPr>
                <w:rStyle w:val="Strong"/>
              </w:rPr>
              <w:t>LCF</w:t>
            </w:r>
          </w:p>
        </w:tc>
        <w:tc>
          <w:tcPr>
            <w:tcW w:w="6616" w:type="dxa"/>
            <w:tcBorders>
              <w:right w:val="single" w:sz="8" w:space="0" w:color="0D0D0D" w:themeColor="text1" w:themeTint="F2"/>
            </w:tcBorders>
            <w:vAlign w:val="center"/>
          </w:tcPr>
          <w:p w14:paraId="78705CB3" w14:textId="29431127" w:rsidR="0018137A" w:rsidRDefault="0018137A" w:rsidP="00C57CC3">
            <w:r>
              <w:t>Low Acid Canned Food</w:t>
            </w:r>
          </w:p>
        </w:tc>
      </w:tr>
      <w:tr w:rsidR="0018137A" w14:paraId="3F7DC7C0"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5982720C" w14:textId="00B7EFA6" w:rsidR="0018137A" w:rsidRPr="0018137A" w:rsidRDefault="0018137A" w:rsidP="00C57CC3">
            <w:pPr>
              <w:rPr>
                <w:rStyle w:val="Strong"/>
              </w:rPr>
            </w:pPr>
            <w:r w:rsidRPr="0018137A">
              <w:rPr>
                <w:rStyle w:val="Strong"/>
              </w:rPr>
              <w:t>MAP</w:t>
            </w:r>
          </w:p>
        </w:tc>
        <w:tc>
          <w:tcPr>
            <w:tcW w:w="6616" w:type="dxa"/>
            <w:tcBorders>
              <w:right w:val="single" w:sz="8" w:space="0" w:color="0D0D0D" w:themeColor="text1" w:themeTint="F2"/>
            </w:tcBorders>
            <w:shd w:val="clear" w:color="auto" w:fill="D9D9D9" w:themeFill="background1" w:themeFillShade="D9"/>
            <w:vAlign w:val="center"/>
          </w:tcPr>
          <w:p w14:paraId="7C5E0F4C" w14:textId="68E5FB96" w:rsidR="0018137A" w:rsidRDefault="0018137A" w:rsidP="00C57CC3">
            <w:r>
              <w:t>Modified Atmosphere Packaging</w:t>
            </w:r>
          </w:p>
        </w:tc>
      </w:tr>
      <w:tr w:rsidR="0018137A" w14:paraId="7686C8AF" w14:textId="77777777" w:rsidTr="00B2371F">
        <w:trPr>
          <w:trHeight w:val="331"/>
        </w:trPr>
        <w:tc>
          <w:tcPr>
            <w:tcW w:w="1934" w:type="dxa"/>
            <w:tcBorders>
              <w:left w:val="single" w:sz="8" w:space="0" w:color="0D0D0D" w:themeColor="text1" w:themeTint="F2"/>
            </w:tcBorders>
            <w:vAlign w:val="center"/>
          </w:tcPr>
          <w:p w14:paraId="5764F561" w14:textId="111A34D4" w:rsidR="0018137A" w:rsidRPr="0018137A" w:rsidRDefault="0018137A" w:rsidP="00C57CC3">
            <w:pPr>
              <w:rPr>
                <w:rStyle w:val="Strong"/>
              </w:rPr>
            </w:pPr>
            <w:r w:rsidRPr="0018137A">
              <w:rPr>
                <w:rStyle w:val="Strong"/>
              </w:rPr>
              <w:t>NORM</w:t>
            </w:r>
          </w:p>
        </w:tc>
        <w:tc>
          <w:tcPr>
            <w:tcW w:w="6616" w:type="dxa"/>
            <w:tcBorders>
              <w:right w:val="single" w:sz="8" w:space="0" w:color="0D0D0D" w:themeColor="text1" w:themeTint="F2"/>
            </w:tcBorders>
            <w:vAlign w:val="center"/>
          </w:tcPr>
          <w:p w14:paraId="572661E7" w14:textId="50C069C0" w:rsidR="0018137A" w:rsidRDefault="0018137A" w:rsidP="00C57CC3">
            <w:r>
              <w:t>Naturally Occurring Radioactive Material</w:t>
            </w:r>
          </w:p>
        </w:tc>
      </w:tr>
      <w:tr w:rsidR="0018137A" w14:paraId="6537A953"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2BCDE5C0" w14:textId="2892027A" w:rsidR="0018137A" w:rsidRPr="0018137A" w:rsidRDefault="0018137A" w:rsidP="00C57CC3">
            <w:pPr>
              <w:rPr>
                <w:rStyle w:val="Strong"/>
              </w:rPr>
            </w:pPr>
            <w:r w:rsidRPr="0018137A">
              <w:rPr>
                <w:rStyle w:val="Strong"/>
              </w:rPr>
              <w:t>PC</w:t>
            </w:r>
          </w:p>
        </w:tc>
        <w:tc>
          <w:tcPr>
            <w:tcW w:w="6616" w:type="dxa"/>
            <w:tcBorders>
              <w:right w:val="single" w:sz="8" w:space="0" w:color="0D0D0D" w:themeColor="text1" w:themeTint="F2"/>
            </w:tcBorders>
            <w:shd w:val="clear" w:color="auto" w:fill="D9D9D9" w:themeFill="background1" w:themeFillShade="D9"/>
            <w:vAlign w:val="center"/>
          </w:tcPr>
          <w:p w14:paraId="14F3BA1D" w14:textId="3BBF2EC7" w:rsidR="0018137A" w:rsidRDefault="0018137A" w:rsidP="00C57CC3">
            <w:r>
              <w:t>Preventive Controls</w:t>
            </w:r>
          </w:p>
        </w:tc>
      </w:tr>
      <w:tr w:rsidR="0018137A" w14:paraId="1631F848" w14:textId="77777777" w:rsidTr="00B2371F">
        <w:trPr>
          <w:trHeight w:val="331"/>
        </w:trPr>
        <w:tc>
          <w:tcPr>
            <w:tcW w:w="1934" w:type="dxa"/>
            <w:tcBorders>
              <w:left w:val="single" w:sz="8" w:space="0" w:color="0D0D0D" w:themeColor="text1" w:themeTint="F2"/>
            </w:tcBorders>
            <w:vAlign w:val="center"/>
          </w:tcPr>
          <w:p w14:paraId="2367B73C" w14:textId="64F1A8B2" w:rsidR="0018137A" w:rsidRPr="0018137A" w:rsidRDefault="0018137A" w:rsidP="00C57CC3">
            <w:pPr>
              <w:rPr>
                <w:rStyle w:val="Strong"/>
              </w:rPr>
            </w:pPr>
            <w:r w:rsidRPr="0018137A">
              <w:rPr>
                <w:rStyle w:val="Strong"/>
              </w:rPr>
              <w:t>PCBs</w:t>
            </w:r>
          </w:p>
        </w:tc>
        <w:tc>
          <w:tcPr>
            <w:tcW w:w="6616" w:type="dxa"/>
            <w:tcBorders>
              <w:right w:val="single" w:sz="8" w:space="0" w:color="0D0D0D" w:themeColor="text1" w:themeTint="F2"/>
            </w:tcBorders>
            <w:vAlign w:val="center"/>
          </w:tcPr>
          <w:p w14:paraId="5CED49B8" w14:textId="2C05EE70" w:rsidR="0018137A" w:rsidRDefault="0018137A" w:rsidP="00C57CC3">
            <w:r>
              <w:t>Polychlorinated Biphenyls</w:t>
            </w:r>
          </w:p>
        </w:tc>
      </w:tr>
      <w:tr w:rsidR="0018137A" w14:paraId="53703DDC"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160E8CDE" w14:textId="17B838B2" w:rsidR="0018137A" w:rsidRPr="0018137A" w:rsidRDefault="0018137A" w:rsidP="00C57CC3">
            <w:pPr>
              <w:rPr>
                <w:rStyle w:val="Strong"/>
              </w:rPr>
            </w:pPr>
            <w:r w:rsidRPr="0018137A">
              <w:rPr>
                <w:rStyle w:val="Strong"/>
              </w:rPr>
              <w:t>PCHF</w:t>
            </w:r>
          </w:p>
        </w:tc>
        <w:tc>
          <w:tcPr>
            <w:tcW w:w="6616" w:type="dxa"/>
            <w:tcBorders>
              <w:right w:val="single" w:sz="8" w:space="0" w:color="0D0D0D" w:themeColor="text1" w:themeTint="F2"/>
            </w:tcBorders>
            <w:shd w:val="clear" w:color="auto" w:fill="D9D9D9" w:themeFill="background1" w:themeFillShade="D9"/>
            <w:vAlign w:val="center"/>
          </w:tcPr>
          <w:p w14:paraId="473EE8A8" w14:textId="17157A67" w:rsidR="0018137A" w:rsidRDefault="0018137A" w:rsidP="00C57CC3">
            <w:r>
              <w:t>Preventive</w:t>
            </w:r>
            <w:r w:rsidR="00DC75E4">
              <w:t xml:space="preserve"> Controls for Human Foods</w:t>
            </w:r>
          </w:p>
        </w:tc>
      </w:tr>
      <w:tr w:rsidR="0018137A" w14:paraId="3E1EDFEE" w14:textId="77777777" w:rsidTr="00B2371F">
        <w:trPr>
          <w:trHeight w:val="331"/>
        </w:trPr>
        <w:tc>
          <w:tcPr>
            <w:tcW w:w="1934" w:type="dxa"/>
            <w:tcBorders>
              <w:left w:val="single" w:sz="8" w:space="0" w:color="0D0D0D" w:themeColor="text1" w:themeTint="F2"/>
            </w:tcBorders>
            <w:vAlign w:val="center"/>
          </w:tcPr>
          <w:p w14:paraId="1402100B" w14:textId="27B68E39" w:rsidR="0018137A" w:rsidRPr="0018137A" w:rsidRDefault="0018137A" w:rsidP="00C57CC3">
            <w:pPr>
              <w:rPr>
                <w:rStyle w:val="Strong"/>
              </w:rPr>
            </w:pPr>
            <w:r w:rsidRPr="0018137A">
              <w:rPr>
                <w:rStyle w:val="Strong"/>
              </w:rPr>
              <w:t>PCQI</w:t>
            </w:r>
          </w:p>
        </w:tc>
        <w:tc>
          <w:tcPr>
            <w:tcW w:w="6616" w:type="dxa"/>
            <w:tcBorders>
              <w:right w:val="single" w:sz="8" w:space="0" w:color="0D0D0D" w:themeColor="text1" w:themeTint="F2"/>
            </w:tcBorders>
            <w:vAlign w:val="center"/>
          </w:tcPr>
          <w:p w14:paraId="2E2E37C9" w14:textId="3330BCD4" w:rsidR="0018137A" w:rsidRDefault="00DC75E4" w:rsidP="00C57CC3">
            <w:r>
              <w:t>Preventive Controls Qualified Individual</w:t>
            </w:r>
          </w:p>
        </w:tc>
      </w:tr>
      <w:tr w:rsidR="0018137A" w14:paraId="1C5488F7"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418172FF" w14:textId="5272BF20" w:rsidR="0018137A" w:rsidRPr="0018137A" w:rsidRDefault="0018137A" w:rsidP="00C57CC3">
            <w:pPr>
              <w:rPr>
                <w:rStyle w:val="Strong"/>
              </w:rPr>
            </w:pPr>
            <w:r w:rsidRPr="0018137A">
              <w:rPr>
                <w:rStyle w:val="Strong"/>
              </w:rPr>
              <w:t>POP</w:t>
            </w:r>
          </w:p>
        </w:tc>
        <w:tc>
          <w:tcPr>
            <w:tcW w:w="6616" w:type="dxa"/>
            <w:tcBorders>
              <w:right w:val="single" w:sz="8" w:space="0" w:color="0D0D0D" w:themeColor="text1" w:themeTint="F2"/>
            </w:tcBorders>
            <w:shd w:val="clear" w:color="auto" w:fill="D9D9D9" w:themeFill="background1" w:themeFillShade="D9"/>
            <w:vAlign w:val="center"/>
          </w:tcPr>
          <w:p w14:paraId="1E2569B2" w14:textId="470F24A7" w:rsidR="0018137A" w:rsidRDefault="00DC75E4" w:rsidP="00C57CC3">
            <w:r>
              <w:t>Persistent Organic Pollutants</w:t>
            </w:r>
          </w:p>
        </w:tc>
      </w:tr>
      <w:tr w:rsidR="0018137A" w14:paraId="21A2034A" w14:textId="77777777" w:rsidTr="00B2371F">
        <w:trPr>
          <w:trHeight w:val="331"/>
        </w:trPr>
        <w:tc>
          <w:tcPr>
            <w:tcW w:w="1934" w:type="dxa"/>
            <w:tcBorders>
              <w:left w:val="single" w:sz="8" w:space="0" w:color="0D0D0D" w:themeColor="text1" w:themeTint="F2"/>
            </w:tcBorders>
            <w:vAlign w:val="center"/>
          </w:tcPr>
          <w:p w14:paraId="3961204A" w14:textId="2046A795" w:rsidR="0018137A" w:rsidRPr="0018137A" w:rsidRDefault="0018137A" w:rsidP="00C57CC3">
            <w:pPr>
              <w:rPr>
                <w:rStyle w:val="Strong"/>
              </w:rPr>
            </w:pPr>
            <w:r w:rsidRPr="0018137A">
              <w:rPr>
                <w:rStyle w:val="Strong"/>
              </w:rPr>
              <w:t>PBDEs</w:t>
            </w:r>
          </w:p>
        </w:tc>
        <w:tc>
          <w:tcPr>
            <w:tcW w:w="6616" w:type="dxa"/>
            <w:tcBorders>
              <w:right w:val="single" w:sz="8" w:space="0" w:color="0D0D0D" w:themeColor="text1" w:themeTint="F2"/>
            </w:tcBorders>
            <w:vAlign w:val="center"/>
          </w:tcPr>
          <w:p w14:paraId="5E208BDA" w14:textId="491FFE21" w:rsidR="0018137A" w:rsidRDefault="00DC75E4" w:rsidP="00C57CC3">
            <w:r>
              <w:t>Polybrominated Diphenyl Ethers</w:t>
            </w:r>
          </w:p>
        </w:tc>
      </w:tr>
      <w:tr w:rsidR="0018137A" w14:paraId="2FEE35C0"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5F64E03C" w14:textId="6E075248" w:rsidR="0018137A" w:rsidRPr="0018137A" w:rsidRDefault="0018137A" w:rsidP="00C57CC3">
            <w:pPr>
              <w:rPr>
                <w:rStyle w:val="Strong"/>
              </w:rPr>
            </w:pPr>
            <w:r w:rsidRPr="0018137A">
              <w:rPr>
                <w:rStyle w:val="Strong"/>
              </w:rPr>
              <w:t>PRI</w:t>
            </w:r>
          </w:p>
        </w:tc>
        <w:tc>
          <w:tcPr>
            <w:tcW w:w="6616" w:type="dxa"/>
            <w:tcBorders>
              <w:right w:val="single" w:sz="8" w:space="0" w:color="0D0D0D" w:themeColor="text1" w:themeTint="F2"/>
            </w:tcBorders>
            <w:shd w:val="clear" w:color="auto" w:fill="D9D9D9" w:themeFill="background1" w:themeFillShade="D9"/>
            <w:vAlign w:val="center"/>
          </w:tcPr>
          <w:p w14:paraId="3BFB3A09" w14:textId="0C136FDE" w:rsidR="0018137A" w:rsidRDefault="00DC75E4" w:rsidP="00C57CC3">
            <w:r>
              <w:t>Populations Reference Intake</w:t>
            </w:r>
          </w:p>
        </w:tc>
      </w:tr>
      <w:tr w:rsidR="0018137A" w14:paraId="0DCA3B95" w14:textId="77777777" w:rsidTr="00B2371F">
        <w:trPr>
          <w:trHeight w:val="331"/>
        </w:trPr>
        <w:tc>
          <w:tcPr>
            <w:tcW w:w="1934" w:type="dxa"/>
            <w:tcBorders>
              <w:left w:val="single" w:sz="8" w:space="0" w:color="0D0D0D" w:themeColor="text1" w:themeTint="F2"/>
            </w:tcBorders>
            <w:vAlign w:val="center"/>
          </w:tcPr>
          <w:p w14:paraId="6090CF5B" w14:textId="4B68AD71" w:rsidR="0018137A" w:rsidRPr="0018137A" w:rsidRDefault="0018137A" w:rsidP="00C57CC3">
            <w:pPr>
              <w:rPr>
                <w:rStyle w:val="Strong"/>
              </w:rPr>
            </w:pPr>
            <w:r w:rsidRPr="0018137A">
              <w:rPr>
                <w:rStyle w:val="Strong"/>
              </w:rPr>
              <w:lastRenderedPageBreak/>
              <w:t>RAC</w:t>
            </w:r>
          </w:p>
        </w:tc>
        <w:tc>
          <w:tcPr>
            <w:tcW w:w="6616" w:type="dxa"/>
            <w:tcBorders>
              <w:right w:val="single" w:sz="8" w:space="0" w:color="0D0D0D" w:themeColor="text1" w:themeTint="F2"/>
            </w:tcBorders>
            <w:vAlign w:val="center"/>
          </w:tcPr>
          <w:p w14:paraId="2E6FB046" w14:textId="7E63291B" w:rsidR="0018137A" w:rsidRDefault="00DC75E4" w:rsidP="00C57CC3">
            <w:r>
              <w:t>Raw Agricultural Commodity</w:t>
            </w:r>
          </w:p>
        </w:tc>
      </w:tr>
      <w:tr w:rsidR="0018137A" w14:paraId="1A2CA852"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225C87EA" w14:textId="65F3EA36" w:rsidR="0018137A" w:rsidRPr="0018137A" w:rsidRDefault="0018137A" w:rsidP="00C57CC3">
            <w:pPr>
              <w:rPr>
                <w:rStyle w:val="Strong"/>
              </w:rPr>
            </w:pPr>
            <w:r w:rsidRPr="0018137A">
              <w:rPr>
                <w:rStyle w:val="Strong"/>
              </w:rPr>
              <w:t>RDI</w:t>
            </w:r>
          </w:p>
        </w:tc>
        <w:tc>
          <w:tcPr>
            <w:tcW w:w="6616" w:type="dxa"/>
            <w:tcBorders>
              <w:right w:val="single" w:sz="8" w:space="0" w:color="0D0D0D" w:themeColor="text1" w:themeTint="F2"/>
            </w:tcBorders>
            <w:shd w:val="clear" w:color="auto" w:fill="D9D9D9" w:themeFill="background1" w:themeFillShade="D9"/>
            <w:vAlign w:val="center"/>
          </w:tcPr>
          <w:p w14:paraId="52D6EC1B" w14:textId="0F4A6A9F" w:rsidR="0018137A" w:rsidRDefault="00DC75E4" w:rsidP="00C57CC3">
            <w:r>
              <w:t>Recommended Daily Intake</w:t>
            </w:r>
          </w:p>
        </w:tc>
      </w:tr>
      <w:tr w:rsidR="0018137A" w14:paraId="60AFF5E3" w14:textId="77777777" w:rsidTr="00B2371F">
        <w:trPr>
          <w:trHeight w:val="331"/>
        </w:trPr>
        <w:tc>
          <w:tcPr>
            <w:tcW w:w="1934" w:type="dxa"/>
            <w:tcBorders>
              <w:left w:val="single" w:sz="8" w:space="0" w:color="0D0D0D" w:themeColor="text1" w:themeTint="F2"/>
            </w:tcBorders>
            <w:vAlign w:val="center"/>
          </w:tcPr>
          <w:p w14:paraId="3E420378" w14:textId="443D5BBE" w:rsidR="0018137A" w:rsidRPr="0018137A" w:rsidRDefault="0018137A" w:rsidP="00C57CC3">
            <w:pPr>
              <w:rPr>
                <w:rStyle w:val="Strong"/>
              </w:rPr>
            </w:pPr>
            <w:r w:rsidRPr="0018137A">
              <w:rPr>
                <w:rStyle w:val="Strong"/>
              </w:rPr>
              <w:t>RH</w:t>
            </w:r>
          </w:p>
        </w:tc>
        <w:tc>
          <w:tcPr>
            <w:tcW w:w="6616" w:type="dxa"/>
            <w:tcBorders>
              <w:right w:val="single" w:sz="8" w:space="0" w:color="0D0D0D" w:themeColor="text1" w:themeTint="F2"/>
            </w:tcBorders>
            <w:vAlign w:val="center"/>
          </w:tcPr>
          <w:p w14:paraId="058BD67C" w14:textId="3930C725" w:rsidR="0018137A" w:rsidRDefault="00DC75E4" w:rsidP="00C57CC3">
            <w:r>
              <w:t>Relative Humidity</w:t>
            </w:r>
          </w:p>
        </w:tc>
      </w:tr>
      <w:tr w:rsidR="0018137A" w14:paraId="0AFA7F35"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5978F110" w14:textId="2FBE79B8" w:rsidR="0018137A" w:rsidRPr="0018137A" w:rsidRDefault="0018137A" w:rsidP="00C57CC3">
            <w:pPr>
              <w:rPr>
                <w:rStyle w:val="Strong"/>
              </w:rPr>
            </w:pPr>
            <w:r w:rsidRPr="0018137A">
              <w:rPr>
                <w:rStyle w:val="Strong"/>
              </w:rPr>
              <w:t>ROP</w:t>
            </w:r>
          </w:p>
        </w:tc>
        <w:tc>
          <w:tcPr>
            <w:tcW w:w="6616" w:type="dxa"/>
            <w:tcBorders>
              <w:right w:val="single" w:sz="8" w:space="0" w:color="0D0D0D" w:themeColor="text1" w:themeTint="F2"/>
            </w:tcBorders>
            <w:shd w:val="clear" w:color="auto" w:fill="D9D9D9" w:themeFill="background1" w:themeFillShade="D9"/>
            <w:vAlign w:val="center"/>
          </w:tcPr>
          <w:p w14:paraId="0FC4C65C" w14:textId="10BE8108" w:rsidR="0018137A" w:rsidRDefault="00DC75E4" w:rsidP="00C57CC3">
            <w:r>
              <w:t>Reduced Oxygen Packages</w:t>
            </w:r>
          </w:p>
        </w:tc>
      </w:tr>
      <w:tr w:rsidR="0018137A" w14:paraId="7BD5F060" w14:textId="77777777" w:rsidTr="00B2371F">
        <w:trPr>
          <w:trHeight w:val="331"/>
        </w:trPr>
        <w:tc>
          <w:tcPr>
            <w:tcW w:w="1934" w:type="dxa"/>
            <w:tcBorders>
              <w:left w:val="single" w:sz="8" w:space="0" w:color="0D0D0D" w:themeColor="text1" w:themeTint="F2"/>
            </w:tcBorders>
            <w:vAlign w:val="center"/>
          </w:tcPr>
          <w:p w14:paraId="7F28E90B" w14:textId="48AF1DA1" w:rsidR="0018137A" w:rsidRPr="0018137A" w:rsidRDefault="0018137A" w:rsidP="00C57CC3">
            <w:pPr>
              <w:rPr>
                <w:rStyle w:val="Strong"/>
              </w:rPr>
            </w:pPr>
            <w:r w:rsidRPr="0018137A">
              <w:rPr>
                <w:rStyle w:val="Strong"/>
              </w:rPr>
              <w:t>RTE</w:t>
            </w:r>
          </w:p>
        </w:tc>
        <w:tc>
          <w:tcPr>
            <w:tcW w:w="6616" w:type="dxa"/>
            <w:tcBorders>
              <w:right w:val="single" w:sz="8" w:space="0" w:color="0D0D0D" w:themeColor="text1" w:themeTint="F2"/>
            </w:tcBorders>
            <w:vAlign w:val="center"/>
          </w:tcPr>
          <w:p w14:paraId="5F813B89" w14:textId="554789DB" w:rsidR="0018137A" w:rsidRDefault="00DC75E4" w:rsidP="00C57CC3">
            <w:r>
              <w:t>Ready-to-Eat (foods)</w:t>
            </w:r>
          </w:p>
        </w:tc>
      </w:tr>
      <w:tr w:rsidR="0018137A" w14:paraId="0352C45E"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59738B82" w14:textId="74D11D92" w:rsidR="0018137A" w:rsidRPr="0018137A" w:rsidRDefault="0018137A" w:rsidP="00C57CC3">
            <w:pPr>
              <w:rPr>
                <w:rStyle w:val="Strong"/>
              </w:rPr>
            </w:pPr>
            <w:r w:rsidRPr="0018137A">
              <w:rPr>
                <w:rStyle w:val="Strong"/>
              </w:rPr>
              <w:t>SCP</w:t>
            </w:r>
          </w:p>
        </w:tc>
        <w:tc>
          <w:tcPr>
            <w:tcW w:w="6616" w:type="dxa"/>
            <w:tcBorders>
              <w:right w:val="single" w:sz="8" w:space="0" w:color="0D0D0D" w:themeColor="text1" w:themeTint="F2"/>
            </w:tcBorders>
            <w:shd w:val="clear" w:color="auto" w:fill="D9D9D9" w:themeFill="background1" w:themeFillShade="D9"/>
            <w:vAlign w:val="center"/>
          </w:tcPr>
          <w:p w14:paraId="40BBE526" w14:textId="551AF056" w:rsidR="0018137A" w:rsidRDefault="00DC75E4" w:rsidP="00C57CC3">
            <w:r>
              <w:t>Sanitary Control Procedures</w:t>
            </w:r>
          </w:p>
        </w:tc>
      </w:tr>
      <w:tr w:rsidR="0018137A" w14:paraId="15DF2EB7" w14:textId="77777777" w:rsidTr="00B2371F">
        <w:trPr>
          <w:trHeight w:val="331"/>
        </w:trPr>
        <w:tc>
          <w:tcPr>
            <w:tcW w:w="1934" w:type="dxa"/>
            <w:tcBorders>
              <w:left w:val="single" w:sz="8" w:space="0" w:color="0D0D0D" w:themeColor="text1" w:themeTint="F2"/>
            </w:tcBorders>
            <w:vAlign w:val="center"/>
          </w:tcPr>
          <w:p w14:paraId="1943EA4C" w14:textId="74AF50C4" w:rsidR="0018137A" w:rsidRPr="0018137A" w:rsidRDefault="0018137A" w:rsidP="00C57CC3">
            <w:pPr>
              <w:rPr>
                <w:rStyle w:val="Strong"/>
              </w:rPr>
            </w:pPr>
            <w:r w:rsidRPr="0018137A">
              <w:rPr>
                <w:rStyle w:val="Strong"/>
              </w:rPr>
              <w:t>SSOPs</w:t>
            </w:r>
          </w:p>
        </w:tc>
        <w:tc>
          <w:tcPr>
            <w:tcW w:w="6616" w:type="dxa"/>
            <w:tcBorders>
              <w:right w:val="single" w:sz="8" w:space="0" w:color="0D0D0D" w:themeColor="text1" w:themeTint="F2"/>
            </w:tcBorders>
            <w:vAlign w:val="center"/>
          </w:tcPr>
          <w:p w14:paraId="5D80162A" w14:textId="556F6DE1" w:rsidR="0018137A" w:rsidRDefault="00DC75E4" w:rsidP="00C57CC3">
            <w:r>
              <w:t>Sanitation Standard Operating Procedures</w:t>
            </w:r>
          </w:p>
        </w:tc>
      </w:tr>
      <w:tr w:rsidR="0018137A" w14:paraId="2FC40285"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2E0FD3B6" w14:textId="5DC3466E" w:rsidR="0018137A" w:rsidRPr="0018137A" w:rsidRDefault="0018137A" w:rsidP="00C57CC3">
            <w:pPr>
              <w:rPr>
                <w:rStyle w:val="Strong"/>
              </w:rPr>
            </w:pPr>
            <w:r w:rsidRPr="0018137A">
              <w:rPr>
                <w:rStyle w:val="Strong"/>
              </w:rPr>
              <w:t>STEC</w:t>
            </w:r>
          </w:p>
        </w:tc>
        <w:tc>
          <w:tcPr>
            <w:tcW w:w="6616" w:type="dxa"/>
            <w:tcBorders>
              <w:right w:val="single" w:sz="8" w:space="0" w:color="0D0D0D" w:themeColor="text1" w:themeTint="F2"/>
            </w:tcBorders>
            <w:shd w:val="clear" w:color="auto" w:fill="D9D9D9" w:themeFill="background1" w:themeFillShade="D9"/>
            <w:vAlign w:val="center"/>
          </w:tcPr>
          <w:p w14:paraId="3039AD8F" w14:textId="25E36F8F" w:rsidR="0018137A" w:rsidRPr="00DC75E4" w:rsidRDefault="00DC75E4" w:rsidP="00C57CC3">
            <w:pPr>
              <w:rPr>
                <w:i/>
                <w:iCs/>
              </w:rPr>
            </w:pPr>
            <w:r>
              <w:t xml:space="preserve">Shigatoxigenic </w:t>
            </w:r>
            <w:r>
              <w:rPr>
                <w:i/>
                <w:iCs/>
              </w:rPr>
              <w:t>E. coli</w:t>
            </w:r>
          </w:p>
        </w:tc>
      </w:tr>
      <w:tr w:rsidR="0018137A" w14:paraId="1BDD4396" w14:textId="77777777" w:rsidTr="00B2371F">
        <w:trPr>
          <w:trHeight w:val="331"/>
        </w:trPr>
        <w:tc>
          <w:tcPr>
            <w:tcW w:w="1934" w:type="dxa"/>
            <w:tcBorders>
              <w:left w:val="single" w:sz="8" w:space="0" w:color="0D0D0D" w:themeColor="text1" w:themeTint="F2"/>
            </w:tcBorders>
            <w:vAlign w:val="center"/>
          </w:tcPr>
          <w:p w14:paraId="661912A3" w14:textId="5A771144" w:rsidR="0018137A" w:rsidRPr="0018137A" w:rsidRDefault="0018137A" w:rsidP="00C57CC3">
            <w:pPr>
              <w:rPr>
                <w:rStyle w:val="Strong"/>
              </w:rPr>
            </w:pPr>
            <w:r w:rsidRPr="0018137A">
              <w:rPr>
                <w:rStyle w:val="Strong"/>
              </w:rPr>
              <w:t>SPM</w:t>
            </w:r>
          </w:p>
        </w:tc>
        <w:tc>
          <w:tcPr>
            <w:tcW w:w="6616" w:type="dxa"/>
            <w:tcBorders>
              <w:right w:val="single" w:sz="8" w:space="0" w:color="0D0D0D" w:themeColor="text1" w:themeTint="F2"/>
            </w:tcBorders>
            <w:vAlign w:val="center"/>
          </w:tcPr>
          <w:p w14:paraId="6AECDCBE" w14:textId="4CC8DD33" w:rsidR="0018137A" w:rsidRDefault="00DC75E4" w:rsidP="00C57CC3">
            <w:r>
              <w:t>Suspended Particulate Matter</w:t>
            </w:r>
          </w:p>
        </w:tc>
      </w:tr>
      <w:tr w:rsidR="0018137A" w14:paraId="1317AE7A" w14:textId="77777777" w:rsidTr="00B2371F">
        <w:trPr>
          <w:trHeight w:val="331"/>
        </w:trPr>
        <w:tc>
          <w:tcPr>
            <w:tcW w:w="1934" w:type="dxa"/>
            <w:tcBorders>
              <w:left w:val="single" w:sz="8" w:space="0" w:color="0D0D0D" w:themeColor="text1" w:themeTint="F2"/>
            </w:tcBorders>
            <w:shd w:val="clear" w:color="auto" w:fill="D9D9D9" w:themeFill="background1" w:themeFillShade="D9"/>
            <w:vAlign w:val="center"/>
          </w:tcPr>
          <w:p w14:paraId="12768DF6" w14:textId="5B536194" w:rsidR="0018137A" w:rsidRPr="0018137A" w:rsidRDefault="0018137A" w:rsidP="00C57CC3">
            <w:pPr>
              <w:rPr>
                <w:rStyle w:val="Strong"/>
              </w:rPr>
            </w:pPr>
            <w:r w:rsidRPr="0018137A">
              <w:rPr>
                <w:rStyle w:val="Strong"/>
              </w:rPr>
              <w:t>TTI</w:t>
            </w:r>
          </w:p>
        </w:tc>
        <w:tc>
          <w:tcPr>
            <w:tcW w:w="6616" w:type="dxa"/>
            <w:tcBorders>
              <w:right w:val="single" w:sz="8" w:space="0" w:color="0D0D0D" w:themeColor="text1" w:themeTint="F2"/>
            </w:tcBorders>
            <w:shd w:val="clear" w:color="auto" w:fill="D9D9D9" w:themeFill="background1" w:themeFillShade="D9"/>
            <w:vAlign w:val="center"/>
          </w:tcPr>
          <w:p w14:paraId="6930E03F" w14:textId="415E9BBE" w:rsidR="0018137A" w:rsidRDefault="00DC75E4" w:rsidP="00C57CC3">
            <w:r>
              <w:t>Time-Temperature Indicator</w:t>
            </w:r>
          </w:p>
        </w:tc>
      </w:tr>
      <w:tr w:rsidR="0018137A" w14:paraId="473A8B5F" w14:textId="77777777" w:rsidTr="00B2371F">
        <w:trPr>
          <w:trHeight w:val="331"/>
        </w:trPr>
        <w:tc>
          <w:tcPr>
            <w:tcW w:w="1934" w:type="dxa"/>
            <w:tcBorders>
              <w:left w:val="single" w:sz="8" w:space="0" w:color="0D0D0D" w:themeColor="text1" w:themeTint="F2"/>
              <w:bottom w:val="single" w:sz="8" w:space="0" w:color="0D0D0D" w:themeColor="text1" w:themeTint="F2"/>
            </w:tcBorders>
            <w:vAlign w:val="center"/>
          </w:tcPr>
          <w:p w14:paraId="0E8D2CC7" w14:textId="7E5A5E3A" w:rsidR="0018137A" w:rsidRPr="0018137A" w:rsidRDefault="0018137A" w:rsidP="00C57CC3">
            <w:pPr>
              <w:rPr>
                <w:rStyle w:val="Strong"/>
              </w:rPr>
            </w:pPr>
            <w:r w:rsidRPr="0018137A">
              <w:rPr>
                <w:rStyle w:val="Strong"/>
              </w:rPr>
              <w:t>WHO</w:t>
            </w:r>
          </w:p>
        </w:tc>
        <w:tc>
          <w:tcPr>
            <w:tcW w:w="6616" w:type="dxa"/>
            <w:tcBorders>
              <w:bottom w:val="single" w:sz="8" w:space="0" w:color="0D0D0D" w:themeColor="text1" w:themeTint="F2"/>
              <w:right w:val="single" w:sz="8" w:space="0" w:color="0D0D0D" w:themeColor="text1" w:themeTint="F2"/>
            </w:tcBorders>
            <w:vAlign w:val="center"/>
          </w:tcPr>
          <w:p w14:paraId="58FB9972" w14:textId="4C5686B6" w:rsidR="0018137A" w:rsidRDefault="00DC75E4" w:rsidP="00C57CC3">
            <w:r>
              <w:t>World Health Organization</w:t>
            </w:r>
          </w:p>
        </w:tc>
      </w:tr>
    </w:tbl>
    <w:p w14:paraId="13DAD008" w14:textId="77777777" w:rsidR="00524179" w:rsidRDefault="00524179" w:rsidP="007B4248">
      <w:pPr>
        <w:sectPr w:rsidR="00524179" w:rsidSect="00FC5EB5">
          <w:pgSz w:w="12240" w:h="15840"/>
          <w:pgMar w:top="1440" w:right="1440" w:bottom="1440" w:left="1440" w:header="720" w:footer="720" w:gutter="0"/>
          <w:pgNumType w:chapStyle="1"/>
          <w:cols w:space="720"/>
          <w:docGrid w:linePitch="360"/>
        </w:sectPr>
      </w:pPr>
    </w:p>
    <w:p w14:paraId="537F4F46" w14:textId="71FB68A2" w:rsidR="007B4248" w:rsidRPr="00057061" w:rsidRDefault="00524179" w:rsidP="00691E23">
      <w:pPr>
        <w:pStyle w:val="Heading1"/>
      </w:pPr>
      <w:bookmarkStart w:id="92" w:name="_Pathogens_in_the"/>
      <w:bookmarkStart w:id="93" w:name="_Toc208503182"/>
      <w:bookmarkStart w:id="94" w:name="_Toc210042854"/>
      <w:bookmarkEnd w:id="92"/>
      <w:r w:rsidRPr="00057061">
        <w:lastRenderedPageBreak/>
        <w:t>Pathogens in the Harvest Area</w:t>
      </w:r>
      <w:bookmarkEnd w:id="93"/>
      <w:bookmarkEnd w:id="94"/>
    </w:p>
    <w:p w14:paraId="18BC6458" w14:textId="57676765" w:rsidR="00524179" w:rsidRDefault="00524179" w:rsidP="00846B8F">
      <w:pPr>
        <w:pStyle w:val="Heading2"/>
        <w:numPr>
          <w:ilvl w:val="1"/>
          <w:numId w:val="131"/>
        </w:numPr>
      </w:pPr>
      <w:bookmarkStart w:id="95" w:name="_Toc208503183"/>
      <w:r>
        <w:t>General Background: Understanding the Potential Hazard</w:t>
      </w:r>
      <w:bookmarkEnd w:id="95"/>
    </w:p>
    <w:p w14:paraId="21B61D4C" w14:textId="24A8BDA2" w:rsidR="00C57CC3" w:rsidRPr="00C57CC3" w:rsidRDefault="00524179" w:rsidP="00045395">
      <w:pPr>
        <w:spacing w:before="160"/>
      </w:pPr>
      <w:r w:rsidRPr="00524179">
        <w:t>Pathogens—including bacteria, fungi, and viruses—are potential hazards for all food products and cause millions of illnesses each year in the U.S. (Scallan et al., 2011). While only a small number of bacterial- and viral-related foodborne illness outbreaks have been linked to seaweeds (Table 5</w:t>
      </w:r>
      <w:r w:rsidR="00C57CC3" w:rsidRPr="00C57CC3">
        <w:t>-</w:t>
      </w:r>
      <w:r>
        <w:t>1</w:t>
      </w:r>
      <w:r w:rsidRPr="00524179">
        <w:t>), most foodborne illnesses are never reported. This underscores the importance of understanding the sources of pathogen contamination and implementing validated control measures (Scallan et al., 2011). This chapter provides an overview of major foodborne pathogens, summarizes available data on pathogen presence in raw seaweeds, and outlines key considerations for controlling these hazards. The information applies to both wild-harvested and farm-raised seaweed. Because the source of seaweed—whether farmed or wild—can influence the type and extent of microbial hazards, processors must evaluate and manage risks based on the specific conditions in which the seaweed was harvested or cultivated.</w:t>
      </w:r>
    </w:p>
    <w:p w14:paraId="163AAA6E" w14:textId="0F9EDCE1" w:rsidR="00045395" w:rsidRDefault="00045395" w:rsidP="00C54E07">
      <w:pPr>
        <w:pStyle w:val="Caption"/>
      </w:pPr>
      <w:r w:rsidRPr="00045395">
        <w:rPr>
          <w:b/>
          <w:bCs/>
        </w:rPr>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5</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1</w:t>
      </w:r>
      <w:r w:rsidR="00896F22">
        <w:rPr>
          <w:b/>
          <w:bCs/>
        </w:rPr>
        <w:fldChar w:fldCharType="end"/>
      </w:r>
      <w:r w:rsidRPr="00045395">
        <w:rPr>
          <w:b/>
          <w:bCs/>
        </w:rPr>
        <w:t>:</w:t>
      </w:r>
      <w:r>
        <w:t xml:space="preserve"> </w:t>
      </w:r>
      <w:r w:rsidRPr="00033636">
        <w:t>Outbreaks of foodborne illness associated with seaweed consumption.</w:t>
      </w:r>
    </w:p>
    <w:tbl>
      <w:tblPr>
        <w:tblStyle w:val="TableGrid"/>
        <w:tblW w:w="0" w:type="auto"/>
        <w:tblCellMar>
          <w:top w:w="58" w:type="dxa"/>
          <w:bottom w:w="58" w:type="dxa"/>
        </w:tblCellMar>
        <w:tblLook w:val="04A0" w:firstRow="1" w:lastRow="0" w:firstColumn="1" w:lastColumn="0" w:noHBand="0" w:noVBand="1"/>
      </w:tblPr>
      <w:tblGrid>
        <w:gridCol w:w="1504"/>
        <w:gridCol w:w="918"/>
        <w:gridCol w:w="1980"/>
        <w:gridCol w:w="1923"/>
        <w:gridCol w:w="1133"/>
        <w:gridCol w:w="1882"/>
      </w:tblGrid>
      <w:tr w:rsidR="00524179" w14:paraId="7227EE82" w14:textId="77777777" w:rsidTr="00B2371F">
        <w:tc>
          <w:tcPr>
            <w:tcW w:w="1506" w:type="dxa"/>
            <w:tcBorders>
              <w:top w:val="single" w:sz="8" w:space="0" w:color="0D0D0D" w:themeColor="text1" w:themeTint="F2"/>
              <w:left w:val="single" w:sz="8" w:space="0" w:color="0D0D0D" w:themeColor="text1" w:themeTint="F2"/>
              <w:bottom w:val="single" w:sz="8" w:space="0" w:color="0D0D0D" w:themeColor="text1" w:themeTint="F2"/>
            </w:tcBorders>
            <w:shd w:val="clear" w:color="auto" w:fill="28666E"/>
            <w:vAlign w:val="center"/>
          </w:tcPr>
          <w:p w14:paraId="66789ACB" w14:textId="33CEDCA3" w:rsidR="00524179" w:rsidRPr="000E2B0C" w:rsidRDefault="00524179" w:rsidP="00C57CC3">
            <w:pPr>
              <w:rPr>
                <w:b/>
                <w:bCs/>
                <w:color w:val="FFFFFF" w:themeColor="background1"/>
              </w:rPr>
            </w:pPr>
            <w:r w:rsidRPr="000E2B0C">
              <w:rPr>
                <w:b/>
                <w:bCs/>
                <w:color w:val="FFFFFF" w:themeColor="background1"/>
              </w:rPr>
              <w:t>Location</w:t>
            </w:r>
          </w:p>
        </w:tc>
        <w:tc>
          <w:tcPr>
            <w:tcW w:w="919" w:type="dxa"/>
            <w:tcBorders>
              <w:top w:val="single" w:sz="8" w:space="0" w:color="0D0D0D" w:themeColor="text1" w:themeTint="F2"/>
              <w:bottom w:val="single" w:sz="8" w:space="0" w:color="0D0D0D" w:themeColor="text1" w:themeTint="F2"/>
            </w:tcBorders>
            <w:shd w:val="clear" w:color="auto" w:fill="28666E"/>
            <w:vAlign w:val="center"/>
          </w:tcPr>
          <w:p w14:paraId="3BD7594E" w14:textId="4A8214EB" w:rsidR="00524179" w:rsidRPr="000E2B0C" w:rsidRDefault="00524179" w:rsidP="00C57CC3">
            <w:pPr>
              <w:rPr>
                <w:b/>
                <w:bCs/>
                <w:color w:val="FFFFFF" w:themeColor="background1"/>
              </w:rPr>
            </w:pPr>
            <w:r w:rsidRPr="000E2B0C">
              <w:rPr>
                <w:b/>
                <w:bCs/>
                <w:color w:val="FFFFFF" w:themeColor="background1"/>
              </w:rPr>
              <w:t>Year</w:t>
            </w:r>
          </w:p>
        </w:tc>
        <w:tc>
          <w:tcPr>
            <w:tcW w:w="1980" w:type="dxa"/>
            <w:tcBorders>
              <w:top w:val="single" w:sz="8" w:space="0" w:color="0D0D0D" w:themeColor="text1" w:themeTint="F2"/>
              <w:bottom w:val="single" w:sz="8" w:space="0" w:color="0D0D0D" w:themeColor="text1" w:themeTint="F2"/>
            </w:tcBorders>
            <w:shd w:val="clear" w:color="auto" w:fill="28666E"/>
            <w:vAlign w:val="center"/>
          </w:tcPr>
          <w:p w14:paraId="4F89CCF7" w14:textId="76C3CAE5" w:rsidR="00524179" w:rsidRPr="000E2B0C" w:rsidRDefault="00524179" w:rsidP="00C57CC3">
            <w:pPr>
              <w:rPr>
                <w:b/>
                <w:bCs/>
                <w:color w:val="FFFFFF" w:themeColor="background1"/>
              </w:rPr>
            </w:pPr>
            <w:r w:rsidRPr="000E2B0C">
              <w:rPr>
                <w:b/>
                <w:bCs/>
                <w:color w:val="FFFFFF" w:themeColor="background1"/>
              </w:rPr>
              <w:t>Pathogen</w:t>
            </w:r>
          </w:p>
        </w:tc>
        <w:tc>
          <w:tcPr>
            <w:tcW w:w="1927" w:type="dxa"/>
            <w:tcBorders>
              <w:top w:val="single" w:sz="8" w:space="0" w:color="0D0D0D" w:themeColor="text1" w:themeTint="F2"/>
              <w:bottom w:val="single" w:sz="8" w:space="0" w:color="0D0D0D" w:themeColor="text1" w:themeTint="F2"/>
            </w:tcBorders>
            <w:shd w:val="clear" w:color="auto" w:fill="28666E"/>
            <w:vAlign w:val="center"/>
          </w:tcPr>
          <w:p w14:paraId="74891271" w14:textId="4E8CF969" w:rsidR="00524179" w:rsidRPr="000E2B0C" w:rsidRDefault="00524179" w:rsidP="00C57CC3">
            <w:pPr>
              <w:rPr>
                <w:b/>
                <w:bCs/>
                <w:color w:val="FFFFFF" w:themeColor="background1"/>
              </w:rPr>
            </w:pPr>
            <w:r w:rsidRPr="000E2B0C">
              <w:rPr>
                <w:b/>
                <w:bCs/>
                <w:color w:val="FFFFFF" w:themeColor="background1"/>
              </w:rPr>
              <w:t>Seaweed / Product</w:t>
            </w:r>
          </w:p>
        </w:tc>
        <w:tc>
          <w:tcPr>
            <w:tcW w:w="1133" w:type="dxa"/>
            <w:tcBorders>
              <w:top w:val="single" w:sz="8" w:space="0" w:color="0D0D0D" w:themeColor="text1" w:themeTint="F2"/>
              <w:bottom w:val="single" w:sz="8" w:space="0" w:color="0D0D0D" w:themeColor="text1" w:themeTint="F2"/>
            </w:tcBorders>
            <w:shd w:val="clear" w:color="auto" w:fill="28666E"/>
            <w:vAlign w:val="center"/>
          </w:tcPr>
          <w:p w14:paraId="49957CC6" w14:textId="00279DDC" w:rsidR="00524179" w:rsidRPr="000E2B0C" w:rsidRDefault="00524179" w:rsidP="00C57CC3">
            <w:pPr>
              <w:rPr>
                <w:b/>
                <w:bCs/>
                <w:color w:val="FFFFFF" w:themeColor="background1"/>
              </w:rPr>
            </w:pPr>
            <w:r w:rsidRPr="000E2B0C">
              <w:rPr>
                <w:b/>
                <w:bCs/>
                <w:color w:val="FFFFFF" w:themeColor="background1"/>
              </w:rPr>
              <w:t>Number of Cases</w:t>
            </w:r>
          </w:p>
        </w:tc>
        <w:tc>
          <w:tcPr>
            <w:tcW w:w="1885" w:type="dxa"/>
            <w:tcBorders>
              <w:top w:val="single" w:sz="8" w:space="0" w:color="0D0D0D" w:themeColor="text1" w:themeTint="F2"/>
              <w:bottom w:val="single" w:sz="8" w:space="0" w:color="0D0D0D" w:themeColor="text1" w:themeTint="F2"/>
              <w:right w:val="single" w:sz="8" w:space="0" w:color="0D0D0D" w:themeColor="text1" w:themeTint="F2"/>
            </w:tcBorders>
            <w:shd w:val="clear" w:color="auto" w:fill="28666E"/>
            <w:vAlign w:val="center"/>
          </w:tcPr>
          <w:p w14:paraId="06E09E5C" w14:textId="2CBC6C56" w:rsidR="00524179" w:rsidRPr="000E2B0C" w:rsidRDefault="00524179" w:rsidP="00C57CC3">
            <w:pPr>
              <w:rPr>
                <w:b/>
                <w:bCs/>
                <w:color w:val="FFFFFF" w:themeColor="background1"/>
              </w:rPr>
            </w:pPr>
            <w:r w:rsidRPr="000E2B0C">
              <w:rPr>
                <w:b/>
                <w:bCs/>
                <w:color w:val="FFFFFF" w:themeColor="background1"/>
              </w:rPr>
              <w:t>Reference</w:t>
            </w:r>
          </w:p>
        </w:tc>
      </w:tr>
      <w:tr w:rsidR="00524179" w14:paraId="0606F97E" w14:textId="77777777" w:rsidTr="00B2371F">
        <w:trPr>
          <w:trHeight w:val="683"/>
        </w:trPr>
        <w:tc>
          <w:tcPr>
            <w:tcW w:w="1506" w:type="dxa"/>
            <w:tcBorders>
              <w:top w:val="single" w:sz="8" w:space="0" w:color="0D0D0D" w:themeColor="text1" w:themeTint="F2"/>
              <w:left w:val="single" w:sz="8" w:space="0" w:color="0D0D0D" w:themeColor="text1" w:themeTint="F2"/>
            </w:tcBorders>
            <w:vAlign w:val="center"/>
          </w:tcPr>
          <w:p w14:paraId="00F5EF2F" w14:textId="29E75BF5" w:rsidR="00524179" w:rsidRDefault="00524179" w:rsidP="00C57CC3">
            <w:r>
              <w:t>South Korea</w:t>
            </w:r>
          </w:p>
        </w:tc>
        <w:tc>
          <w:tcPr>
            <w:tcW w:w="919" w:type="dxa"/>
            <w:tcBorders>
              <w:top w:val="single" w:sz="8" w:space="0" w:color="0D0D0D" w:themeColor="text1" w:themeTint="F2"/>
            </w:tcBorders>
            <w:vAlign w:val="center"/>
          </w:tcPr>
          <w:p w14:paraId="75E59E96" w14:textId="1A924242" w:rsidR="00524179" w:rsidRDefault="00524179" w:rsidP="00C57CC3">
            <w:r>
              <w:t>2015</w:t>
            </w:r>
          </w:p>
        </w:tc>
        <w:tc>
          <w:tcPr>
            <w:tcW w:w="1980" w:type="dxa"/>
            <w:tcBorders>
              <w:top w:val="single" w:sz="8" w:space="0" w:color="0D0D0D" w:themeColor="text1" w:themeTint="F2"/>
            </w:tcBorders>
            <w:vAlign w:val="center"/>
          </w:tcPr>
          <w:p w14:paraId="0501C966" w14:textId="45A2C12F" w:rsidR="00524179" w:rsidRDefault="00524179" w:rsidP="00C57CC3">
            <w:r>
              <w:t>Norovirus</w:t>
            </w:r>
          </w:p>
        </w:tc>
        <w:tc>
          <w:tcPr>
            <w:tcW w:w="1927" w:type="dxa"/>
            <w:tcBorders>
              <w:top w:val="single" w:sz="8" w:space="0" w:color="0D0D0D" w:themeColor="text1" w:themeTint="F2"/>
            </w:tcBorders>
            <w:vAlign w:val="center"/>
          </w:tcPr>
          <w:p w14:paraId="3097F219" w14:textId="579EAA13" w:rsidR="00524179" w:rsidRDefault="00524179" w:rsidP="00C57CC3">
            <w:r>
              <w:t xml:space="preserve">Sea </w:t>
            </w:r>
            <w:r w:rsidR="00C57CC3">
              <w:t>L</w:t>
            </w:r>
            <w:r>
              <w:t xml:space="preserve">ettuce / Seaweed </w:t>
            </w:r>
            <w:r w:rsidR="00C57CC3">
              <w:t>S</w:t>
            </w:r>
            <w:r>
              <w:t>alad</w:t>
            </w:r>
          </w:p>
        </w:tc>
        <w:tc>
          <w:tcPr>
            <w:tcW w:w="1133" w:type="dxa"/>
            <w:tcBorders>
              <w:top w:val="single" w:sz="8" w:space="0" w:color="0D0D0D" w:themeColor="text1" w:themeTint="F2"/>
            </w:tcBorders>
            <w:vAlign w:val="center"/>
          </w:tcPr>
          <w:p w14:paraId="502F6AB8" w14:textId="4AC0D10E" w:rsidR="00524179" w:rsidRDefault="00524179" w:rsidP="00C57CC3">
            <w:r>
              <w:t>9</w:t>
            </w:r>
          </w:p>
        </w:tc>
        <w:tc>
          <w:tcPr>
            <w:tcW w:w="1885" w:type="dxa"/>
            <w:tcBorders>
              <w:top w:val="single" w:sz="8" w:space="0" w:color="0D0D0D" w:themeColor="text1" w:themeTint="F2"/>
              <w:right w:val="single" w:sz="8" w:space="0" w:color="0D0D0D" w:themeColor="text1" w:themeTint="F2"/>
            </w:tcBorders>
            <w:vAlign w:val="center"/>
          </w:tcPr>
          <w:p w14:paraId="461DF32E" w14:textId="6EFC3A40" w:rsidR="00524179" w:rsidRDefault="00524179" w:rsidP="00C57CC3">
            <w:r>
              <w:t>Park et al., 2015</w:t>
            </w:r>
          </w:p>
        </w:tc>
      </w:tr>
      <w:tr w:rsidR="00524179" w:rsidRPr="00F85DE5" w14:paraId="29DE645B" w14:textId="77777777" w:rsidTr="00B2371F">
        <w:trPr>
          <w:trHeight w:val="1250"/>
        </w:trPr>
        <w:tc>
          <w:tcPr>
            <w:tcW w:w="1506" w:type="dxa"/>
            <w:tcBorders>
              <w:left w:val="single" w:sz="8" w:space="0" w:color="0D0D0D" w:themeColor="text1" w:themeTint="F2"/>
            </w:tcBorders>
            <w:vAlign w:val="center"/>
          </w:tcPr>
          <w:p w14:paraId="549DF8B7" w14:textId="19B4EEB5" w:rsidR="00524179" w:rsidRDefault="00524179" w:rsidP="00C57CC3">
            <w:r>
              <w:t>Japan</w:t>
            </w:r>
          </w:p>
        </w:tc>
        <w:tc>
          <w:tcPr>
            <w:tcW w:w="919" w:type="dxa"/>
            <w:vAlign w:val="center"/>
          </w:tcPr>
          <w:p w14:paraId="4B5B692F" w14:textId="660E9EF5" w:rsidR="00524179" w:rsidRDefault="00524179" w:rsidP="00C57CC3">
            <w:r>
              <w:t>2017</w:t>
            </w:r>
          </w:p>
        </w:tc>
        <w:tc>
          <w:tcPr>
            <w:tcW w:w="1980" w:type="dxa"/>
            <w:vAlign w:val="center"/>
          </w:tcPr>
          <w:p w14:paraId="0CDF0EB6" w14:textId="316ECC93" w:rsidR="00524179" w:rsidRDefault="00524179" w:rsidP="00C57CC3">
            <w:r>
              <w:t>Norovirus</w:t>
            </w:r>
          </w:p>
        </w:tc>
        <w:tc>
          <w:tcPr>
            <w:tcW w:w="1927" w:type="dxa"/>
            <w:vAlign w:val="center"/>
          </w:tcPr>
          <w:p w14:paraId="64441F67" w14:textId="0A754227" w:rsidR="00524179" w:rsidRDefault="00524179" w:rsidP="00C57CC3">
            <w:r>
              <w:t xml:space="preserve">Laver / Dried </w:t>
            </w:r>
            <w:r w:rsidR="00C57CC3">
              <w:t>S</w:t>
            </w:r>
            <w:r>
              <w:t>eaweed</w:t>
            </w:r>
          </w:p>
        </w:tc>
        <w:tc>
          <w:tcPr>
            <w:tcW w:w="1133" w:type="dxa"/>
            <w:vAlign w:val="center"/>
          </w:tcPr>
          <w:p w14:paraId="2475909B" w14:textId="52BF6E32" w:rsidR="00524179" w:rsidRDefault="00524179" w:rsidP="00C57CC3">
            <w:r>
              <w:t>1100</w:t>
            </w:r>
          </w:p>
        </w:tc>
        <w:tc>
          <w:tcPr>
            <w:tcW w:w="1885" w:type="dxa"/>
            <w:tcBorders>
              <w:right w:val="single" w:sz="8" w:space="0" w:color="0D0D0D" w:themeColor="text1" w:themeTint="F2"/>
            </w:tcBorders>
            <w:vAlign w:val="center"/>
          </w:tcPr>
          <w:p w14:paraId="6CEDC06D" w14:textId="42FC57D9" w:rsidR="00524179" w:rsidRPr="00173FBA" w:rsidRDefault="00524179" w:rsidP="00C57CC3">
            <w:pPr>
              <w:rPr>
                <w:lang w:val="es-ES"/>
              </w:rPr>
            </w:pPr>
            <w:r w:rsidRPr="00173FBA">
              <w:rPr>
                <w:lang w:val="es-ES"/>
              </w:rPr>
              <w:t>Kusumi et al., 2017;</w:t>
            </w:r>
          </w:p>
          <w:p w14:paraId="4D394A26" w14:textId="105A8D6A" w:rsidR="00524179" w:rsidRPr="00173FBA" w:rsidRDefault="00524179" w:rsidP="00C57CC3">
            <w:pPr>
              <w:rPr>
                <w:lang w:val="es-ES"/>
              </w:rPr>
            </w:pPr>
            <w:r w:rsidRPr="00173FBA">
              <w:rPr>
                <w:lang w:val="es-ES"/>
              </w:rPr>
              <w:t>Somura et al., 2017</w:t>
            </w:r>
          </w:p>
        </w:tc>
      </w:tr>
      <w:tr w:rsidR="00524179" w14:paraId="3F33BE5E" w14:textId="77777777" w:rsidTr="00B2371F">
        <w:trPr>
          <w:trHeight w:val="620"/>
        </w:trPr>
        <w:tc>
          <w:tcPr>
            <w:tcW w:w="1506" w:type="dxa"/>
            <w:tcBorders>
              <w:left w:val="single" w:sz="8" w:space="0" w:color="0D0D0D" w:themeColor="text1" w:themeTint="F2"/>
            </w:tcBorders>
            <w:vAlign w:val="center"/>
          </w:tcPr>
          <w:p w14:paraId="53BCB4A6" w14:textId="33D8DD1D" w:rsidR="00524179" w:rsidRDefault="00524179" w:rsidP="00C57CC3">
            <w:r>
              <w:t>Norway</w:t>
            </w:r>
          </w:p>
        </w:tc>
        <w:tc>
          <w:tcPr>
            <w:tcW w:w="919" w:type="dxa"/>
            <w:vAlign w:val="center"/>
          </w:tcPr>
          <w:p w14:paraId="096B29FC" w14:textId="46C8C8FD" w:rsidR="00524179" w:rsidRDefault="00524179" w:rsidP="00C57CC3">
            <w:r>
              <w:t>2019</w:t>
            </w:r>
          </w:p>
        </w:tc>
        <w:tc>
          <w:tcPr>
            <w:tcW w:w="1980" w:type="dxa"/>
            <w:vAlign w:val="center"/>
          </w:tcPr>
          <w:p w14:paraId="6F366EAD" w14:textId="1A24CED1" w:rsidR="00524179" w:rsidRDefault="00524179" w:rsidP="00C57CC3">
            <w:r>
              <w:t>Norovirus</w:t>
            </w:r>
          </w:p>
        </w:tc>
        <w:tc>
          <w:tcPr>
            <w:tcW w:w="1927" w:type="dxa"/>
            <w:vAlign w:val="center"/>
          </w:tcPr>
          <w:p w14:paraId="1640E3A7" w14:textId="3A9636DA" w:rsidR="00524179" w:rsidRDefault="00524179" w:rsidP="00C57CC3">
            <w:r>
              <w:t xml:space="preserve">Wakame / Seaweed </w:t>
            </w:r>
            <w:r w:rsidR="00C57CC3">
              <w:t>S</w:t>
            </w:r>
            <w:r>
              <w:t>alad</w:t>
            </w:r>
          </w:p>
        </w:tc>
        <w:tc>
          <w:tcPr>
            <w:tcW w:w="1133" w:type="dxa"/>
            <w:vAlign w:val="center"/>
          </w:tcPr>
          <w:p w14:paraId="526A3A6F" w14:textId="7661859E" w:rsidR="00524179" w:rsidRDefault="00524179" w:rsidP="00C57CC3">
            <w:r>
              <w:t>&gt;100</w:t>
            </w:r>
          </w:p>
        </w:tc>
        <w:tc>
          <w:tcPr>
            <w:tcW w:w="1885" w:type="dxa"/>
            <w:tcBorders>
              <w:right w:val="single" w:sz="8" w:space="0" w:color="0D0D0D" w:themeColor="text1" w:themeTint="F2"/>
            </w:tcBorders>
            <w:vAlign w:val="center"/>
          </w:tcPr>
          <w:p w14:paraId="50509A13" w14:textId="0F3C11AC" w:rsidR="00524179" w:rsidRDefault="00524179" w:rsidP="00C57CC3">
            <w:r>
              <w:t>Whitworth et al., 2019</w:t>
            </w:r>
          </w:p>
        </w:tc>
      </w:tr>
      <w:tr w:rsidR="00524179" w14:paraId="0CF456B2" w14:textId="77777777" w:rsidTr="00B2371F">
        <w:trPr>
          <w:trHeight w:val="620"/>
        </w:trPr>
        <w:tc>
          <w:tcPr>
            <w:tcW w:w="1506" w:type="dxa"/>
            <w:tcBorders>
              <w:left w:val="single" w:sz="8" w:space="0" w:color="0D0D0D" w:themeColor="text1" w:themeTint="F2"/>
            </w:tcBorders>
            <w:vAlign w:val="center"/>
          </w:tcPr>
          <w:p w14:paraId="3F1AF277" w14:textId="5B0DE7F7" w:rsidR="00524179" w:rsidRDefault="00524179" w:rsidP="00C57CC3">
            <w:r>
              <w:t>Hawaii</w:t>
            </w:r>
          </w:p>
        </w:tc>
        <w:tc>
          <w:tcPr>
            <w:tcW w:w="919" w:type="dxa"/>
            <w:vAlign w:val="center"/>
          </w:tcPr>
          <w:p w14:paraId="07D4A2AA" w14:textId="69D24113" w:rsidR="00524179" w:rsidRDefault="00524179" w:rsidP="00C57CC3">
            <w:r>
              <w:t>2016</w:t>
            </w:r>
          </w:p>
        </w:tc>
        <w:tc>
          <w:tcPr>
            <w:tcW w:w="1980" w:type="dxa"/>
            <w:vAlign w:val="center"/>
          </w:tcPr>
          <w:p w14:paraId="037108A9" w14:textId="54DA1ADA" w:rsidR="00524179" w:rsidRPr="00524179" w:rsidRDefault="00524179" w:rsidP="00C57CC3">
            <w:pPr>
              <w:rPr>
                <w:i/>
                <w:iCs/>
              </w:rPr>
            </w:pPr>
            <w:r>
              <w:rPr>
                <w:i/>
                <w:iCs/>
              </w:rPr>
              <w:t>Salmonella</w:t>
            </w:r>
          </w:p>
        </w:tc>
        <w:tc>
          <w:tcPr>
            <w:tcW w:w="1927" w:type="dxa"/>
            <w:vAlign w:val="center"/>
          </w:tcPr>
          <w:p w14:paraId="2265F803" w14:textId="69F63B07" w:rsidR="00524179" w:rsidRDefault="00524179" w:rsidP="00C57CC3">
            <w:r>
              <w:t xml:space="preserve">Limu (Ogo) / Raw </w:t>
            </w:r>
            <w:r w:rsidR="00C57CC3">
              <w:t>S</w:t>
            </w:r>
            <w:r>
              <w:t>eaweed</w:t>
            </w:r>
          </w:p>
        </w:tc>
        <w:tc>
          <w:tcPr>
            <w:tcW w:w="1133" w:type="dxa"/>
            <w:vAlign w:val="center"/>
          </w:tcPr>
          <w:p w14:paraId="3CE862E8" w14:textId="46E78873" w:rsidR="00524179" w:rsidRDefault="00524179" w:rsidP="00C57CC3">
            <w:r>
              <w:t>15</w:t>
            </w:r>
          </w:p>
        </w:tc>
        <w:tc>
          <w:tcPr>
            <w:tcW w:w="1885" w:type="dxa"/>
            <w:tcBorders>
              <w:right w:val="single" w:sz="8" w:space="0" w:color="0D0D0D" w:themeColor="text1" w:themeTint="F2"/>
            </w:tcBorders>
            <w:vAlign w:val="center"/>
          </w:tcPr>
          <w:p w14:paraId="3A2733A0" w14:textId="59BD6C7B" w:rsidR="00524179" w:rsidRDefault="00524179" w:rsidP="00C57CC3">
            <w:r>
              <w:t>Nichols, 2017</w:t>
            </w:r>
          </w:p>
        </w:tc>
      </w:tr>
      <w:tr w:rsidR="00524179" w14:paraId="26105C0D" w14:textId="77777777" w:rsidTr="00B2371F">
        <w:trPr>
          <w:trHeight w:val="656"/>
        </w:trPr>
        <w:tc>
          <w:tcPr>
            <w:tcW w:w="1506" w:type="dxa"/>
            <w:tcBorders>
              <w:left w:val="single" w:sz="8" w:space="0" w:color="0D0D0D" w:themeColor="text1" w:themeTint="F2"/>
            </w:tcBorders>
            <w:vAlign w:val="center"/>
          </w:tcPr>
          <w:p w14:paraId="14AEAEC7" w14:textId="13F86EB9" w:rsidR="00524179" w:rsidRDefault="00524179" w:rsidP="00C57CC3">
            <w:r>
              <w:t>Japan</w:t>
            </w:r>
          </w:p>
        </w:tc>
        <w:tc>
          <w:tcPr>
            <w:tcW w:w="919" w:type="dxa"/>
            <w:vAlign w:val="center"/>
          </w:tcPr>
          <w:p w14:paraId="0C73C00B" w14:textId="24524B70" w:rsidR="00524179" w:rsidRDefault="00524179" w:rsidP="00C57CC3">
            <w:r>
              <w:t>2021</w:t>
            </w:r>
          </w:p>
        </w:tc>
        <w:tc>
          <w:tcPr>
            <w:tcW w:w="1980" w:type="dxa"/>
            <w:vAlign w:val="center"/>
          </w:tcPr>
          <w:p w14:paraId="4F9B1EDE" w14:textId="1E0C62E6" w:rsidR="00524179" w:rsidRPr="00524179" w:rsidRDefault="00524179" w:rsidP="00C57CC3">
            <w:pPr>
              <w:rPr>
                <w:i/>
                <w:iCs/>
              </w:rPr>
            </w:pPr>
            <w:r>
              <w:t xml:space="preserve">Enteroaggressive </w:t>
            </w:r>
            <w:r>
              <w:rPr>
                <w:i/>
                <w:iCs/>
              </w:rPr>
              <w:t>E. coli</w:t>
            </w:r>
          </w:p>
        </w:tc>
        <w:tc>
          <w:tcPr>
            <w:tcW w:w="1927" w:type="dxa"/>
            <w:vAlign w:val="center"/>
          </w:tcPr>
          <w:p w14:paraId="0CFBFF52" w14:textId="04F22B71" w:rsidR="00524179" w:rsidRDefault="00524179" w:rsidP="00C57CC3">
            <w:r>
              <w:t xml:space="preserve">Seaweed </w:t>
            </w:r>
            <w:r w:rsidR="00C57CC3">
              <w:t>S</w:t>
            </w:r>
            <w:r>
              <w:t>alad</w:t>
            </w:r>
          </w:p>
        </w:tc>
        <w:tc>
          <w:tcPr>
            <w:tcW w:w="1133" w:type="dxa"/>
            <w:vAlign w:val="center"/>
          </w:tcPr>
          <w:p w14:paraId="3A7EAA02" w14:textId="3B6A809D" w:rsidR="00524179" w:rsidRDefault="00524179" w:rsidP="00C57CC3">
            <w:r>
              <w:t>1</w:t>
            </w:r>
          </w:p>
        </w:tc>
        <w:tc>
          <w:tcPr>
            <w:tcW w:w="1885" w:type="dxa"/>
            <w:tcBorders>
              <w:right w:val="single" w:sz="8" w:space="0" w:color="0D0D0D" w:themeColor="text1" w:themeTint="F2"/>
            </w:tcBorders>
            <w:vAlign w:val="center"/>
          </w:tcPr>
          <w:p w14:paraId="284CD190" w14:textId="4DBA1596" w:rsidR="00524179" w:rsidRDefault="00524179" w:rsidP="00C57CC3">
            <w:r>
              <w:t>Kashima et al., 1999</w:t>
            </w:r>
          </w:p>
        </w:tc>
      </w:tr>
      <w:tr w:rsidR="00524179" w14:paraId="4AEB3593" w14:textId="77777777" w:rsidTr="00B2371F">
        <w:trPr>
          <w:trHeight w:val="625"/>
        </w:trPr>
        <w:tc>
          <w:tcPr>
            <w:tcW w:w="1506" w:type="dxa"/>
            <w:tcBorders>
              <w:left w:val="single" w:sz="8" w:space="0" w:color="0D0D0D" w:themeColor="text1" w:themeTint="F2"/>
            </w:tcBorders>
            <w:vAlign w:val="center"/>
          </w:tcPr>
          <w:p w14:paraId="5CA83749" w14:textId="534DA64B" w:rsidR="00524179" w:rsidRDefault="00524179" w:rsidP="00C57CC3">
            <w:r>
              <w:t>Japan</w:t>
            </w:r>
          </w:p>
        </w:tc>
        <w:tc>
          <w:tcPr>
            <w:tcW w:w="919" w:type="dxa"/>
            <w:vAlign w:val="center"/>
          </w:tcPr>
          <w:p w14:paraId="3C5DE02F" w14:textId="3A16385D" w:rsidR="00524179" w:rsidRDefault="00524179" w:rsidP="00C57CC3">
            <w:r>
              <w:t>1999</w:t>
            </w:r>
          </w:p>
        </w:tc>
        <w:tc>
          <w:tcPr>
            <w:tcW w:w="1980" w:type="dxa"/>
            <w:vAlign w:val="center"/>
          </w:tcPr>
          <w:p w14:paraId="786E3DCB" w14:textId="2E70BAE6" w:rsidR="00524179" w:rsidRDefault="00524179" w:rsidP="00C57CC3">
            <w:r>
              <w:t xml:space="preserve">Enteroaggressive </w:t>
            </w:r>
            <w:r>
              <w:rPr>
                <w:i/>
                <w:iCs/>
              </w:rPr>
              <w:t>E. coli</w:t>
            </w:r>
          </w:p>
        </w:tc>
        <w:tc>
          <w:tcPr>
            <w:tcW w:w="1927" w:type="dxa"/>
            <w:vAlign w:val="center"/>
          </w:tcPr>
          <w:p w14:paraId="384582F7" w14:textId="1E5D4C7D" w:rsidR="00524179" w:rsidRDefault="00524179" w:rsidP="00C57CC3">
            <w:r>
              <w:t xml:space="preserve">Wakame / Pickled </w:t>
            </w:r>
            <w:r w:rsidR="00C57CC3">
              <w:t>S</w:t>
            </w:r>
            <w:r>
              <w:t>eaweed</w:t>
            </w:r>
          </w:p>
        </w:tc>
        <w:tc>
          <w:tcPr>
            <w:tcW w:w="1133" w:type="dxa"/>
            <w:vAlign w:val="center"/>
          </w:tcPr>
          <w:p w14:paraId="5DBE1F10" w14:textId="7FD4E2E5" w:rsidR="00524179" w:rsidRDefault="00524179" w:rsidP="00C57CC3">
            <w:r>
              <w:t>4</w:t>
            </w:r>
          </w:p>
        </w:tc>
        <w:tc>
          <w:tcPr>
            <w:tcW w:w="1885" w:type="dxa"/>
            <w:tcBorders>
              <w:right w:val="single" w:sz="8" w:space="0" w:color="0D0D0D" w:themeColor="text1" w:themeTint="F2"/>
            </w:tcBorders>
            <w:vAlign w:val="center"/>
          </w:tcPr>
          <w:p w14:paraId="61BA80C7" w14:textId="40677FAA" w:rsidR="00524179" w:rsidRDefault="00524179" w:rsidP="00C57CC3">
            <w:r>
              <w:t>Hamada et al., 1999</w:t>
            </w:r>
          </w:p>
        </w:tc>
      </w:tr>
      <w:tr w:rsidR="00524179" w14:paraId="06906682" w14:textId="77777777" w:rsidTr="00B2371F">
        <w:trPr>
          <w:trHeight w:val="121"/>
        </w:trPr>
        <w:tc>
          <w:tcPr>
            <w:tcW w:w="1506" w:type="dxa"/>
            <w:tcBorders>
              <w:left w:val="single" w:sz="8" w:space="0" w:color="0D0D0D" w:themeColor="text1" w:themeTint="F2"/>
              <w:bottom w:val="single" w:sz="8" w:space="0" w:color="0D0D0D" w:themeColor="text1" w:themeTint="F2"/>
            </w:tcBorders>
            <w:vAlign w:val="center"/>
          </w:tcPr>
          <w:p w14:paraId="3C7315BB" w14:textId="6C35C9BE" w:rsidR="00524179" w:rsidRDefault="00524179" w:rsidP="00C57CC3">
            <w:r>
              <w:t>California</w:t>
            </w:r>
          </w:p>
        </w:tc>
        <w:tc>
          <w:tcPr>
            <w:tcW w:w="919" w:type="dxa"/>
            <w:tcBorders>
              <w:bottom w:val="single" w:sz="8" w:space="0" w:color="0D0D0D" w:themeColor="text1" w:themeTint="F2"/>
            </w:tcBorders>
            <w:vAlign w:val="center"/>
          </w:tcPr>
          <w:p w14:paraId="26156BCB" w14:textId="608C92F7" w:rsidR="00524179" w:rsidRDefault="00524179" w:rsidP="00C57CC3">
            <w:r>
              <w:t>1997</w:t>
            </w:r>
          </w:p>
        </w:tc>
        <w:tc>
          <w:tcPr>
            <w:tcW w:w="1980" w:type="dxa"/>
            <w:tcBorders>
              <w:bottom w:val="single" w:sz="8" w:space="0" w:color="0D0D0D" w:themeColor="text1" w:themeTint="F2"/>
            </w:tcBorders>
            <w:vAlign w:val="center"/>
          </w:tcPr>
          <w:p w14:paraId="1ED521D1" w14:textId="51B10540" w:rsidR="00524179" w:rsidRPr="00524179" w:rsidRDefault="00524179" w:rsidP="00C57CC3">
            <w:pPr>
              <w:rPr>
                <w:i/>
                <w:iCs/>
              </w:rPr>
            </w:pPr>
            <w:r>
              <w:rPr>
                <w:i/>
                <w:iCs/>
              </w:rPr>
              <w:t>Vibrio cholerae</w:t>
            </w:r>
          </w:p>
        </w:tc>
        <w:tc>
          <w:tcPr>
            <w:tcW w:w="1927" w:type="dxa"/>
            <w:tcBorders>
              <w:bottom w:val="single" w:sz="8" w:space="0" w:color="0D0D0D" w:themeColor="text1" w:themeTint="F2"/>
            </w:tcBorders>
            <w:vAlign w:val="center"/>
          </w:tcPr>
          <w:p w14:paraId="717F04F2" w14:textId="1060C911" w:rsidR="00524179" w:rsidRDefault="00524179" w:rsidP="00C57CC3">
            <w:r>
              <w:t xml:space="preserve">Ogo / Raw </w:t>
            </w:r>
            <w:r w:rsidR="00C57CC3">
              <w:t>S</w:t>
            </w:r>
            <w:r>
              <w:t>eaweed</w:t>
            </w:r>
          </w:p>
        </w:tc>
        <w:tc>
          <w:tcPr>
            <w:tcW w:w="1133" w:type="dxa"/>
            <w:tcBorders>
              <w:bottom w:val="single" w:sz="8" w:space="0" w:color="0D0D0D" w:themeColor="text1" w:themeTint="F2"/>
            </w:tcBorders>
            <w:vAlign w:val="center"/>
          </w:tcPr>
          <w:p w14:paraId="30EDB6B2" w14:textId="790DE490" w:rsidR="00524179" w:rsidRDefault="00524179" w:rsidP="00C57CC3">
            <w:r>
              <w:t>1</w:t>
            </w:r>
          </w:p>
        </w:tc>
        <w:tc>
          <w:tcPr>
            <w:tcW w:w="1885" w:type="dxa"/>
            <w:tcBorders>
              <w:bottom w:val="single" w:sz="8" w:space="0" w:color="0D0D0D" w:themeColor="text1" w:themeTint="F2"/>
              <w:right w:val="single" w:sz="8" w:space="0" w:color="0D0D0D" w:themeColor="text1" w:themeTint="F2"/>
            </w:tcBorders>
            <w:vAlign w:val="center"/>
          </w:tcPr>
          <w:p w14:paraId="2A868B07" w14:textId="57705009" w:rsidR="00524179" w:rsidRDefault="00524179" w:rsidP="00C57CC3">
            <w:r>
              <w:t>Vugia et al., 1997</w:t>
            </w:r>
          </w:p>
        </w:tc>
      </w:tr>
    </w:tbl>
    <w:p w14:paraId="772D693A" w14:textId="787FC8A3" w:rsidR="00524179" w:rsidRDefault="00524179" w:rsidP="00CD65E4">
      <w:pPr>
        <w:spacing w:before="240"/>
      </w:pPr>
      <w:r w:rsidRPr="00524179">
        <w:lastRenderedPageBreak/>
        <w:t>Microorganisms</w:t>
      </w:r>
      <w:r w:rsidR="00CD65E4">
        <w:t>—</w:t>
      </w:r>
      <w:r w:rsidRPr="00524179">
        <w:t>including potential human pathogens</w:t>
      </w:r>
      <w:r w:rsidR="00CD65E4">
        <w:t>—</w:t>
      </w:r>
      <w:r w:rsidRPr="00524179">
        <w:t>present in the water column can attach to the surfaces of seaweeds (</w:t>
      </w:r>
      <w:r w:rsidR="00CD65E4">
        <w:t xml:space="preserve">Barberi et al, 2020; </w:t>
      </w:r>
      <w:r w:rsidRPr="00524179">
        <w:t>Geoke et al., 2010; Kreissig et al., 2023). As a result, pathogens present in the harvest area may pose a biological hazard when seaweed is intended to be consumed raw without any additional steps to control or eliminate them. Understanding the potential microbial hazards in the growing or harvest areas is essential both to prevent foodborne illness and to support the validation and implementation of processing steps that can eliminate or reduce these hazards to safe levels.</w:t>
      </w:r>
    </w:p>
    <w:p w14:paraId="2D22ED73" w14:textId="77777777" w:rsidR="00CD65E4" w:rsidRDefault="00CD65E4" w:rsidP="00846B8F">
      <w:pPr>
        <w:pStyle w:val="Heading2"/>
        <w:numPr>
          <w:ilvl w:val="1"/>
          <w:numId w:val="132"/>
        </w:numPr>
      </w:pPr>
      <w:bookmarkStart w:id="96" w:name="_Toc208503184"/>
      <w:r>
        <w:t>Biological Hazards in Freshly Harvested Seaweeds</w:t>
      </w:r>
      <w:bookmarkEnd w:id="96"/>
    </w:p>
    <w:p w14:paraId="2FFC2853" w14:textId="05B12C21" w:rsidR="00CD65E4" w:rsidRDefault="00CD65E4" w:rsidP="004A0EDE">
      <w:pPr>
        <w:spacing w:before="240"/>
      </w:pPr>
      <w:r>
        <w:t xml:space="preserve">Certain harmful microorganisms have been found on freshly harvested seaweeds. These include types of bacteria such as Shiga toxin-producing </w:t>
      </w:r>
      <w:r w:rsidRPr="00CD65E4">
        <w:rPr>
          <w:i/>
          <w:iCs/>
        </w:rPr>
        <w:t>Escherichia coli</w:t>
      </w:r>
      <w:r>
        <w:t xml:space="preserve"> (STEC), </w:t>
      </w:r>
      <w:r w:rsidRPr="00CD65E4">
        <w:rPr>
          <w:i/>
          <w:iCs/>
        </w:rPr>
        <w:t>Salmonella enterica</w:t>
      </w:r>
      <w:r>
        <w:t xml:space="preserve">, various </w:t>
      </w:r>
      <w:r w:rsidRPr="00CD65E4">
        <w:rPr>
          <w:i/>
          <w:iCs/>
        </w:rPr>
        <w:t>Vibrio</w:t>
      </w:r>
      <w:r>
        <w:t xml:space="preserve"> species, and endospore-forming bacteria like </w:t>
      </w:r>
      <w:r w:rsidRPr="00CD65E4">
        <w:rPr>
          <w:i/>
          <w:iCs/>
        </w:rPr>
        <w:t>Bacillus cereus</w:t>
      </w:r>
      <w:r>
        <w:t xml:space="preserve"> (see Appendix </w:t>
      </w:r>
      <w:r w:rsidR="002D13BE">
        <w:t>A</w:t>
      </w:r>
      <w:r>
        <w:t>, Table A-1). In addition to bacteria, Norovirus has also been detected on freshly harvested seaweed. Heat-tolerant fungi, including some yeasts and molds, are rarely found on seaweed (Gupta et al., 2010; Moore et al., 2002; Pan-utai et al., 2023), and no human illnesses linked to fungal infections from eating raw seaweed have been reported (Benedict et al., 2016).</w:t>
      </w:r>
    </w:p>
    <w:p w14:paraId="77A3BFEE" w14:textId="77777777" w:rsidR="00CD65E4" w:rsidRDefault="00CD65E4" w:rsidP="00CD65E4">
      <w:r>
        <w:t xml:space="preserve">Some bacteria, especially </w:t>
      </w:r>
      <w:r w:rsidRPr="00CD65E4">
        <w:rPr>
          <w:i/>
          <w:iCs/>
        </w:rPr>
        <w:t>Vibrio</w:t>
      </w:r>
      <w:r>
        <w:t xml:space="preserve"> species, naturally live in ocean environments and may be present in seaweed simply due to the conditions at the harvest site. In contrast, other bacteria and viruses are usually linked to contamination from sewage or wastewater near where the seaweed is collected. For this reason, the cleanliness and safety of the water where seaweed is harvested are critically important to reduce the risk of these biological hazards. This topic is discussed in more detail in a later section.</w:t>
      </w:r>
    </w:p>
    <w:p w14:paraId="60070E1C" w14:textId="1ACB9A46" w:rsidR="00CD65E4" w:rsidRDefault="00CD65E4" w:rsidP="00CD65E4">
      <w:r>
        <w:t xml:space="preserve">Other well-known foodborne pathogens—such as </w:t>
      </w:r>
      <w:r w:rsidRPr="00CD65E4">
        <w:rPr>
          <w:i/>
          <w:iCs/>
        </w:rPr>
        <w:t>Clostridium botulinum</w:t>
      </w:r>
      <w:r>
        <w:t xml:space="preserve">, </w:t>
      </w:r>
      <w:r w:rsidRPr="00CD65E4">
        <w:rPr>
          <w:i/>
          <w:iCs/>
        </w:rPr>
        <w:t>Staphylococcus aureus</w:t>
      </w:r>
      <w:r>
        <w:t xml:space="preserve">, </w:t>
      </w:r>
      <w:r w:rsidRPr="00CD65E4">
        <w:rPr>
          <w:i/>
          <w:iCs/>
        </w:rPr>
        <w:t>Listeria monocytogenes</w:t>
      </w:r>
      <w:r>
        <w:t xml:space="preserve">, and Hepatitis A virus—are not commonly found on raw seaweed. However, they can become a concern if seaweed is contaminated during processing or manufacturing. These types of risks will be covered in </w:t>
      </w:r>
      <w:hyperlink w:anchor="_Pathogen_Contamination" w:history="1">
        <w:r w:rsidRPr="002033A6">
          <w:rPr>
            <w:rStyle w:val="Hyperlink"/>
          </w:rPr>
          <w:t>Chapter 11</w:t>
        </w:r>
      </w:hyperlink>
      <w:r>
        <w:t>.</w:t>
      </w:r>
    </w:p>
    <w:p w14:paraId="09B543BB" w14:textId="77777777" w:rsidR="00CD65E4" w:rsidRPr="00CD65E4" w:rsidRDefault="00CD65E4" w:rsidP="00691E23">
      <w:pPr>
        <w:pStyle w:val="Heading3"/>
      </w:pPr>
      <w:bookmarkStart w:id="97" w:name="_Toc208503185"/>
      <w:r w:rsidRPr="00CD65E4">
        <w:t>Vibrio</w:t>
      </w:r>
      <w:bookmarkEnd w:id="97"/>
    </w:p>
    <w:p w14:paraId="09F42492" w14:textId="77777777" w:rsidR="00CD65E4" w:rsidRPr="00CD65E4" w:rsidRDefault="00CD65E4" w:rsidP="00691E23">
      <w:pPr>
        <w:pStyle w:val="Heading4"/>
      </w:pPr>
      <w:r w:rsidRPr="00CD65E4">
        <w:t>Vibrio as a Naturally Occurring Hazard</w:t>
      </w:r>
    </w:p>
    <w:p w14:paraId="762B9B06" w14:textId="073EFCBD" w:rsidR="00CD65E4" w:rsidRDefault="00CD65E4" w:rsidP="004A0EDE">
      <w:pPr>
        <w:spacing w:before="240"/>
      </w:pPr>
      <w:r w:rsidRPr="00CD65E4">
        <w:rPr>
          <w:i/>
          <w:iCs/>
        </w:rPr>
        <w:t>Vibrio</w:t>
      </w:r>
      <w:r>
        <w:t xml:space="preserve"> bacteria are naturally found in coastal waters and are commonly detected on seaweeds (Hollants et al., 2013). These bacteria have been isolated from seaweeds collected in various ocean regions and across both wild and farmed (aquaculture) settings (see Appendix </w:t>
      </w:r>
      <w:r w:rsidR="002D13BE">
        <w:t>A</w:t>
      </w:r>
      <w:r>
        <w:t xml:space="preserve">, Table A-1). Of particular concern are certain species of Vibrio that can cause illness in humans, including </w:t>
      </w:r>
      <w:r w:rsidRPr="00CD65E4">
        <w:rPr>
          <w:i/>
          <w:iCs/>
        </w:rPr>
        <w:t>Vibrio cholerae</w:t>
      </w:r>
      <w:r>
        <w:t xml:space="preserve">, </w:t>
      </w:r>
      <w:r w:rsidRPr="00CD65E4">
        <w:rPr>
          <w:i/>
          <w:iCs/>
        </w:rPr>
        <w:t>Vibrio parahaemolyticus</w:t>
      </w:r>
      <w:r>
        <w:t xml:space="preserve">, </w:t>
      </w:r>
      <w:r w:rsidRPr="00CD65E4">
        <w:rPr>
          <w:i/>
          <w:iCs/>
        </w:rPr>
        <w:t>Vibrio vulnificus</w:t>
      </w:r>
      <w:r>
        <w:t xml:space="preserve">, and </w:t>
      </w:r>
      <w:r w:rsidRPr="00CD65E4">
        <w:rPr>
          <w:i/>
          <w:iCs/>
        </w:rPr>
        <w:t>Vibrio alginolyticus</w:t>
      </w:r>
      <w:r>
        <w:t>. However, not all strains of these species are harmful. Testing for potentially harmful (pathogenic) strains typically involves screening for the presence of specific toxin genes.</w:t>
      </w:r>
    </w:p>
    <w:p w14:paraId="1E7EDC59" w14:textId="657BE3B2" w:rsidR="00CD65E4" w:rsidRDefault="00CD65E4" w:rsidP="00CD65E4">
      <w:r>
        <w:lastRenderedPageBreak/>
        <w:t xml:space="preserve">The levels of pathogenic </w:t>
      </w:r>
      <w:r w:rsidRPr="00CD65E4">
        <w:rPr>
          <w:i/>
          <w:iCs/>
        </w:rPr>
        <w:t>Vibrio</w:t>
      </w:r>
      <w:r>
        <w:t xml:space="preserve"> in seawater tend to increase as water temperatures rise (Haley et al., 2012; Mahmud et al., 2007; Mahmud et al., 2008). As a result, the time of year when seaweed is harvested can influence the risk posed by these bacteria. Warmer months may present a higher risk. Additionally, long-term ocean warming driven by climate change is contributing to the spread of pathogenic </w:t>
      </w:r>
      <w:r w:rsidRPr="00CD65E4">
        <w:rPr>
          <w:i/>
          <w:iCs/>
        </w:rPr>
        <w:t>Vibrio</w:t>
      </w:r>
      <w:r>
        <w:t xml:space="preserve"> into new areas, including regions farther from the equator (Vezzulli et al., 2013). These environmental changes have been linked to an overall rise in </w:t>
      </w:r>
      <w:r w:rsidRPr="00CD65E4">
        <w:rPr>
          <w:i/>
          <w:iCs/>
        </w:rPr>
        <w:t>Vibrio</w:t>
      </w:r>
      <w:r>
        <w:t>-related infections from seafood consumption (Baker-Austin et al., 2013; Martinez-Urtaza et al., 2010).</w:t>
      </w:r>
    </w:p>
    <w:p w14:paraId="03D8016E" w14:textId="7DF6A1F2" w:rsidR="00CD65E4" w:rsidRDefault="00CD65E4" w:rsidP="00CD65E4">
      <w:r w:rsidRPr="00A06A1E">
        <w:rPr>
          <w:b/>
          <w:bCs/>
          <w:i/>
          <w:iCs/>
        </w:rPr>
        <w:t>Vibrio cholerae</w:t>
      </w:r>
      <w:r>
        <w:t xml:space="preserve"> is the bacterium responsible for causing cholera, an illness that can lead to severe, watery diarrhea, often described as mucus-filled. While </w:t>
      </w:r>
      <w:r w:rsidRPr="00A06A1E">
        <w:rPr>
          <w:i/>
          <w:iCs/>
        </w:rPr>
        <w:t>V</w:t>
      </w:r>
      <w:r w:rsidR="00A06A1E">
        <w:rPr>
          <w:i/>
          <w:iCs/>
        </w:rPr>
        <w:t>ibrio</w:t>
      </w:r>
      <w:r w:rsidRPr="00A06A1E">
        <w:rPr>
          <w:i/>
          <w:iCs/>
        </w:rPr>
        <w:t xml:space="preserve"> cholerae</w:t>
      </w:r>
      <w:r>
        <w:t xml:space="preserve"> has the potential to cause serious disease, only one outbreak of cholera has ever been linked to the consumption of raw seaweed (Vugia et al., 1997).</w:t>
      </w:r>
    </w:p>
    <w:p w14:paraId="10BB7AD5" w14:textId="5529702E" w:rsidR="00CD65E4" w:rsidRDefault="00CD65E4" w:rsidP="00CD65E4">
      <w:r>
        <w:t xml:space="preserve">Laboratory studies have shown that </w:t>
      </w:r>
      <w:r w:rsidRPr="00A06A1E">
        <w:rPr>
          <w:i/>
          <w:iCs/>
        </w:rPr>
        <w:t>V</w:t>
      </w:r>
      <w:r w:rsidR="00A06A1E" w:rsidRPr="00A06A1E">
        <w:rPr>
          <w:i/>
          <w:iCs/>
        </w:rPr>
        <w:t>ibrio</w:t>
      </w:r>
      <w:r w:rsidRPr="00A06A1E">
        <w:rPr>
          <w:i/>
          <w:iCs/>
        </w:rPr>
        <w:t xml:space="preserve"> cholerae</w:t>
      </w:r>
      <w:r>
        <w:t xml:space="preserve"> can attach to a wide range of seaweed species (</w:t>
      </w:r>
      <w:r w:rsidR="00A06A1E">
        <w:t xml:space="preserve">Hood &amp; Winter, 1997; </w:t>
      </w:r>
      <w:r>
        <w:t xml:space="preserve">Islam et al., 1988), and it has been found on wild seaweeds such as </w:t>
      </w:r>
      <w:r w:rsidRPr="00A06A1E">
        <w:rPr>
          <w:i/>
          <w:iCs/>
        </w:rPr>
        <w:t>Ascophyllum nodosum</w:t>
      </w:r>
      <w:r>
        <w:t xml:space="preserve">, </w:t>
      </w:r>
      <w:r w:rsidRPr="00A06A1E">
        <w:rPr>
          <w:i/>
          <w:iCs/>
        </w:rPr>
        <w:t>Gracilaria corticata</w:t>
      </w:r>
      <w:r>
        <w:t xml:space="preserve">, </w:t>
      </w:r>
      <w:r w:rsidRPr="00A06A1E">
        <w:rPr>
          <w:i/>
          <w:iCs/>
        </w:rPr>
        <w:t xml:space="preserve">Sargassum </w:t>
      </w:r>
      <w:r w:rsidR="006D17D6" w:rsidRPr="006D17D6">
        <w:rPr>
          <w:i/>
          <w:iCs/>
        </w:rPr>
        <w:t>turbinarioide</w:t>
      </w:r>
      <w:r w:rsidR="006D17D6">
        <w:rPr>
          <w:i/>
          <w:iCs/>
        </w:rPr>
        <w:t>s</w:t>
      </w:r>
      <w:r>
        <w:t xml:space="preserve">, and </w:t>
      </w:r>
      <w:r w:rsidRPr="00A06A1E">
        <w:rPr>
          <w:i/>
          <w:iCs/>
        </w:rPr>
        <w:t>Ulva lactuca</w:t>
      </w:r>
      <w:r>
        <w:t xml:space="preserve"> (see Appendix </w:t>
      </w:r>
      <w:r w:rsidR="002D13BE">
        <w:t>A</w:t>
      </w:r>
      <w:r>
        <w:t>, Table A-1). Although the overall risk of cholera from seaweed consumption appears to be low, the ability of this pathogen to adhere to seaweed surfaces highlights the importance of monitoring harvest area water quality and handling practices.</w:t>
      </w:r>
    </w:p>
    <w:p w14:paraId="0363F4C1" w14:textId="77777777" w:rsidR="00CD65E4" w:rsidRDefault="00CD65E4" w:rsidP="00CD65E4">
      <w:r w:rsidRPr="00A06A1E">
        <w:rPr>
          <w:b/>
          <w:bCs/>
          <w:i/>
          <w:iCs/>
        </w:rPr>
        <w:t>Vibrio parahaemolyticu</w:t>
      </w:r>
      <w:r w:rsidRPr="00A06A1E">
        <w:rPr>
          <w:b/>
          <w:bCs/>
        </w:rPr>
        <w:t>s</w:t>
      </w:r>
      <w:r>
        <w:t xml:space="preserve"> is a bacterial species known to cause gastroenteritis, an illness characterized by symptoms such as vomiting and diarrhea. Most foodborne outbreaks and individual cases linked to this bacterium have been associated with the consumption of raw or undercooked seafood, particularly crabs, shrimp, scallops, oysters, and clams (Su &amp; Liu, 2007).</w:t>
      </w:r>
    </w:p>
    <w:p w14:paraId="2CB14C82" w14:textId="21961F4C" w:rsidR="00CD65E4" w:rsidRDefault="00CD65E4" w:rsidP="00CD65E4">
      <w:r>
        <w:t xml:space="preserve">Among the </w:t>
      </w:r>
      <w:r w:rsidRPr="00A06A1E">
        <w:rPr>
          <w:i/>
          <w:iCs/>
        </w:rPr>
        <w:t>Vibrio</w:t>
      </w:r>
      <w:r>
        <w:t xml:space="preserve"> species, </w:t>
      </w:r>
      <w:r w:rsidRPr="00A06A1E">
        <w:rPr>
          <w:i/>
          <w:iCs/>
        </w:rPr>
        <w:t>V</w:t>
      </w:r>
      <w:r w:rsidR="00A06A1E">
        <w:rPr>
          <w:i/>
          <w:iCs/>
        </w:rPr>
        <w:t>ibrio</w:t>
      </w:r>
      <w:r w:rsidRPr="00A06A1E">
        <w:rPr>
          <w:i/>
          <w:iCs/>
        </w:rPr>
        <w:t xml:space="preserve"> </w:t>
      </w:r>
      <w:r w:rsidRPr="00FF2014">
        <w:rPr>
          <w:i/>
          <w:iCs/>
        </w:rPr>
        <w:t>parahaemolyticus</w:t>
      </w:r>
      <w:r w:rsidRPr="00FF2014">
        <w:t xml:space="preserve"> is one of the most frequently detected on seaweeds. It has been found on a wide range of species, including </w:t>
      </w:r>
      <w:r w:rsidRPr="00FF2014">
        <w:rPr>
          <w:i/>
          <w:iCs/>
        </w:rPr>
        <w:t>Caulerpa lentillifera</w:t>
      </w:r>
      <w:r w:rsidRPr="00FF2014">
        <w:t xml:space="preserve">, </w:t>
      </w:r>
      <w:r w:rsidRPr="00FF2014">
        <w:rPr>
          <w:i/>
          <w:iCs/>
        </w:rPr>
        <w:t>Gracilaria vermiculophylla</w:t>
      </w:r>
      <w:r w:rsidRPr="00FF2014">
        <w:t xml:space="preserve">, </w:t>
      </w:r>
      <w:r w:rsidRPr="00FF2014">
        <w:rPr>
          <w:i/>
          <w:iCs/>
        </w:rPr>
        <w:t>Gracilariopsis heteroclada</w:t>
      </w:r>
      <w:r w:rsidRPr="00FF2014">
        <w:t xml:space="preserve">, </w:t>
      </w:r>
      <w:r w:rsidRPr="00FF2014">
        <w:rPr>
          <w:i/>
          <w:iCs/>
        </w:rPr>
        <w:t>Kappaphycus striatus</w:t>
      </w:r>
      <w:r w:rsidRPr="00FF2014">
        <w:t xml:space="preserve">, </w:t>
      </w:r>
      <w:r w:rsidRPr="00FF2014">
        <w:rPr>
          <w:i/>
          <w:iCs/>
        </w:rPr>
        <w:t>Laminaria</w:t>
      </w:r>
      <w:r w:rsidRPr="00FF2014">
        <w:t xml:space="preserve"> species, </w:t>
      </w:r>
      <w:r w:rsidRPr="00FF2014">
        <w:rPr>
          <w:i/>
          <w:iCs/>
        </w:rPr>
        <w:t xml:space="preserve">Porphyra </w:t>
      </w:r>
      <w:r w:rsidRPr="00FF2014">
        <w:t xml:space="preserve">species., </w:t>
      </w:r>
      <w:r w:rsidRPr="00FF2014">
        <w:rPr>
          <w:i/>
          <w:iCs/>
        </w:rPr>
        <w:t>Saccharina latissima</w:t>
      </w:r>
      <w:r w:rsidRPr="00FF2014">
        <w:t xml:space="preserve">, </w:t>
      </w:r>
      <w:r w:rsidRPr="00FF2014">
        <w:rPr>
          <w:i/>
          <w:iCs/>
        </w:rPr>
        <w:t>Sargassum</w:t>
      </w:r>
      <w:r w:rsidRPr="00FF2014">
        <w:t xml:space="preserve"> species, </w:t>
      </w:r>
      <w:r w:rsidRPr="00FF2014">
        <w:rPr>
          <w:i/>
          <w:iCs/>
        </w:rPr>
        <w:t>Ulva lactuca</w:t>
      </w:r>
      <w:r w:rsidRPr="00FF2014">
        <w:t xml:space="preserve">, </w:t>
      </w:r>
      <w:r w:rsidRPr="00FF2014">
        <w:rPr>
          <w:i/>
          <w:iCs/>
        </w:rPr>
        <w:t>Ulva reticulata</w:t>
      </w:r>
      <w:r w:rsidRPr="00FF2014">
        <w:t xml:space="preserve">, and unidentified species of </w:t>
      </w:r>
      <w:r w:rsidRPr="00FF2014">
        <w:rPr>
          <w:i/>
          <w:iCs/>
        </w:rPr>
        <w:t>Fucus</w:t>
      </w:r>
      <w:r w:rsidRPr="00FF2014">
        <w:t xml:space="preserve"> and </w:t>
      </w:r>
      <w:r w:rsidRPr="00FF2014">
        <w:rPr>
          <w:i/>
          <w:iCs/>
        </w:rPr>
        <w:t>Ulva</w:t>
      </w:r>
      <w:r w:rsidRPr="00FF2014">
        <w:t xml:space="preserve"> (see Appendix </w:t>
      </w:r>
      <w:r w:rsidR="002D13BE">
        <w:t>A</w:t>
      </w:r>
      <w:r w:rsidRPr="00FF2014">
        <w:t>, Table A-1).</w:t>
      </w:r>
    </w:p>
    <w:p w14:paraId="28D0DA24" w14:textId="3CB798BB" w:rsidR="00CD65E4" w:rsidRDefault="00CD65E4" w:rsidP="00CD65E4">
      <w:r>
        <w:t xml:space="preserve">There is ongoing scientific debate about whether </w:t>
      </w:r>
      <w:r w:rsidRPr="00A06A1E">
        <w:rPr>
          <w:i/>
          <w:iCs/>
        </w:rPr>
        <w:t>Vibrio parahaemolyticus</w:t>
      </w:r>
      <w:r>
        <w:t xml:space="preserve"> can establish itself as a long-term resident on seaweed surfaces. While some laboratory studies have shown that the number of bacteria decreases significantly after being exposed to seaweed (Pang et al., 2006; Liu &amp; Pang, 2010), other studies have found </w:t>
      </w:r>
      <w:r w:rsidRPr="00A06A1E">
        <w:rPr>
          <w:i/>
          <w:iCs/>
        </w:rPr>
        <w:t>Vibrio parahaemolyticus</w:t>
      </w:r>
      <w:r>
        <w:t xml:space="preserve"> remains present on seaweed across multiple seasons—or even year-round—and often in higher concentrations than in the surrounding seawater. This suggests that, under certain conditions, seaweed may serve as a stable habitat for the bacterium (</w:t>
      </w:r>
      <w:r w:rsidR="00A06A1E" w:rsidRPr="00A06A1E">
        <w:t>Barberi et al., 2020</w:t>
      </w:r>
      <w:r w:rsidR="00A06A1E">
        <w:t xml:space="preserve">; </w:t>
      </w:r>
      <w:r>
        <w:t>Mahmud et al., 2006; Mahmud et al., 2007).</w:t>
      </w:r>
    </w:p>
    <w:p w14:paraId="6F4D526B" w14:textId="77777777" w:rsidR="00CD65E4" w:rsidRDefault="00CD65E4" w:rsidP="00CD65E4">
      <w:r w:rsidRPr="00A06A1E">
        <w:rPr>
          <w:b/>
          <w:bCs/>
          <w:i/>
          <w:iCs/>
        </w:rPr>
        <w:lastRenderedPageBreak/>
        <w:t>Vibrio vulnificus</w:t>
      </w:r>
      <w:r>
        <w:t xml:space="preserve"> is a bacterium that can cause serious and sometimes life-threatening infections in humans. These include gastroenteritis (inflammation of the stomach and intestines), bloodstream infections (septicemia), necrotizing fasciitis (a severe soft tissue infection sometimes referred to as “flesh-eating disease”), and bone infections (osteomyelitis). A notable example of the health risks posed by </w:t>
      </w:r>
      <w:r w:rsidRPr="00A06A1E">
        <w:rPr>
          <w:i/>
          <w:iCs/>
        </w:rPr>
        <w:t>Vibrio vulnificus</w:t>
      </w:r>
      <w:r>
        <w:t xml:space="preserve"> occurred in 2005 following Hurricane Katrina, when floodwaters led to dozens of </w:t>
      </w:r>
      <w:r w:rsidRPr="00A06A1E">
        <w:rPr>
          <w:i/>
          <w:iCs/>
        </w:rPr>
        <w:t>Vibrio</w:t>
      </w:r>
      <w:r>
        <w:t xml:space="preserve">-related illnesses, including five deaths—most of which were attributed to </w:t>
      </w:r>
      <w:r w:rsidRPr="00A06A1E">
        <w:rPr>
          <w:i/>
          <w:iCs/>
        </w:rPr>
        <w:t>Vibrio vulnificus</w:t>
      </w:r>
      <w:r>
        <w:t xml:space="preserve"> (CDC, 2005).</w:t>
      </w:r>
    </w:p>
    <w:p w14:paraId="045FCDAF" w14:textId="3817EDA5" w:rsidR="00CD65E4" w:rsidRDefault="00CD65E4" w:rsidP="00CD65E4">
      <w:r w:rsidRPr="00A06A1E">
        <w:rPr>
          <w:i/>
          <w:iCs/>
        </w:rPr>
        <w:t>Vibrio vulnificus</w:t>
      </w:r>
      <w:r>
        <w:t xml:space="preserve"> is commonly found in coastal waters, where it may live freely in the water column or be associated with plankton, fish, and shellfish such as oysters, clams, mussels, and scallops (Oliver et al., 2006). While no human infections have been directly linked to the consumption of seaweed, the bacterium has been found in high numbers on several seaweed species, including </w:t>
      </w:r>
      <w:r w:rsidRPr="00A06A1E">
        <w:rPr>
          <w:i/>
          <w:iCs/>
        </w:rPr>
        <w:t>Fucus</w:t>
      </w:r>
      <w:r>
        <w:t xml:space="preserve"> sp</w:t>
      </w:r>
      <w:r w:rsidR="00A06A1E">
        <w:t>ecies</w:t>
      </w:r>
      <w:r>
        <w:t xml:space="preserve">, </w:t>
      </w:r>
      <w:r w:rsidRPr="00A06A1E">
        <w:rPr>
          <w:i/>
          <w:iCs/>
        </w:rPr>
        <w:t>Gracilaria vermiculophylla</w:t>
      </w:r>
      <w:r>
        <w:t xml:space="preserve">, </w:t>
      </w:r>
      <w:r w:rsidRPr="00A06A1E">
        <w:rPr>
          <w:i/>
          <w:iCs/>
        </w:rPr>
        <w:t>Laminaria</w:t>
      </w:r>
      <w:r>
        <w:t xml:space="preserve"> species, </w:t>
      </w:r>
      <w:r w:rsidRPr="00A06A1E">
        <w:rPr>
          <w:i/>
          <w:iCs/>
        </w:rPr>
        <w:t>Porphyra</w:t>
      </w:r>
      <w:r>
        <w:t xml:space="preserve"> species and </w:t>
      </w:r>
      <w:r w:rsidRPr="00A06A1E">
        <w:rPr>
          <w:i/>
          <w:iCs/>
        </w:rPr>
        <w:t>Undaria</w:t>
      </w:r>
      <w:r>
        <w:t xml:space="preserve"> species (see Appendix </w:t>
      </w:r>
      <w:r w:rsidR="002D13BE">
        <w:t>A</w:t>
      </w:r>
      <w:r>
        <w:t>, Table A-1).</w:t>
      </w:r>
    </w:p>
    <w:p w14:paraId="6A625AF5" w14:textId="77777777" w:rsidR="00CD65E4" w:rsidRDefault="00CD65E4" w:rsidP="00CD65E4">
      <w:r>
        <w:t xml:space="preserve">Like </w:t>
      </w:r>
      <w:r w:rsidRPr="00A06A1E">
        <w:rPr>
          <w:i/>
          <w:iCs/>
        </w:rPr>
        <w:t>Vibrio parahaemolyticus</w:t>
      </w:r>
      <w:r>
        <w:t xml:space="preserve">, </w:t>
      </w:r>
      <w:r w:rsidRPr="00A06A1E">
        <w:rPr>
          <w:i/>
          <w:iCs/>
        </w:rPr>
        <w:t>Vibrio vulnificus</w:t>
      </w:r>
      <w:r>
        <w:t xml:space="preserve"> shows a strong seasonal pattern, with higher levels detected during warmer months. This seasonal trend suggests that seaweed harvested in warmer water temperatures may carry a greater risk of contamination with this pathogen (Mahmud et al., 2008).</w:t>
      </w:r>
    </w:p>
    <w:p w14:paraId="5A486589" w14:textId="101F36C2" w:rsidR="00CD65E4" w:rsidRDefault="00CD65E4" w:rsidP="00CD65E4">
      <w:r>
        <w:t>Vibrio alginolyticus is a marine bacterium that can cause infections in humans, primarily by entering through cuts or wounds in the skin. While it most commonly leads to soft tissue infections, it can also cause gastrointestinal illness when ingested (Mustapha et al., 2013</w:t>
      </w:r>
      <w:r w:rsidR="00A06A1E">
        <w:t xml:space="preserve">; </w:t>
      </w:r>
      <w:r w:rsidR="00A06A1E" w:rsidRPr="00A06A1E">
        <w:t>Reilly et al., 2011</w:t>
      </w:r>
      <w:r>
        <w:t>).</w:t>
      </w:r>
    </w:p>
    <w:p w14:paraId="266C0E44" w14:textId="2DDD6E45" w:rsidR="00CD65E4" w:rsidRDefault="00CD65E4" w:rsidP="00CD65E4">
      <w:r>
        <w:t xml:space="preserve">This species is frequently found in seawater and is considered one of the most abundant potentially harmful Vibrio species in marine environments (Ortigosa et al., 1989). It has also been detected on a variety of seaweed species, including </w:t>
      </w:r>
      <w:r w:rsidRPr="00A06A1E">
        <w:rPr>
          <w:i/>
          <w:iCs/>
        </w:rPr>
        <w:t>Alaria esculenta</w:t>
      </w:r>
      <w:r>
        <w:t xml:space="preserve">, </w:t>
      </w:r>
      <w:r w:rsidRPr="00A06A1E">
        <w:rPr>
          <w:i/>
          <w:iCs/>
        </w:rPr>
        <w:t>Caulerpa racemosa</w:t>
      </w:r>
      <w:r>
        <w:t xml:space="preserve">, </w:t>
      </w:r>
      <w:r w:rsidRPr="00A06A1E">
        <w:rPr>
          <w:i/>
          <w:iCs/>
        </w:rPr>
        <w:t>Gracilariopsis heteroclada</w:t>
      </w:r>
      <w:r>
        <w:t xml:space="preserve">, </w:t>
      </w:r>
      <w:r w:rsidRPr="00A06A1E">
        <w:rPr>
          <w:i/>
          <w:iCs/>
        </w:rPr>
        <w:t>Kappaphycus striatus</w:t>
      </w:r>
      <w:r>
        <w:t xml:space="preserve">, </w:t>
      </w:r>
      <w:r w:rsidRPr="00A06A1E">
        <w:rPr>
          <w:i/>
          <w:iCs/>
        </w:rPr>
        <w:t>Saccharina latissima</w:t>
      </w:r>
      <w:r>
        <w:t xml:space="preserve">, </w:t>
      </w:r>
      <w:r w:rsidRPr="00A06A1E">
        <w:rPr>
          <w:i/>
          <w:iCs/>
        </w:rPr>
        <w:t>Sargassum vulgare</w:t>
      </w:r>
      <w:r>
        <w:t xml:space="preserve">, </w:t>
      </w:r>
      <w:r w:rsidRPr="00A06A1E">
        <w:rPr>
          <w:i/>
          <w:iCs/>
        </w:rPr>
        <w:t>Sargassum</w:t>
      </w:r>
      <w:r>
        <w:t xml:space="preserve"> species, and </w:t>
      </w:r>
      <w:r w:rsidRPr="00A06A1E">
        <w:rPr>
          <w:i/>
          <w:iCs/>
        </w:rPr>
        <w:t>Ulva reticulata</w:t>
      </w:r>
      <w:r>
        <w:t xml:space="preserve"> (see Appendix </w:t>
      </w:r>
      <w:r w:rsidR="002D13BE">
        <w:t>A</w:t>
      </w:r>
      <w:r>
        <w:t xml:space="preserve">, Table A-1). Although infections from </w:t>
      </w:r>
      <w:r w:rsidRPr="00A06A1E">
        <w:rPr>
          <w:i/>
          <w:iCs/>
        </w:rPr>
        <w:t>Vibrio alginolyticus</w:t>
      </w:r>
      <w:r>
        <w:t xml:space="preserve"> are relatively rare, its widespread presence in seawater and on seaweed highlights the importance of proper handling and hygiene during harvest and processing to reduce potential risks.</w:t>
      </w:r>
    </w:p>
    <w:p w14:paraId="1A6C03D9" w14:textId="77777777" w:rsidR="00CD65E4" w:rsidRDefault="00CD65E4" w:rsidP="00691E23">
      <w:pPr>
        <w:pStyle w:val="Heading3"/>
      </w:pPr>
      <w:bookmarkStart w:id="98" w:name="_Toc208503186"/>
      <w:r>
        <w:t>Coliform Bacteria</w:t>
      </w:r>
      <w:bookmarkEnd w:id="98"/>
    </w:p>
    <w:p w14:paraId="3CDC57B3" w14:textId="77777777" w:rsidR="00CD65E4" w:rsidRDefault="00CD65E4" w:rsidP="004A0EDE">
      <w:pPr>
        <w:spacing w:before="240"/>
      </w:pPr>
      <w:r w:rsidRPr="00C45D3A">
        <w:rPr>
          <w:b/>
          <w:bCs/>
        </w:rPr>
        <w:t>Coliform bacteria</w:t>
      </w:r>
      <w:r w:rsidRPr="00C45D3A">
        <w:t xml:space="preserve"> are</w:t>
      </w:r>
      <w:r>
        <w:t xml:space="preserve"> a group within the Enterobacteriaceae family, many of which originate in the intestines of warm-blooded animals, including humans. Because of this, testing for coliform bacteria in water is commonly used to assess whether a water source has been contaminated by sewage or other forms of wastewater.</w:t>
      </w:r>
    </w:p>
    <w:p w14:paraId="6C1D4CE2" w14:textId="77777777" w:rsidR="00CD65E4" w:rsidRDefault="00CD65E4" w:rsidP="00CD65E4">
      <w:r>
        <w:lastRenderedPageBreak/>
        <w:t>There are several types of coliform indicators used in water testing:</w:t>
      </w:r>
    </w:p>
    <w:p w14:paraId="3B1B78A8" w14:textId="77777777" w:rsidR="00CD65E4" w:rsidRDefault="00CD65E4" w:rsidP="00846B8F">
      <w:pPr>
        <w:pStyle w:val="ListParagraph"/>
        <w:numPr>
          <w:ilvl w:val="0"/>
          <w:numId w:val="22"/>
        </w:numPr>
        <w:contextualSpacing w:val="0"/>
      </w:pPr>
      <w:r w:rsidRPr="002F0C05">
        <w:rPr>
          <w:b/>
          <w:bCs/>
        </w:rPr>
        <w:t>Total Coliforms:</w:t>
      </w:r>
      <w:r>
        <w:t xml:space="preserve"> A broad group of bacteria commonly found in the environment, including soil, water, and vegetation. While some may originate from fecal sources, many are harmless and not directly associated with human or animal waste.</w:t>
      </w:r>
    </w:p>
    <w:p w14:paraId="27F096EE" w14:textId="77777777" w:rsidR="00CD65E4" w:rsidRDefault="00CD65E4" w:rsidP="00846B8F">
      <w:pPr>
        <w:pStyle w:val="ListParagraph"/>
        <w:numPr>
          <w:ilvl w:val="0"/>
          <w:numId w:val="22"/>
        </w:numPr>
        <w:contextualSpacing w:val="0"/>
      </w:pPr>
      <w:r w:rsidRPr="002F0C05">
        <w:rPr>
          <w:b/>
          <w:bCs/>
        </w:rPr>
        <w:t>Fecal (Thermo-tolerant) Coliforms</w:t>
      </w:r>
      <w:r>
        <w:t>: A subset of total coliforms that are more specifically linked to fecal contamination. These bacteria can grow at higher temperatures and are more likely to indicate the presence of waste from warm-blooded animals.</w:t>
      </w:r>
    </w:p>
    <w:p w14:paraId="53DAF064" w14:textId="77777777" w:rsidR="00CD65E4" w:rsidRDefault="00CD65E4" w:rsidP="00846B8F">
      <w:pPr>
        <w:pStyle w:val="ListParagraph"/>
        <w:numPr>
          <w:ilvl w:val="0"/>
          <w:numId w:val="22"/>
        </w:numPr>
        <w:contextualSpacing w:val="0"/>
      </w:pPr>
      <w:r w:rsidRPr="002F0C05">
        <w:rPr>
          <w:b/>
          <w:bCs/>
        </w:rPr>
        <w:t xml:space="preserve">Generic </w:t>
      </w:r>
      <w:r w:rsidRPr="002F0C05">
        <w:rPr>
          <w:b/>
          <w:bCs/>
          <w:i/>
          <w:iCs/>
        </w:rPr>
        <w:t>Escherichia coli</w:t>
      </w:r>
      <w:r w:rsidRPr="002F0C05">
        <w:rPr>
          <w:b/>
          <w:bCs/>
        </w:rPr>
        <w:t xml:space="preserve"> (</w:t>
      </w:r>
      <w:r w:rsidRPr="002F0C05">
        <w:rPr>
          <w:b/>
          <w:bCs/>
          <w:i/>
          <w:iCs/>
        </w:rPr>
        <w:t>E. coli</w:t>
      </w:r>
      <w:r w:rsidRPr="002F0C05">
        <w:rPr>
          <w:b/>
          <w:bCs/>
        </w:rPr>
        <w:t>):</w:t>
      </w:r>
      <w:r>
        <w:t xml:space="preserve"> A specific type of fecal coliform that is strongly associated with fecal matter. Its presence is considered a more accurate indicator of recent fecal contamination and potential health risks.</w:t>
      </w:r>
    </w:p>
    <w:p w14:paraId="1145148E" w14:textId="77777777" w:rsidR="00CD65E4" w:rsidRDefault="00CD65E4" w:rsidP="00CD65E4">
      <w:r>
        <w:t>In most cases, water samples are first tested for total coliforms. If they are detected, further testing is usually done to determine whether fecal coliforms and/or</w:t>
      </w:r>
      <w:r w:rsidRPr="002F0C05">
        <w:rPr>
          <w:i/>
          <w:iCs/>
        </w:rPr>
        <w:t xml:space="preserve"> E. coli </w:t>
      </w:r>
      <w:r>
        <w:t xml:space="preserve">are also present. Fecal coliforms are often preferred for water quality assessments because total coliforms may include harmless environmental bacteria, which could overestimate the actual health risk. </w:t>
      </w:r>
    </w:p>
    <w:p w14:paraId="22325877" w14:textId="27456DDB" w:rsidR="00CD65E4" w:rsidRDefault="00CD65E4" w:rsidP="00CD65E4">
      <w:r w:rsidRPr="002F0C05">
        <w:t>Coliform bacteria</w:t>
      </w:r>
      <w:r>
        <w:t xml:space="preserve"> have been detected in a variety of raw seaweeds, including </w:t>
      </w:r>
      <w:r w:rsidRPr="002F0C05">
        <w:rPr>
          <w:i/>
          <w:iCs/>
        </w:rPr>
        <w:t>Alaria esculenta</w:t>
      </w:r>
      <w:r>
        <w:t xml:space="preserve">, </w:t>
      </w:r>
      <w:r w:rsidRPr="002F0C05">
        <w:rPr>
          <w:i/>
          <w:iCs/>
        </w:rPr>
        <w:t>Fucus</w:t>
      </w:r>
      <w:r>
        <w:t xml:space="preserve"> species, </w:t>
      </w:r>
      <w:r w:rsidRPr="002F0C05">
        <w:rPr>
          <w:i/>
          <w:iCs/>
        </w:rPr>
        <w:t>Porphyra yezoensis</w:t>
      </w:r>
      <w:r>
        <w:t xml:space="preserve">, and </w:t>
      </w:r>
      <w:r w:rsidRPr="002F0C05">
        <w:rPr>
          <w:i/>
          <w:iCs/>
        </w:rPr>
        <w:t>Saccharina latissima</w:t>
      </w:r>
      <w:r>
        <w:t xml:space="preserve">, as well as in seaweed that has washed up on beaches (see Appendix </w:t>
      </w:r>
      <w:r w:rsidR="002D13BE">
        <w:t>A</w:t>
      </w:r>
      <w:r>
        <w:t>, Table A-1). Research suggests that the presence of coliforms on seaweed is more closely linked to the proximity of sewage pollution sources rather than to any specific seaweed species (Kreisseg et al., 2023).</w:t>
      </w:r>
    </w:p>
    <w:p w14:paraId="00788EA6" w14:textId="066F4DD5" w:rsidR="00CD65E4" w:rsidRDefault="00CD65E4" w:rsidP="00CD65E4">
      <w:r w:rsidRPr="00C45D3A">
        <w:rPr>
          <w:b/>
          <w:bCs/>
          <w:i/>
          <w:iCs/>
        </w:rPr>
        <w:t>E. coli</w:t>
      </w:r>
      <w:r w:rsidRPr="00C45D3A">
        <w:t xml:space="preserve"> is</w:t>
      </w:r>
      <w:r>
        <w:t xml:space="preserve"> a large and diverse group of bacteria. While most strains of </w:t>
      </w:r>
      <w:r w:rsidRPr="002F0C05">
        <w:rPr>
          <w:i/>
          <w:iCs/>
        </w:rPr>
        <w:t>E. coli</w:t>
      </w:r>
      <w:r>
        <w:t xml:space="preserve"> are harmless and naturally found in the intestines of humans and animals, some strains (pathotypes) of </w:t>
      </w:r>
      <w:r w:rsidRPr="002F0C05">
        <w:rPr>
          <w:i/>
          <w:iCs/>
        </w:rPr>
        <w:t>E. coli</w:t>
      </w:r>
      <w:r>
        <w:t xml:space="preserve"> can cause diarrhea, while others may lead to urinary tract infections, respiratory illnesses, pneumonia, and other health conditions. As with other coliform bacteria, </w:t>
      </w:r>
      <w:r w:rsidRPr="002F0C05">
        <w:rPr>
          <w:i/>
          <w:iCs/>
        </w:rPr>
        <w:t>E. coli</w:t>
      </w:r>
      <w:r>
        <w:t xml:space="preserve"> has been detected on raw seaweed. Seaweed species where it has been found include </w:t>
      </w:r>
      <w:r w:rsidRPr="002F0C05">
        <w:rPr>
          <w:i/>
          <w:iCs/>
        </w:rPr>
        <w:t>Fucus spiralis</w:t>
      </w:r>
      <w:r>
        <w:t xml:space="preserve">, other </w:t>
      </w:r>
      <w:r w:rsidR="002F0C05">
        <w:rPr>
          <w:i/>
          <w:iCs/>
        </w:rPr>
        <w:t>Fucus</w:t>
      </w:r>
      <w:r w:rsidR="002F0C05">
        <w:t xml:space="preserve"> species,</w:t>
      </w:r>
      <w:r>
        <w:t xml:space="preserve"> </w:t>
      </w:r>
      <w:r w:rsidRPr="002F0C05">
        <w:rPr>
          <w:i/>
          <w:iCs/>
        </w:rPr>
        <w:t>Macrocystis pyrifera</w:t>
      </w:r>
      <w:r>
        <w:t xml:space="preserve">, </w:t>
      </w:r>
      <w:r w:rsidRPr="002F0C05">
        <w:rPr>
          <w:i/>
          <w:iCs/>
        </w:rPr>
        <w:t>Saccharina latissima</w:t>
      </w:r>
      <w:r>
        <w:t xml:space="preserve">, </w:t>
      </w:r>
      <w:r w:rsidRPr="002F0C05">
        <w:rPr>
          <w:i/>
          <w:iCs/>
        </w:rPr>
        <w:t>Sargassum muticum</w:t>
      </w:r>
      <w:r>
        <w:t xml:space="preserve">, </w:t>
      </w:r>
      <w:r w:rsidRPr="002F0C05">
        <w:rPr>
          <w:i/>
          <w:iCs/>
        </w:rPr>
        <w:t>Ulva pinnatifida</w:t>
      </w:r>
      <w:r>
        <w:t xml:space="preserve">, </w:t>
      </w:r>
      <w:r w:rsidRPr="002F0C05">
        <w:rPr>
          <w:i/>
          <w:iCs/>
        </w:rPr>
        <w:t>Ulva reticulata</w:t>
      </w:r>
      <w:r>
        <w:t xml:space="preserve">, and other </w:t>
      </w:r>
      <w:r w:rsidRPr="002F0C05">
        <w:rPr>
          <w:i/>
          <w:iCs/>
        </w:rPr>
        <w:t>Ulva</w:t>
      </w:r>
      <w:r>
        <w:t xml:space="preserve"> sp</w:t>
      </w:r>
      <w:r w:rsidR="002F0C05">
        <w:t>ecies</w:t>
      </w:r>
      <w:r>
        <w:t xml:space="preserve"> (see Appendix </w:t>
      </w:r>
      <w:r w:rsidR="002D13BE">
        <w:t>A</w:t>
      </w:r>
      <w:r>
        <w:t xml:space="preserve">, Table A-1). However, other studies have reported little or no detection of </w:t>
      </w:r>
      <w:r w:rsidRPr="002F0C05">
        <w:rPr>
          <w:i/>
          <w:iCs/>
        </w:rPr>
        <w:t>E. coli</w:t>
      </w:r>
      <w:r>
        <w:t xml:space="preserve"> on raw seaweed (Blikra et al., 2019; </w:t>
      </w:r>
      <w:r w:rsidR="002F0C05">
        <w:t xml:space="preserve">Lytou et al., 2021; Moreira-Leite et al., 2023; Skonberg et al., 2021; </w:t>
      </w:r>
      <w:r>
        <w:t>Swinscoe et al., 2020).</w:t>
      </w:r>
    </w:p>
    <w:p w14:paraId="2C05195F" w14:textId="77777777" w:rsidR="00CD65E4" w:rsidRDefault="00CD65E4" w:rsidP="00CD65E4">
      <w:r>
        <w:t xml:space="preserve">Where </w:t>
      </w:r>
      <w:r w:rsidRPr="002F0C05">
        <w:rPr>
          <w:i/>
          <w:iCs/>
        </w:rPr>
        <w:t>E. coli</w:t>
      </w:r>
      <w:r>
        <w:t xml:space="preserve"> has been detected, researchers have consistently noted that contamination appears linked to nearby sources of pollution, such as wastewater discharges or stormwater runoff (Barberi et al., 2020; Kreissig et al., 2023). This reinforces the importance of monitoring water quality at harvest sites to minimize microbial risks.</w:t>
      </w:r>
    </w:p>
    <w:p w14:paraId="5AAB2BA6" w14:textId="46F86B03" w:rsidR="00CD65E4" w:rsidRDefault="00CD65E4" w:rsidP="00CD65E4">
      <w:r w:rsidRPr="00C45D3A">
        <w:rPr>
          <w:b/>
          <w:bCs/>
        </w:rPr>
        <w:t xml:space="preserve">Toxin-producing strains of </w:t>
      </w:r>
      <w:r w:rsidRPr="00C45D3A">
        <w:rPr>
          <w:b/>
          <w:bCs/>
          <w:i/>
          <w:iCs/>
        </w:rPr>
        <w:t>E. coli</w:t>
      </w:r>
      <w:r w:rsidR="00C45D3A" w:rsidRPr="00C45D3A">
        <w:t xml:space="preserve"> </w:t>
      </w:r>
      <w:r w:rsidRPr="00C45D3A">
        <w:t>pose</w:t>
      </w:r>
      <w:r>
        <w:t xml:space="preserve"> the greatest concern for food safety. Some of these strains can cause severe diarrhea, while others can lead to bloody diarrhea and potentially </w:t>
      </w:r>
      <w:r>
        <w:lastRenderedPageBreak/>
        <w:t xml:space="preserve">serious complications such as kidney damage. These illnesses may require hospitalization. One outbreak of toxin-producing Enteroaggregative </w:t>
      </w:r>
      <w:r w:rsidRPr="002F0C05">
        <w:rPr>
          <w:i/>
          <w:iCs/>
        </w:rPr>
        <w:t>E. coli</w:t>
      </w:r>
      <w:r>
        <w:t xml:space="preserve"> was linked to a seaweed salad product in Japan in 2020. However, investigators were unable to determine whether contamination occurred during seaweed harvesting or later during processing (Kashima et al., 2021).</w:t>
      </w:r>
    </w:p>
    <w:p w14:paraId="73B67859" w14:textId="5EDAA43B" w:rsidR="00CD65E4" w:rsidRDefault="00CD65E4" w:rsidP="00CD65E4">
      <w:r>
        <w:t xml:space="preserve">Shiga toxin-producing </w:t>
      </w:r>
      <w:r w:rsidRPr="002F0C05">
        <w:rPr>
          <w:i/>
          <w:iCs/>
        </w:rPr>
        <w:t>E. coli</w:t>
      </w:r>
      <w:r>
        <w:t xml:space="preserve"> (STEC) has also been detected on seaweed. In one study, Saccharina latissima samples tested positive for STEC at multiple harvest sites and during several collection periods within a single harvest season (Barberi et al., 2020; see Appendix </w:t>
      </w:r>
      <w:r w:rsidR="002D13BE">
        <w:t>A</w:t>
      </w:r>
      <w:r>
        <w:t xml:space="preserve">, Table A-1). These findings highlight the need for careful monitoring of both harvest water quality and post-harvest handling practices to reduce the risk of contamination with toxin-producing </w:t>
      </w:r>
      <w:r w:rsidRPr="002F0C05">
        <w:rPr>
          <w:i/>
          <w:iCs/>
        </w:rPr>
        <w:t>E. coli</w:t>
      </w:r>
      <w:r>
        <w:t>.</w:t>
      </w:r>
    </w:p>
    <w:p w14:paraId="3A33EC36" w14:textId="65681445" w:rsidR="00CD65E4" w:rsidRDefault="00CD65E4" w:rsidP="00CD65E4">
      <w:r w:rsidRPr="00C45D3A">
        <w:rPr>
          <w:b/>
          <w:bCs/>
        </w:rPr>
        <w:t>Other Enterobacteriaceae bacteria</w:t>
      </w:r>
      <w:r w:rsidR="00691E23" w:rsidRPr="00691E23">
        <w:t>,</w:t>
      </w:r>
      <w:r w:rsidR="00691E23">
        <w:t xml:space="preserve"> </w:t>
      </w:r>
      <w:r>
        <w:t xml:space="preserve">including species in the genera </w:t>
      </w:r>
      <w:r w:rsidRPr="002F0C05">
        <w:rPr>
          <w:i/>
          <w:iCs/>
        </w:rPr>
        <w:t>Enterobacter</w:t>
      </w:r>
      <w:r>
        <w:t xml:space="preserve">, </w:t>
      </w:r>
      <w:r w:rsidRPr="002F0C05">
        <w:rPr>
          <w:i/>
          <w:iCs/>
        </w:rPr>
        <w:t>Klebsiella</w:t>
      </w:r>
      <w:r>
        <w:t xml:space="preserve">, </w:t>
      </w:r>
      <w:r w:rsidRPr="002F0C05">
        <w:rPr>
          <w:i/>
          <w:iCs/>
        </w:rPr>
        <w:t>Proteus</w:t>
      </w:r>
      <w:r>
        <w:t xml:space="preserve">, and </w:t>
      </w:r>
      <w:r w:rsidRPr="002F0C05">
        <w:rPr>
          <w:i/>
          <w:iCs/>
        </w:rPr>
        <w:t>Citrobacter</w:t>
      </w:r>
      <w:r w:rsidR="00691E23" w:rsidRPr="00691E23">
        <w:t>,</w:t>
      </w:r>
      <w:r w:rsidR="00691E23">
        <w:t xml:space="preserve"> </w:t>
      </w:r>
      <w:r>
        <w:t xml:space="preserve">are known to cause foodborne illnesses and have been found in various seafood products (Sanjit Singh et al., 2017). Some of these bacteria, such as </w:t>
      </w:r>
      <w:r w:rsidRPr="002F0C05">
        <w:rPr>
          <w:i/>
          <w:iCs/>
        </w:rPr>
        <w:t>Enterobacter cloacae</w:t>
      </w:r>
      <w:r>
        <w:t xml:space="preserve"> and </w:t>
      </w:r>
      <w:r w:rsidRPr="002F0C05">
        <w:rPr>
          <w:i/>
          <w:iCs/>
        </w:rPr>
        <w:t>Klebsiella oxytoca</w:t>
      </w:r>
      <w:r>
        <w:t xml:space="preserve">, have been detected on raw seaweed samples in several studies (Ezhilarasi et al., 2023; </w:t>
      </w:r>
      <w:r w:rsidR="002F0C05">
        <w:t xml:space="preserve">Gupta et al., 2010; </w:t>
      </w:r>
      <w:r>
        <w:t xml:space="preserve">Kreissig et al., 2023; see Appendix </w:t>
      </w:r>
      <w:r w:rsidR="002D13BE">
        <w:t>A</w:t>
      </w:r>
      <w:r>
        <w:t>, Table A-1). However, there have been no documented outbreaks of illness linked to these pathogens in raw seaweed, and current evidence does not consider them to pose a serious health risk in seaweed intended for raw consumption (Banach et al., 2020; Cavallo et al., 2021; Løvdal et al., 2021).</w:t>
      </w:r>
    </w:p>
    <w:p w14:paraId="74F9B373" w14:textId="77777777" w:rsidR="00CD65E4" w:rsidRDefault="00CD65E4" w:rsidP="00691E23">
      <w:pPr>
        <w:pStyle w:val="Heading3"/>
      </w:pPr>
      <w:bookmarkStart w:id="99" w:name="_Toc208503187"/>
      <w:r>
        <w:t>Salmonella</w:t>
      </w:r>
      <w:bookmarkEnd w:id="99"/>
    </w:p>
    <w:p w14:paraId="50F8AB3A" w14:textId="767640DC" w:rsidR="00C34929" w:rsidRDefault="00CD65E4" w:rsidP="004A0EDE">
      <w:pPr>
        <w:spacing w:before="240"/>
      </w:pPr>
      <w:r w:rsidRPr="002F0C05">
        <w:rPr>
          <w:b/>
          <w:bCs/>
          <w:i/>
          <w:iCs/>
        </w:rPr>
        <w:t>Salmonella enterica</w:t>
      </w:r>
      <w:r>
        <w:t xml:space="preserve"> is a bacterium that can cause serious illness (and even death), especially in young children, older adults, and individuals with weakened immune systems. It is the leading cause of hospitalizations and deaths from gastroenteritis in the U.S. Because </w:t>
      </w:r>
      <w:r w:rsidRPr="002F0C05">
        <w:rPr>
          <w:i/>
          <w:iCs/>
        </w:rPr>
        <w:t>Salmonella enterica</w:t>
      </w:r>
      <w:r>
        <w:t xml:space="preserve"> is commonly found in other raw seafood products, it should be considered as a potential hazard in raw seaweeds as well (Banach et al., 2020; Cavallo et al., 2021; Lovdal et al., 2021). However, </w:t>
      </w:r>
      <w:r w:rsidR="00C34929">
        <w:t>most</w:t>
      </w:r>
      <w:r>
        <w:t xml:space="preserve"> studies that have tested raw seaweed for </w:t>
      </w:r>
      <w:r w:rsidRPr="002F0C05">
        <w:rPr>
          <w:i/>
          <w:iCs/>
        </w:rPr>
        <w:t>Salmonella enterica</w:t>
      </w:r>
      <w:r>
        <w:t xml:space="preserve"> have not detected its presence (</w:t>
      </w:r>
      <w:r w:rsidR="002F0C05">
        <w:t xml:space="preserve">Akomea-Frempong et al., 2021; Akomea-Frempong et al., 2022; Banach et al., 2024; </w:t>
      </w:r>
      <w:r>
        <w:t xml:space="preserve">Lytou et al., 2021; </w:t>
      </w:r>
      <w:r w:rsidR="002F0C05">
        <w:t xml:space="preserve">Moreira-Leite et al., 2023; Oliveira et al., 2024; </w:t>
      </w:r>
      <w:r>
        <w:t>Skonberg et al., 2021;</w:t>
      </w:r>
      <w:r w:rsidR="002F0C05">
        <w:t xml:space="preserve"> Son et al., 2014; </w:t>
      </w:r>
      <w:r>
        <w:t>Sorensen et al., 2023). Despite this, outbreaks have occurred.</w:t>
      </w:r>
    </w:p>
    <w:p w14:paraId="2A6628D5" w14:textId="60897D29" w:rsidR="00CD65E4" w:rsidRDefault="00CD65E4" w:rsidP="00CD65E4">
      <w:r>
        <w:t>In 2016, fourteen cases of salmonellosis in Hawai</w:t>
      </w:r>
      <w:r w:rsidR="00C34929" w:rsidRPr="00C34929">
        <w:t>ʻ</w:t>
      </w:r>
      <w:r>
        <w:t xml:space="preserve">i were linked to the consumption of raw seaweed sold by a farm that lacked adequate bathroom and handwashing facilities (Nichols et al., 2017). Additionally, </w:t>
      </w:r>
      <w:r w:rsidRPr="00C34929">
        <w:rPr>
          <w:i/>
          <w:iCs/>
        </w:rPr>
        <w:t>Salmonella enterica</w:t>
      </w:r>
      <w:r>
        <w:t xml:space="preserve"> was detected in 83% of </w:t>
      </w:r>
      <w:r w:rsidRPr="00C34929">
        <w:rPr>
          <w:i/>
          <w:iCs/>
        </w:rPr>
        <w:t>Saccharina latissima</w:t>
      </w:r>
      <w:r>
        <w:t xml:space="preserve"> samples collected near a wastewater treatment outflow, indicating that environmental contamination can pose a significant risk (Barberi et al., 2020; see Appendix </w:t>
      </w:r>
      <w:r w:rsidR="002D13BE">
        <w:t>A,</w:t>
      </w:r>
      <w:r>
        <w:t xml:space="preserve"> Table A-1). These </w:t>
      </w:r>
      <w:r>
        <w:lastRenderedPageBreak/>
        <w:t>findings underscore the importance of maintaining good hygiene practices and ensuring harvest waters are free from wastewater contamination.</w:t>
      </w:r>
    </w:p>
    <w:p w14:paraId="2C393624" w14:textId="77777777" w:rsidR="00CD65E4" w:rsidRDefault="00CD65E4" w:rsidP="00691E23">
      <w:pPr>
        <w:pStyle w:val="Heading3"/>
      </w:pPr>
      <w:bookmarkStart w:id="100" w:name="_Toc208503188"/>
      <w:r>
        <w:t>Listeria</w:t>
      </w:r>
      <w:bookmarkEnd w:id="100"/>
    </w:p>
    <w:p w14:paraId="29DED6DA" w14:textId="3A2FB085" w:rsidR="00CD65E4" w:rsidRDefault="00CD65E4" w:rsidP="004A0EDE">
      <w:pPr>
        <w:spacing w:before="240"/>
      </w:pPr>
      <w:r w:rsidRPr="00C34929">
        <w:rPr>
          <w:b/>
          <w:bCs/>
          <w:i/>
          <w:iCs/>
        </w:rPr>
        <w:t>Listeria monocytogenes</w:t>
      </w:r>
      <w:r>
        <w:t xml:space="preserve"> is a bacterium that causes listeriosis, an illness that includes symptoms such as fever, muscle aches, and diarrhea. In pregnant women, listeriosis is particularly dangerous, as it can result in miscarriage, premature birth, or severe infection in newborns. People with weakened immune systems and adults aged 65 and older are also at increased risk of serious complications, including brain infections (encephalitis). Most studies that have tested raw seaweed for Listeria monocytogenes have not detected the pathogen (</w:t>
      </w:r>
      <w:r w:rsidR="00764032">
        <w:t xml:space="preserve">Akomea-Frempong et al., 2021; Akomea-Frempong et al., 2022; </w:t>
      </w:r>
      <w:r>
        <w:t xml:space="preserve">Blikra et al., 2019; Lytou et al., 2021; </w:t>
      </w:r>
      <w:r w:rsidR="00764032">
        <w:t xml:space="preserve">Moreira-Leite et al., 2023; </w:t>
      </w:r>
      <w:r>
        <w:t xml:space="preserve">Skonberg et al., 2021; </w:t>
      </w:r>
      <w:r w:rsidR="00764032">
        <w:t>Son et al., 2014</w:t>
      </w:r>
      <w:r>
        <w:t>). However, one study reported the presence of Listeria monocytogenes in a Sargassum species (Beleneva et al., 2011).</w:t>
      </w:r>
    </w:p>
    <w:p w14:paraId="64E51F84" w14:textId="71C73E8A" w:rsidR="00CD65E4" w:rsidRDefault="00CD65E4" w:rsidP="00CD65E4">
      <w:r w:rsidRPr="00C34929">
        <w:rPr>
          <w:i/>
          <w:iCs/>
        </w:rPr>
        <w:t>Listeria monocytogenes</w:t>
      </w:r>
      <w:r>
        <w:t xml:space="preserve"> has also been attributed to several cases of listeriosis in marine animals, including dolphins, seals, and sea turtles (</w:t>
      </w:r>
      <w:r w:rsidR="00764032">
        <w:t xml:space="preserve">Bailey et al., 2024; Di Renzo et al., 2022; </w:t>
      </w:r>
      <w:r>
        <w:t xml:space="preserve">Grattarola et al., 2016; </w:t>
      </w:r>
      <w:r w:rsidR="009C5A4A">
        <w:t xml:space="preserve">Rubini et al., 2023; </w:t>
      </w:r>
      <w:r>
        <w:t xml:space="preserve">Sevellec et al., 2020). It is known to survive in marine environments for extended periods—up to three weeks in some studies (Bremer et al., 1998). These findings suggest that while the risk appears low, </w:t>
      </w:r>
      <w:r w:rsidRPr="00C34929">
        <w:rPr>
          <w:i/>
          <w:iCs/>
        </w:rPr>
        <w:t>Listeria monocytogenes</w:t>
      </w:r>
      <w:r>
        <w:t xml:space="preserve"> should still be considered a potential hazard, particularly if seaweed is harvested from areas where environmental or animal contamination may occur.</w:t>
      </w:r>
    </w:p>
    <w:p w14:paraId="44F6FF3E" w14:textId="3C56FD39" w:rsidR="00CD65E4" w:rsidRDefault="00CD65E4" w:rsidP="00691E23">
      <w:pPr>
        <w:pStyle w:val="Heading3"/>
      </w:pPr>
      <w:bookmarkStart w:id="101" w:name="_Toc208503189"/>
      <w:r>
        <w:t>Spore-</w:t>
      </w:r>
      <w:r w:rsidR="00C34929">
        <w:t>F</w:t>
      </w:r>
      <w:r>
        <w:t xml:space="preserve">orming </w:t>
      </w:r>
      <w:r w:rsidR="00C34929" w:rsidRPr="009C5A4A">
        <w:t>B</w:t>
      </w:r>
      <w:r w:rsidRPr="009C5A4A">
        <w:t>acteria</w:t>
      </w:r>
      <w:bookmarkEnd w:id="101"/>
    </w:p>
    <w:p w14:paraId="52AAC3C4" w14:textId="77777777" w:rsidR="00CD65E4" w:rsidRDefault="00CD65E4" w:rsidP="004A0EDE">
      <w:pPr>
        <w:spacing w:before="240"/>
      </w:pPr>
      <w:r>
        <w:t xml:space="preserve">The </w:t>
      </w:r>
      <w:r w:rsidRPr="00C45D3A">
        <w:rPr>
          <w:b/>
          <w:bCs/>
        </w:rPr>
        <w:t>Bacillus</w:t>
      </w:r>
      <w:r w:rsidRPr="00C45D3A">
        <w:t xml:space="preserve"> genus</w:t>
      </w:r>
      <w:r>
        <w:t xml:space="preserve"> includes over 140 species, most of which grow under oxygen-rich (aerobic) conditions (Logan et al., 2012). All </w:t>
      </w:r>
      <w:r w:rsidRPr="00764032">
        <w:rPr>
          <w:i/>
          <w:iCs/>
        </w:rPr>
        <w:t xml:space="preserve">Bacillus </w:t>
      </w:r>
      <w:r>
        <w:t xml:space="preserve">species are capable of forming endospores, structures that allow them to survive harsh environmental conditions (Kramer et al., 1989). While many </w:t>
      </w:r>
      <w:r w:rsidRPr="00764032">
        <w:rPr>
          <w:i/>
          <w:iCs/>
        </w:rPr>
        <w:t>Bacillus</w:t>
      </w:r>
      <w:r>
        <w:t xml:space="preserve"> species are not harmful to humans, certain strains—particularly </w:t>
      </w:r>
      <w:r w:rsidRPr="00764032">
        <w:rPr>
          <w:i/>
          <w:iCs/>
        </w:rPr>
        <w:t>Bacillus cereus</w:t>
      </w:r>
      <w:r>
        <w:t xml:space="preserve">—are associated with foodborne illnesses due to their production of heat-stable toxins (Kramer et al., 1989; Lovdal et al., 2021). Some </w:t>
      </w:r>
      <w:r w:rsidRPr="00764032">
        <w:rPr>
          <w:i/>
          <w:iCs/>
        </w:rPr>
        <w:t>Bacillus</w:t>
      </w:r>
      <w:r>
        <w:t xml:space="preserve"> species naturally colonize seaweed surfaces (Hollants et al., 2013), and aerobic spore-forming bacteria (often indicative of </w:t>
      </w:r>
      <w:r w:rsidRPr="00764032">
        <w:rPr>
          <w:i/>
          <w:iCs/>
        </w:rPr>
        <w:t>Bacillus</w:t>
      </w:r>
      <w:r>
        <w:t>) have been readily detected on raw seaweeds (Blikra et al., 2019; Lytou et al., 2021).</w:t>
      </w:r>
    </w:p>
    <w:p w14:paraId="7C2512A9" w14:textId="6D8F4F82" w:rsidR="00CD65E4" w:rsidRDefault="006D17D6" w:rsidP="00CD65E4">
      <w:r>
        <w:t>Specifically,</w:t>
      </w:r>
      <w:r w:rsidR="00CD65E4">
        <w:t xml:space="preserve"> regarding </w:t>
      </w:r>
      <w:r w:rsidR="00CD65E4" w:rsidRPr="00764032">
        <w:rPr>
          <w:i/>
          <w:iCs/>
        </w:rPr>
        <w:t>Bacillus cereus</w:t>
      </w:r>
      <w:r w:rsidR="00CD65E4">
        <w:t>, several studies have not found it on raw seaweed samples (</w:t>
      </w:r>
      <w:r w:rsidR="00764032">
        <w:t xml:space="preserve">Banach et al., 2024; Blikra et al., 2019; </w:t>
      </w:r>
      <w:r w:rsidR="00CD65E4">
        <w:t>Kim et al., 2006; Son et al., 2014; Lytou et al., 202</w:t>
      </w:r>
      <w:r w:rsidR="00764032">
        <w:t>1</w:t>
      </w:r>
      <w:r w:rsidR="00CD65E4">
        <w:t>), while others have reported positive detections (Indraningrat et al., 2023</w:t>
      </w:r>
      <w:r w:rsidR="00764032">
        <w:t>; Lytou et al., 2021; Wiese et al., 2009</w:t>
      </w:r>
      <w:r w:rsidR="00CD65E4">
        <w:t xml:space="preserve">). Certain seaweed species may be more prone to contamination. For example, Bacillus cereus was detected on </w:t>
      </w:r>
      <w:r w:rsidR="00CD65E4" w:rsidRPr="00764032">
        <w:rPr>
          <w:i/>
          <w:iCs/>
        </w:rPr>
        <w:t>Saccharina latissima</w:t>
      </w:r>
      <w:r w:rsidR="00CD65E4">
        <w:t xml:space="preserve"> (sugar kelp) but not on </w:t>
      </w:r>
      <w:r w:rsidR="00CD65E4" w:rsidRPr="00764032">
        <w:rPr>
          <w:i/>
          <w:iCs/>
        </w:rPr>
        <w:t>Alaria esculenta</w:t>
      </w:r>
      <w:r w:rsidR="00CD65E4">
        <w:t xml:space="preserve"> (winged kelp) grown at the same aquaculture site (Lytou et al., 2021).</w:t>
      </w:r>
    </w:p>
    <w:p w14:paraId="3549E324" w14:textId="18C085E3" w:rsidR="00CD65E4" w:rsidRDefault="00CD65E4" w:rsidP="00CD65E4">
      <w:r>
        <w:lastRenderedPageBreak/>
        <w:t xml:space="preserve">Other potentially pathogenic </w:t>
      </w:r>
      <w:r w:rsidRPr="00726515">
        <w:rPr>
          <w:i/>
          <w:iCs/>
        </w:rPr>
        <w:t>Bacillus</w:t>
      </w:r>
      <w:r>
        <w:t xml:space="preserve"> species, such as </w:t>
      </w:r>
      <w:r w:rsidRPr="00726515">
        <w:rPr>
          <w:i/>
          <w:iCs/>
        </w:rPr>
        <w:t>Bacillus licheniformis</w:t>
      </w:r>
      <w:r>
        <w:t xml:space="preserve"> and </w:t>
      </w:r>
      <w:r w:rsidRPr="00726515">
        <w:rPr>
          <w:i/>
          <w:iCs/>
        </w:rPr>
        <w:t>Bacillus pumilus</w:t>
      </w:r>
      <w:r>
        <w:t>, have also been identified on raw seaweeds (</w:t>
      </w:r>
      <w:r w:rsidRPr="003D3C05">
        <w:t>Blikra et al., 2019</w:t>
      </w:r>
      <w:r w:rsidR="003D3C05" w:rsidRPr="003D3C05">
        <w:t>; Wiese</w:t>
      </w:r>
      <w:r w:rsidR="003D3C05">
        <w:t xml:space="preserve"> et al., 2009</w:t>
      </w:r>
      <w:r>
        <w:t>). Although these are often considered environmental contaminants introduced during handling or processing, their natural occurrence in marine environments and detection on raw seaweeds suggest Bacillus species may pose a potential biological hazard.</w:t>
      </w:r>
    </w:p>
    <w:p w14:paraId="6E9BBEC2" w14:textId="38AFFC13" w:rsidR="00CD65E4" w:rsidRDefault="00CD65E4" w:rsidP="00CD65E4">
      <w:r w:rsidRPr="00726515">
        <w:rPr>
          <w:b/>
          <w:bCs/>
          <w:i/>
          <w:iCs/>
        </w:rPr>
        <w:t>Clostridium</w:t>
      </w:r>
      <w:r>
        <w:t xml:space="preserve"> contains several species which grow under </w:t>
      </w:r>
      <w:r w:rsidR="00726515">
        <w:t>oxygen-free (</w:t>
      </w:r>
      <w:r>
        <w:t>anaerobic</w:t>
      </w:r>
      <w:r w:rsidR="00726515">
        <w:t>)</w:t>
      </w:r>
      <w:r>
        <w:t xml:space="preserve"> conditions, and like </w:t>
      </w:r>
      <w:r w:rsidRPr="00726515">
        <w:rPr>
          <w:i/>
          <w:iCs/>
        </w:rPr>
        <w:t>Bacillus</w:t>
      </w:r>
      <w:r>
        <w:t xml:space="preserve">, are capable of forming resilient endospores. Some </w:t>
      </w:r>
      <w:r w:rsidRPr="00726515">
        <w:rPr>
          <w:i/>
          <w:iCs/>
        </w:rPr>
        <w:t>Clostridium</w:t>
      </w:r>
      <w:r>
        <w:t xml:space="preserve"> species can cause foodborne illness by producing harmful toxins (Roy et al., 2024). The two species of greatest food safety concern are Clostridium perfringens and </w:t>
      </w:r>
      <w:r w:rsidRPr="00726515">
        <w:rPr>
          <w:i/>
          <w:iCs/>
        </w:rPr>
        <w:t>Clostridium botulinum</w:t>
      </w:r>
      <w:r>
        <w:t xml:space="preserve">. </w:t>
      </w:r>
      <w:r w:rsidRPr="00726515">
        <w:rPr>
          <w:i/>
          <w:iCs/>
        </w:rPr>
        <w:t>Clostridium perfringens</w:t>
      </w:r>
      <w:r>
        <w:t xml:space="preserve"> is commonly found in a variety of environments, including soil and marine waters (Matches et al., 1974). It is also prevalent in the intestines of animals, and its levels in seawater tend to increase near sources of wastewater contamination. At least one study has detected </w:t>
      </w:r>
      <w:r w:rsidRPr="00726515">
        <w:rPr>
          <w:i/>
          <w:iCs/>
        </w:rPr>
        <w:t>Clostridium perfringens</w:t>
      </w:r>
      <w:r>
        <w:t xml:space="preserve"> on raw seaweed (Kim et al., 2006), suggesting that it may pose a risk—particularly if seaweed is consumed raw</w:t>
      </w:r>
      <w:r w:rsidR="00726515">
        <w:t>,</w:t>
      </w:r>
      <w:r>
        <w:t xml:space="preserve"> or processed into vacuum-packed or low-oxygen packaging without an effective step to eliminate the pathogen.</w:t>
      </w:r>
    </w:p>
    <w:p w14:paraId="67F1FAC8" w14:textId="52C63C70" w:rsidR="00CD65E4" w:rsidRDefault="00CD65E4" w:rsidP="00CD65E4">
      <w:r w:rsidRPr="00726515">
        <w:rPr>
          <w:i/>
          <w:iCs/>
        </w:rPr>
        <w:t>Clostridium botulinum</w:t>
      </w:r>
      <w:r>
        <w:t xml:space="preserve"> has not been detected in raw seaweeds to date, although relatively few studies have screened for it specifically. It is generally considered more likely to enter the product during processing rather than from the natural environment. The food safety risks associated with </w:t>
      </w:r>
      <w:r w:rsidRPr="00726515">
        <w:rPr>
          <w:i/>
          <w:iCs/>
        </w:rPr>
        <w:t>Clostridium botulinum,</w:t>
      </w:r>
      <w:r>
        <w:t xml:space="preserve"> particularly those related to inadequate processing and low-oxygen packaging, are addressed in more detail in </w:t>
      </w:r>
      <w:hyperlink w:anchor="_Clostridium_botulinum_Toxin" w:history="1">
        <w:r w:rsidRPr="002033A6">
          <w:rPr>
            <w:rStyle w:val="Hyperlink"/>
          </w:rPr>
          <w:t>Chapter 12</w:t>
        </w:r>
      </w:hyperlink>
      <w:r>
        <w:t>.</w:t>
      </w:r>
    </w:p>
    <w:p w14:paraId="492EB07C" w14:textId="4E17BADF" w:rsidR="00CD65E4" w:rsidRDefault="00CD65E4" w:rsidP="00691E23">
      <w:pPr>
        <w:pStyle w:val="Heading3"/>
      </w:pPr>
      <w:bookmarkStart w:id="102" w:name="_Toc208503190"/>
      <w:r>
        <w:t xml:space="preserve">Other </w:t>
      </w:r>
      <w:r w:rsidR="00FC5EB5">
        <w:t>B</w:t>
      </w:r>
      <w:r>
        <w:t xml:space="preserve">acterial </w:t>
      </w:r>
      <w:r w:rsidR="00FC5EB5">
        <w:t>P</w:t>
      </w:r>
      <w:r>
        <w:t>athogens</w:t>
      </w:r>
      <w:bookmarkEnd w:id="102"/>
    </w:p>
    <w:p w14:paraId="1F35591E" w14:textId="57B628B5" w:rsidR="00CD65E4" w:rsidRDefault="00CD65E4" w:rsidP="004A0EDE">
      <w:pPr>
        <w:spacing w:before="240"/>
      </w:pPr>
      <w:r>
        <w:t xml:space="preserve">Several other types of bacteria known to cause foodborne illness have been found on raw seafood and, in some cases, on raw seaweeds. These include species from the genera </w:t>
      </w:r>
      <w:r w:rsidRPr="00726515">
        <w:rPr>
          <w:i/>
          <w:iCs/>
        </w:rPr>
        <w:t>Aeromonas</w:t>
      </w:r>
      <w:r>
        <w:t xml:space="preserve">, </w:t>
      </w:r>
      <w:r w:rsidRPr="00726515">
        <w:rPr>
          <w:i/>
          <w:iCs/>
        </w:rPr>
        <w:t>Campylobacter</w:t>
      </w:r>
      <w:r>
        <w:t xml:space="preserve">, </w:t>
      </w:r>
      <w:r w:rsidRPr="00726515">
        <w:rPr>
          <w:i/>
          <w:iCs/>
        </w:rPr>
        <w:t>Enterococcus</w:t>
      </w:r>
      <w:r>
        <w:t xml:space="preserve">, </w:t>
      </w:r>
      <w:r w:rsidRPr="00726515">
        <w:rPr>
          <w:i/>
          <w:iCs/>
        </w:rPr>
        <w:t>Staphylococcus</w:t>
      </w:r>
      <w:r>
        <w:t xml:space="preserve">, and </w:t>
      </w:r>
      <w:r w:rsidRPr="00726515">
        <w:rPr>
          <w:i/>
          <w:iCs/>
        </w:rPr>
        <w:t>Yersinia</w:t>
      </w:r>
      <w:r>
        <w:t xml:space="preserve"> (Vairappen and Suzuki, 2000; Gupta et al., 2010; Beleneva et al., 2011; Picon et al., 2021; Kreissig et al., 2023</w:t>
      </w:r>
      <w:r w:rsidR="00726515">
        <w:t xml:space="preserve">; see </w:t>
      </w:r>
      <w:r>
        <w:t xml:space="preserve">Appendix </w:t>
      </w:r>
      <w:r w:rsidR="002D13BE">
        <w:t>A,</w:t>
      </w:r>
      <w:r>
        <w:t xml:space="preserve"> Table A-1).</w:t>
      </w:r>
    </w:p>
    <w:p w14:paraId="5CA8A618" w14:textId="08189A99" w:rsidR="00CD65E4" w:rsidRDefault="00CD65E4" w:rsidP="00CD65E4">
      <w:r>
        <w:t xml:space="preserve">Some of these, like </w:t>
      </w:r>
      <w:r w:rsidRPr="00726515">
        <w:rPr>
          <w:i/>
          <w:iCs/>
        </w:rPr>
        <w:t>Aeromonas</w:t>
      </w:r>
      <w:r>
        <w:t xml:space="preserve">—which naturally occurs in aquatic environments—and Staphylococcus, which can tolerate salty conditions, may pose potential food safety risks in raw seaweed products (Banach et al., 2020; Lovdal et al., 2021). However, the others have not been linked to significant health risks in raw seaweeds specifically (Banach et al., 2020; Cavallo et al., 2021; Lovdal et al., 2021). Instead, they are more commonly associated with contamination that occurs during handling or processing, which is addressed </w:t>
      </w:r>
      <w:r w:rsidRPr="002033A6">
        <w:t xml:space="preserve">in </w:t>
      </w:r>
      <w:hyperlink w:anchor="_Pathogen_Contamination" w:history="1">
        <w:r w:rsidRPr="002033A6">
          <w:rPr>
            <w:rStyle w:val="Hyperlink"/>
          </w:rPr>
          <w:t>Chapter 11</w:t>
        </w:r>
      </w:hyperlink>
      <w:r w:rsidRPr="002033A6">
        <w:t>.</w:t>
      </w:r>
    </w:p>
    <w:p w14:paraId="4CF8CA86" w14:textId="77777777" w:rsidR="00CD65E4" w:rsidRDefault="00CD65E4" w:rsidP="00691E23">
      <w:pPr>
        <w:pStyle w:val="Heading3"/>
      </w:pPr>
      <w:bookmarkStart w:id="103" w:name="_Toc208503191"/>
      <w:r>
        <w:lastRenderedPageBreak/>
        <w:t>Viruses</w:t>
      </w:r>
      <w:bookmarkEnd w:id="103"/>
    </w:p>
    <w:p w14:paraId="7F7E4E6B" w14:textId="3EDB6F73" w:rsidR="00CD65E4" w:rsidRDefault="00CD65E4" w:rsidP="004A0EDE">
      <w:pPr>
        <w:spacing w:before="240"/>
      </w:pPr>
      <w:r w:rsidRPr="00C45D3A">
        <w:rPr>
          <w:b/>
          <w:bCs/>
        </w:rPr>
        <w:t xml:space="preserve">Norovirus </w:t>
      </w:r>
      <w:r w:rsidRPr="00C45D3A">
        <w:t>is</w:t>
      </w:r>
      <w:r>
        <w:t xml:space="preserve"> a highly contagious virus and a leading cause of foodborne illness outbreaks across all age groups. A small number of outbreaks have been associated with seaweed consumption, including one linked to green seaweed served in schools in South Korea (Park et al., 2015), several involving </w:t>
      </w:r>
      <w:r w:rsidR="00B67A7C">
        <w:t>n</w:t>
      </w:r>
      <w:r>
        <w:t xml:space="preserve">ori or </w:t>
      </w:r>
      <w:r w:rsidR="00B67A7C">
        <w:t>l</w:t>
      </w:r>
      <w:r>
        <w:t>aver in Japan (Kusumi et al., 2017; Noda et al., 2017; Sakon et al., 2018</w:t>
      </w:r>
      <w:r w:rsidR="00726515">
        <w:t>; Somura et al., 2017</w:t>
      </w:r>
      <w:r>
        <w:t xml:space="preserve">), and one linked to </w:t>
      </w:r>
      <w:r w:rsidR="00B67A7C">
        <w:t>w</w:t>
      </w:r>
      <w:r>
        <w:t>akame in Norway (Whitworth, 2019). However, investigations into these incidents point to contamination occurring during processing, not from the marine environment itself.</w:t>
      </w:r>
    </w:p>
    <w:p w14:paraId="2B93539C" w14:textId="315D492B" w:rsidR="00CD65E4" w:rsidRPr="00C45D3A" w:rsidRDefault="00CD65E4" w:rsidP="00CD65E4">
      <w:r>
        <w:t>Additionally, some studies have found no evidence of Norovirus in freshly harvested seaweed (Faasen et al., 2024</w:t>
      </w:r>
      <w:r w:rsidR="00726515">
        <w:t xml:space="preserve">; </w:t>
      </w:r>
      <w:r w:rsidR="00726515">
        <w:rPr>
          <w:rFonts w:cs="Calibri"/>
          <w:color w:val="000000"/>
        </w:rPr>
        <w:t>Oliveira et al., 2024</w:t>
      </w:r>
      <w:r>
        <w:t xml:space="preserve">). More research is needed to understand whether Norovirus can attach to seaweed surfaces and whether raw seaweeds could serve as a route for </w:t>
      </w:r>
      <w:r w:rsidRPr="00C45D3A">
        <w:t>virus transmission.</w:t>
      </w:r>
    </w:p>
    <w:p w14:paraId="4DFB6183" w14:textId="77777777" w:rsidR="00CD65E4" w:rsidRDefault="00CD65E4" w:rsidP="00CD65E4">
      <w:r w:rsidRPr="00C45D3A">
        <w:rPr>
          <w:b/>
          <w:bCs/>
        </w:rPr>
        <w:t>Hepatitis A Virus</w:t>
      </w:r>
      <w:r w:rsidRPr="00C45D3A">
        <w:t xml:space="preserve"> (</w:t>
      </w:r>
      <w:r>
        <w:t xml:space="preserve">HAV) and </w:t>
      </w:r>
      <w:r w:rsidRPr="00C45D3A">
        <w:rPr>
          <w:b/>
          <w:bCs/>
        </w:rPr>
        <w:t>Hepatitis E Virus</w:t>
      </w:r>
      <w:r w:rsidRPr="00C45D3A">
        <w:t xml:space="preserve"> (</w:t>
      </w:r>
      <w:r>
        <w:t>HEV) are both found in areas affected by wastewater contamination and are known to cause serious illness when transmitted through contaminated seafood (Roy et al., 2024). Other viruses commonly found in sewage-contaminated seawater that may also be linked to seafood include Sapovirus, Astrovirus, and Rotavirus (Cioffi, 2021). However, to date, no studies have specifically examined whether these viruses are present on raw seaweeds.</w:t>
      </w:r>
    </w:p>
    <w:p w14:paraId="3FD8B043" w14:textId="2C898067" w:rsidR="00CD65E4" w:rsidRPr="00726515" w:rsidRDefault="00CD65E4" w:rsidP="00846B8F">
      <w:pPr>
        <w:pStyle w:val="Heading2"/>
        <w:numPr>
          <w:ilvl w:val="1"/>
          <w:numId w:val="133"/>
        </w:numPr>
      </w:pPr>
      <w:bookmarkStart w:id="104" w:name="_Toc208503192"/>
      <w:r w:rsidRPr="00726515">
        <w:t>Health Risks Associated with Bacterial and Viral Pathogens</w:t>
      </w:r>
      <w:bookmarkEnd w:id="104"/>
    </w:p>
    <w:p w14:paraId="76EED3BA" w14:textId="77777777" w:rsidR="00CD65E4" w:rsidRDefault="00CD65E4" w:rsidP="004A0EDE">
      <w:pPr>
        <w:spacing w:before="240"/>
      </w:pPr>
      <w:r>
        <w:t xml:space="preserve">The health risks associated with pathogens depend on several factors, including the specific species and strain of the microorganism, the amount needed to cause infection (known as the infectious dose), a person’s underlying health conditions, and how often the contaminated food is consumed. Most of the pathogens discussed above (such as STEC and </w:t>
      </w:r>
      <w:r w:rsidRPr="00726515">
        <w:rPr>
          <w:i/>
          <w:iCs/>
        </w:rPr>
        <w:t>Vibrio parahaemolyticus</w:t>
      </w:r>
      <w:r>
        <w:t xml:space="preserve">) typically cause gastrointestinal illness, with symptoms ranging from mild to severe and including vomiting, abdominal cramping, bloating, and diarrhea. In contrast, infection with </w:t>
      </w:r>
      <w:r w:rsidRPr="00726515">
        <w:rPr>
          <w:i/>
          <w:iCs/>
        </w:rPr>
        <w:t>Listeria monocytogenes</w:t>
      </w:r>
      <w:r>
        <w:t xml:space="preserve"> may go unnoticed in healthy individuals but can have serious consequences for certain groups. In pregnant women, it can lead to miscarriage or birth defects, and in older adults or those with weakened immune systems, it can cause life-threatening conditions such as meningitis or encephalitis.</w:t>
      </w:r>
    </w:p>
    <w:p w14:paraId="433D7B29" w14:textId="320FC00B" w:rsidR="00CD65E4" w:rsidRDefault="00CD65E4" w:rsidP="00CD65E4">
      <w:r>
        <w:t xml:space="preserve">Some bacteria, such as </w:t>
      </w:r>
      <w:r w:rsidRPr="00726515">
        <w:rPr>
          <w:i/>
          <w:iCs/>
        </w:rPr>
        <w:t xml:space="preserve">Bacillus </w:t>
      </w:r>
      <w:r>
        <w:t xml:space="preserve">and </w:t>
      </w:r>
      <w:r w:rsidRPr="00726515">
        <w:rPr>
          <w:i/>
          <w:iCs/>
        </w:rPr>
        <w:t>Clostridium</w:t>
      </w:r>
      <w:r>
        <w:t xml:space="preserve"> species, cause illness not through the bacteria themselves but through the production of harmful toxins. These toxins can lead to a range of symptoms, from vomiting and diarrhea to paralysis or even fatal bloodstream infections (sepsis).</w:t>
      </w:r>
    </w:p>
    <w:p w14:paraId="28AA9FA6" w14:textId="77777777" w:rsidR="00CD65E4" w:rsidRDefault="00CD65E4" w:rsidP="00CD65E4">
      <w:r>
        <w:t xml:space="preserve">The amount of a pathogen required to make someone sick varies widely. For example, </w:t>
      </w:r>
      <w:r w:rsidRPr="00726515">
        <w:rPr>
          <w:i/>
          <w:iCs/>
        </w:rPr>
        <w:t>Vibrio cholerae</w:t>
      </w:r>
      <w:r>
        <w:t xml:space="preserve"> generally requires around 10,000 bacterial cells to cause illness (Kothary and Babu, </w:t>
      </w:r>
      <w:r>
        <w:lastRenderedPageBreak/>
        <w:t>2001), whereas Norovirus is highly infectious and can cause infection from exposure to just a single viral particle (Teunis et al., 2008). For toxin-producing bacteria, determining an infectious dose is more complex, as illness results from the toxins they produce rather than the number of bacteria present. Toxin production can vary significantly depending on the bacterial species and environmental conditions that influence growth and toxin production. Regardless of the infectious dose, frequent consumption of contaminated seaweed can increase the risk of illness and lead to repeated infection (caused by consuming live pathogens) or intoxication (caused by ingesting toxins produced by bacterial pathogens), which may result in long-term health impacts.</w:t>
      </w:r>
    </w:p>
    <w:p w14:paraId="34BB6F48" w14:textId="77777777" w:rsidR="00CD65E4" w:rsidRDefault="00CD65E4" w:rsidP="00846B8F">
      <w:pPr>
        <w:pStyle w:val="Heading2"/>
        <w:numPr>
          <w:ilvl w:val="1"/>
          <w:numId w:val="134"/>
        </w:numPr>
      </w:pPr>
      <w:bookmarkStart w:id="105" w:name="_Toc208503193"/>
      <w:r>
        <w:t>Determining if the Hazard is Significant</w:t>
      </w:r>
      <w:bookmarkEnd w:id="105"/>
    </w:p>
    <w:p w14:paraId="15A8FE0B" w14:textId="7BDD70FB" w:rsidR="00CD65E4" w:rsidRDefault="00CD65E4" w:rsidP="004A0EDE">
      <w:pPr>
        <w:spacing w:before="240"/>
      </w:pPr>
      <w:r>
        <w:t>If pathogens are found at or near levels known to cause illness, they are considered a significant hazard—either “reasonably likely to occur” (HACCP) or “hazard requiring a preventive control” (PCHF)</w:t>
      </w:r>
      <w:r w:rsidR="00793AE5">
        <w:t>—</w:t>
      </w:r>
      <w:r>
        <w:t>that must be controlled. To clearly determine whether a hazard exists, it is important to understand which bacterial and viral pathogens are commonly linked to the particular seaweed species being cultivated, as well as the specific characteristics and quality of the water body where it is grown.</w:t>
      </w:r>
    </w:p>
    <w:p w14:paraId="0F269A28" w14:textId="77777777" w:rsidR="00CD65E4" w:rsidRDefault="00CD65E4" w:rsidP="00CD65E4">
      <w:r>
        <w:t>Seaweeds cultivated or harvested from waters contaminated with untreated human waste present a serious risk to public health due to potential exposure to a variety of harmful pathogens (as discussed above). Appropriate control measures should be put in place to reduce this risk and help ensure consumer safety.</w:t>
      </w:r>
    </w:p>
    <w:p w14:paraId="56F49FCF" w14:textId="59411EC8" w:rsidR="00CD65E4" w:rsidRDefault="00CD65E4" w:rsidP="00CD65E4">
      <w:r>
        <w:t>Control measures for pathogens present in the harvest area may not be required if the seaweed is intended for processing using methods that have been validated to effectively kill or eliminate the specific pathogen(s) of concern.</w:t>
      </w:r>
    </w:p>
    <w:p w14:paraId="01A3B9A5" w14:textId="77777777" w:rsidR="00CD65E4" w:rsidRDefault="00CD65E4" w:rsidP="00846B8F">
      <w:pPr>
        <w:pStyle w:val="Heading2"/>
        <w:numPr>
          <w:ilvl w:val="1"/>
          <w:numId w:val="134"/>
        </w:numPr>
      </w:pPr>
      <w:bookmarkStart w:id="106" w:name="_Toc208503194"/>
      <w:r>
        <w:t>Hazard Controls and Critical Control Points</w:t>
      </w:r>
      <w:bookmarkEnd w:id="106"/>
    </w:p>
    <w:p w14:paraId="327EF559" w14:textId="77777777" w:rsidR="00726515" w:rsidRDefault="00CD65E4" w:rsidP="00CB6D27">
      <w:pPr>
        <w:spacing w:before="240"/>
      </w:pPr>
      <w:r>
        <w:t>To help keep raw seaweed safe to eat, two of the most important safety steps are:</w:t>
      </w:r>
    </w:p>
    <w:p w14:paraId="5E796C8C" w14:textId="77777777" w:rsidR="00726515" w:rsidRDefault="00CD65E4" w:rsidP="00846B8F">
      <w:pPr>
        <w:pStyle w:val="ListParagraph"/>
        <w:numPr>
          <w:ilvl w:val="0"/>
          <w:numId w:val="23"/>
        </w:numPr>
        <w:spacing w:before="240"/>
      </w:pPr>
      <w:r>
        <w:t>Harvesting from clean, approved areas (sourcing), and</w:t>
      </w:r>
    </w:p>
    <w:p w14:paraId="4A1BF12A" w14:textId="03152D59" w:rsidR="00CD65E4" w:rsidRDefault="00CD65E4" w:rsidP="00846B8F">
      <w:pPr>
        <w:pStyle w:val="ListParagraph"/>
        <w:numPr>
          <w:ilvl w:val="0"/>
          <w:numId w:val="23"/>
        </w:numPr>
        <w:spacing w:before="240"/>
      </w:pPr>
      <w:r>
        <w:t>Keeping the seaweed cold during storage and transport (temperature control).</w:t>
      </w:r>
    </w:p>
    <w:p w14:paraId="2CFFC548" w14:textId="77777777" w:rsidR="00CD65E4" w:rsidRDefault="00CD65E4" w:rsidP="00CD65E4">
      <w:r>
        <w:t>These steps help lower the chance of pathogens from the water making people sick.</w:t>
      </w:r>
    </w:p>
    <w:p w14:paraId="6B4019A5" w14:textId="3CCB1BD2" w:rsidR="00CD65E4" w:rsidRDefault="00CD65E4" w:rsidP="00846B8F">
      <w:pPr>
        <w:pStyle w:val="Heading3"/>
        <w:numPr>
          <w:ilvl w:val="2"/>
          <w:numId w:val="135"/>
        </w:numPr>
      </w:pPr>
      <w:bookmarkStart w:id="107" w:name="_Toc208503195"/>
      <w:r>
        <w:t>Sourcing</w:t>
      </w:r>
      <w:r w:rsidR="00CB6D27">
        <w:t>—</w:t>
      </w:r>
      <w:r>
        <w:t>Considerations for Site Selection and Water Testing</w:t>
      </w:r>
      <w:bookmarkEnd w:id="107"/>
    </w:p>
    <w:p w14:paraId="1524BB84" w14:textId="77777777" w:rsidR="00CD65E4" w:rsidRDefault="00CD65E4" w:rsidP="00846B8F">
      <w:pPr>
        <w:pStyle w:val="ListParagraph"/>
        <w:numPr>
          <w:ilvl w:val="0"/>
          <w:numId w:val="24"/>
        </w:numPr>
        <w:spacing w:before="240"/>
        <w:contextualSpacing w:val="0"/>
      </w:pPr>
      <w:r>
        <w:t xml:space="preserve">When choosing a farm or harvest location, it’s important to consider how the surrounding land and water can affect the safety of the seaweed. For example, pollution from untreated human or animal waste—such as sewage overflows, failing septic </w:t>
      </w:r>
      <w:r>
        <w:lastRenderedPageBreak/>
        <w:t>systems, or wastewater treatment plant discharges—can introduce harmful pathogens into the water where seaweed is grown. These concerns may be considered and addressed during the permitting process for commercial seaweed cultivation and harvesting.</w:t>
      </w:r>
    </w:p>
    <w:p w14:paraId="3D3A7212" w14:textId="77777777" w:rsidR="00CD65E4" w:rsidRDefault="00CD65E4" w:rsidP="00846B8F">
      <w:pPr>
        <w:pStyle w:val="ListParagraph"/>
        <w:numPr>
          <w:ilvl w:val="0"/>
          <w:numId w:val="24"/>
        </w:numPr>
        <w:contextualSpacing w:val="0"/>
      </w:pPr>
      <w:r>
        <w:t>Check whether there are large numbers of birds or marine mammals near the site, since their waste can carry pathogens that may contaminate the seaweed. In some cases, the farm’s floating equipment may attract these animals, so routine monitoring of the site is recommended.</w:t>
      </w:r>
    </w:p>
    <w:p w14:paraId="06370272" w14:textId="77777777" w:rsidR="00CD65E4" w:rsidRDefault="00CD65E4" w:rsidP="00846B8F">
      <w:pPr>
        <w:pStyle w:val="ListParagraph"/>
        <w:numPr>
          <w:ilvl w:val="0"/>
          <w:numId w:val="24"/>
        </w:numPr>
        <w:contextualSpacing w:val="0"/>
      </w:pPr>
      <w:r>
        <w:t>To help assess water quality, tests can be done for bacteria such as total and fecal coliforms. These are used as indicators of fecal (waste) contamination. In some cases, more direct testing for specific disease-causing microbes (pathogens) in the water may be used to better understand potential biological risks—especially for those that naturally occur in marine environments. Acceptable levels of these bacteria may differ depending on state regulations.</w:t>
      </w:r>
    </w:p>
    <w:p w14:paraId="07658418" w14:textId="77777777" w:rsidR="00CD65E4" w:rsidRDefault="00CD65E4" w:rsidP="00846B8F">
      <w:pPr>
        <w:pStyle w:val="ListParagraph"/>
        <w:numPr>
          <w:ilvl w:val="0"/>
          <w:numId w:val="24"/>
        </w:numPr>
        <w:contextualSpacing w:val="0"/>
      </w:pPr>
      <w:r>
        <w:t>Many state agencies classify waterways as approved or conditionally approved for harvesting seafood or seaweed based on safety standards, which can vary from one state to another.</w:t>
      </w:r>
    </w:p>
    <w:p w14:paraId="5C89346E" w14:textId="66948DB7" w:rsidR="00CD65E4" w:rsidRDefault="00CD65E4" w:rsidP="00846B8F">
      <w:pPr>
        <w:pStyle w:val="ListParagraph"/>
        <w:numPr>
          <w:ilvl w:val="0"/>
          <w:numId w:val="24"/>
        </w:numPr>
        <w:contextualSpacing w:val="0"/>
      </w:pPr>
      <w:r>
        <w:t>For more information on how to identify possible biological hazards in source waters, see Table 5</w:t>
      </w:r>
      <w:r w:rsidR="002D13BE">
        <w:t>-</w:t>
      </w:r>
      <w:r>
        <w:t>2 below.</w:t>
      </w:r>
    </w:p>
    <w:p w14:paraId="16AD4425" w14:textId="77777777" w:rsidR="00CD65E4" w:rsidRDefault="00CD65E4" w:rsidP="00846B8F">
      <w:pPr>
        <w:pStyle w:val="Heading3"/>
        <w:numPr>
          <w:ilvl w:val="2"/>
          <w:numId w:val="136"/>
        </w:numPr>
      </w:pPr>
      <w:bookmarkStart w:id="108" w:name="_Toc208503196"/>
      <w:r>
        <w:t>Temperature Control</w:t>
      </w:r>
      <w:bookmarkEnd w:id="108"/>
    </w:p>
    <w:p w14:paraId="101BED4D" w14:textId="77777777" w:rsidR="00CD65E4" w:rsidRDefault="00CD65E4" w:rsidP="00CB6D27">
      <w:pPr>
        <w:spacing w:before="240"/>
      </w:pPr>
      <w:r>
        <w:t>Even when harvesting seaweed from approved or conditionally approved waters, pathogens may still be present. If the seaweed is going to be consumed raw, it's important to maintain temperature controls after harvest. Without proper temperature control during storage and transport, these pathogens can grow to dangerous levels.</w:t>
      </w:r>
    </w:p>
    <w:p w14:paraId="1A6B5CBF" w14:textId="66E4D6CA" w:rsidR="00CD65E4" w:rsidRDefault="00CD65E4" w:rsidP="00CD65E4">
      <w:r>
        <w:t xml:space="preserve">For example, </w:t>
      </w:r>
      <w:r w:rsidRPr="004C7FCD">
        <w:rPr>
          <w:i/>
          <w:iCs/>
        </w:rPr>
        <w:t>Vibrio vulnificus</w:t>
      </w:r>
      <w:r>
        <w:t xml:space="preserve"> can multiply quickly in oysters that aren’t stored under refrigeration (Cook, 1997). Storing raw seaweed in seawater at room temperature (68–71°F or 20–22°C) can maintain or even increase the amount of bacteria present. This includes both harmful and non-harmful types of E. coli, as well as </w:t>
      </w:r>
      <w:r w:rsidRPr="004C7FCD">
        <w:rPr>
          <w:i/>
          <w:iCs/>
        </w:rPr>
        <w:t>Listeria monocytogenes</w:t>
      </w:r>
      <w:r>
        <w:t xml:space="preserve">, </w:t>
      </w:r>
      <w:r w:rsidRPr="004C7FCD">
        <w:rPr>
          <w:i/>
          <w:iCs/>
        </w:rPr>
        <w:t>Salmonella enterica,</w:t>
      </w:r>
      <w:r>
        <w:t xml:space="preserve"> and </w:t>
      </w:r>
      <w:r w:rsidRPr="004C7FCD">
        <w:rPr>
          <w:i/>
          <w:iCs/>
        </w:rPr>
        <w:t>Vibrio parahaemolyticus</w:t>
      </w:r>
      <w:r>
        <w:t xml:space="preserve"> (Akomea-Frempong et al., 2023</w:t>
      </w:r>
      <w:r w:rsidR="004C7FCD">
        <w:t>; Swinscoe et al., 2020</w:t>
      </w:r>
      <w:r>
        <w:t xml:space="preserve">). To ensure food safety, seaweed should be chilled as soon as feasible after harvest and kept cold during holding, transport, and processing. See </w:t>
      </w:r>
      <w:hyperlink w:anchor="_Pathogen_Growth_Due" w:history="1">
        <w:r w:rsidRPr="002033A6">
          <w:rPr>
            <w:rStyle w:val="Hyperlink"/>
          </w:rPr>
          <w:t>Chapter 10</w:t>
        </w:r>
      </w:hyperlink>
      <w:r>
        <w:t xml:space="preserve"> for more information on how to prevent bacterial growth caused by temperature abuse.</w:t>
      </w:r>
    </w:p>
    <w:p w14:paraId="6EB7E71A" w14:textId="6EE93763" w:rsidR="000F6DC1" w:rsidRDefault="00CD65E4" w:rsidP="00CD65E4">
      <w:r w:rsidRPr="004C7FCD">
        <w:rPr>
          <w:b/>
          <w:bCs/>
          <w:u w:val="single"/>
        </w:rPr>
        <w:t>Critical Control Point (CCP):</w:t>
      </w:r>
      <w:r>
        <w:t xml:space="preserve"> Upon receiving product at their facility, </w:t>
      </w:r>
      <w:hyperlink w:anchor="PrimaryProcessor" w:tooltip="A processor sourcing and receiving raw materials directly from the farmer or harvester." w:history="1">
        <w:r w:rsidRPr="0051253B">
          <w:rPr>
            <w:rStyle w:val="Hyperlink"/>
          </w:rPr>
          <w:t>primary processors</w:t>
        </w:r>
      </w:hyperlink>
      <w:r>
        <w:t xml:space="preserve"> are responsible for ensuring that appropriate controls are in place to reduce or eliminate this </w:t>
      </w:r>
      <w:r>
        <w:lastRenderedPageBreak/>
        <w:t>hazard. While these controls are typically implemented by producers, processors must verify that appropriate measures have been taken to ensure the product is safe at the point of receipt.</w:t>
      </w:r>
    </w:p>
    <w:p w14:paraId="7519D4B5" w14:textId="4625EC92" w:rsidR="00F1101B" w:rsidRPr="00F1101B" w:rsidRDefault="000F6DC1" w:rsidP="00045395">
      <w:r>
        <w:br w:type="page"/>
      </w:r>
    </w:p>
    <w:p w14:paraId="420C73FE" w14:textId="29B18B2F" w:rsidR="00045395" w:rsidRDefault="00045395" w:rsidP="00C54E07">
      <w:pPr>
        <w:pStyle w:val="Caption"/>
      </w:pPr>
      <w:r w:rsidRPr="00045395">
        <w:rPr>
          <w:b/>
          <w:bCs/>
        </w:rPr>
        <w:lastRenderedPageBreak/>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5</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2</w:t>
      </w:r>
      <w:r w:rsidR="00896F22">
        <w:rPr>
          <w:b/>
          <w:bCs/>
        </w:rPr>
        <w:fldChar w:fldCharType="end"/>
      </w:r>
      <w:r w:rsidRPr="00045395">
        <w:rPr>
          <w:b/>
          <w:bCs/>
        </w:rPr>
        <w:t>:</w:t>
      </w:r>
      <w:r>
        <w:t xml:space="preserve"> </w:t>
      </w:r>
      <w:r w:rsidRPr="005F5C89">
        <w:t xml:space="preserve">Sources of information for identifying possible biological hazards in </w:t>
      </w:r>
      <w:r>
        <w:t>s</w:t>
      </w:r>
      <w:r w:rsidRPr="005F5C89">
        <w:t xml:space="preserve">ource </w:t>
      </w:r>
      <w:r>
        <w:t>w</w:t>
      </w:r>
      <w:r w:rsidRPr="005F5C89">
        <w:t>aters</w:t>
      </w:r>
      <w:r>
        <w:t>.</w:t>
      </w:r>
    </w:p>
    <w:tbl>
      <w:tblPr>
        <w:tblStyle w:val="TableGrid"/>
        <w:tblW w:w="0" w:type="auto"/>
        <w:tblCellMar>
          <w:top w:w="86" w:type="dxa"/>
          <w:left w:w="86" w:type="dxa"/>
          <w:bottom w:w="86" w:type="dxa"/>
          <w:right w:w="86" w:type="dxa"/>
        </w:tblCellMar>
        <w:tblLook w:val="04A0" w:firstRow="1" w:lastRow="0" w:firstColumn="1" w:lastColumn="0" w:noHBand="0" w:noVBand="1"/>
      </w:tblPr>
      <w:tblGrid>
        <w:gridCol w:w="355"/>
        <w:gridCol w:w="2608"/>
        <w:gridCol w:w="6377"/>
      </w:tblGrid>
      <w:tr w:rsidR="00683939" w14:paraId="285A95D9" w14:textId="77777777" w:rsidTr="00DF519F">
        <w:trPr>
          <w:trHeight w:val="20"/>
          <w:tblHeader/>
        </w:trPr>
        <w:tc>
          <w:tcPr>
            <w:tcW w:w="355" w:type="dxa"/>
            <w:tcBorders>
              <w:top w:val="single" w:sz="8" w:space="0" w:color="0D0D0D" w:themeColor="text1" w:themeTint="F2"/>
              <w:left w:val="single" w:sz="8" w:space="0" w:color="0D0D0D" w:themeColor="text1" w:themeTint="F2"/>
              <w:bottom w:val="single" w:sz="8" w:space="0" w:color="0D0D0D" w:themeColor="text1" w:themeTint="F2"/>
            </w:tcBorders>
            <w:shd w:val="clear" w:color="auto" w:fill="28666E"/>
            <w:vAlign w:val="center"/>
          </w:tcPr>
          <w:p w14:paraId="6FA37CD1" w14:textId="00337589" w:rsidR="00683939" w:rsidRPr="000E2B0C" w:rsidRDefault="00683939" w:rsidP="0054509C">
            <w:pPr>
              <w:rPr>
                <w:b/>
                <w:bCs/>
                <w:color w:val="FFFFFF" w:themeColor="background1"/>
              </w:rPr>
            </w:pPr>
            <w:r w:rsidRPr="000E2B0C">
              <w:rPr>
                <w:b/>
                <w:bCs/>
                <w:color w:val="FFFFFF" w:themeColor="background1"/>
              </w:rPr>
              <w:t>#</w:t>
            </w:r>
          </w:p>
        </w:tc>
        <w:tc>
          <w:tcPr>
            <w:tcW w:w="2610" w:type="dxa"/>
            <w:tcBorders>
              <w:top w:val="single" w:sz="8" w:space="0" w:color="0D0D0D" w:themeColor="text1" w:themeTint="F2"/>
              <w:bottom w:val="single" w:sz="8" w:space="0" w:color="0D0D0D" w:themeColor="text1" w:themeTint="F2"/>
            </w:tcBorders>
            <w:shd w:val="clear" w:color="auto" w:fill="28666E"/>
            <w:vAlign w:val="center"/>
          </w:tcPr>
          <w:p w14:paraId="6DF85057" w14:textId="6F3CA2B2" w:rsidR="00683939" w:rsidRPr="000E2B0C" w:rsidRDefault="00683939" w:rsidP="0054509C">
            <w:pPr>
              <w:rPr>
                <w:b/>
                <w:bCs/>
                <w:color w:val="FFFFFF" w:themeColor="background1"/>
              </w:rPr>
            </w:pPr>
            <w:r w:rsidRPr="000E2B0C">
              <w:rPr>
                <w:b/>
                <w:bCs/>
                <w:color w:val="FFFFFF" w:themeColor="background1"/>
              </w:rPr>
              <w:t>Department / Resource</w:t>
            </w:r>
          </w:p>
        </w:tc>
        <w:tc>
          <w:tcPr>
            <w:tcW w:w="6385" w:type="dxa"/>
            <w:tcBorders>
              <w:top w:val="single" w:sz="8" w:space="0" w:color="0D0D0D" w:themeColor="text1" w:themeTint="F2"/>
              <w:bottom w:val="single" w:sz="8" w:space="0" w:color="0D0D0D" w:themeColor="text1" w:themeTint="F2"/>
              <w:right w:val="single" w:sz="8" w:space="0" w:color="0D0D0D" w:themeColor="text1" w:themeTint="F2"/>
            </w:tcBorders>
            <w:shd w:val="clear" w:color="auto" w:fill="28666E"/>
            <w:vAlign w:val="center"/>
          </w:tcPr>
          <w:p w14:paraId="6A2F0187" w14:textId="51259BB2" w:rsidR="00683939" w:rsidRPr="000E2B0C" w:rsidRDefault="00683939" w:rsidP="0054509C">
            <w:pPr>
              <w:rPr>
                <w:b/>
                <w:bCs/>
                <w:color w:val="FFFFFF" w:themeColor="background1"/>
              </w:rPr>
            </w:pPr>
            <w:r w:rsidRPr="000E2B0C">
              <w:rPr>
                <w:b/>
                <w:bCs/>
                <w:color w:val="FFFFFF" w:themeColor="background1"/>
              </w:rPr>
              <w:t>Description</w:t>
            </w:r>
          </w:p>
        </w:tc>
      </w:tr>
      <w:tr w:rsidR="00683939" w14:paraId="40D10753" w14:textId="77777777" w:rsidTr="00DF519F">
        <w:trPr>
          <w:trHeight w:val="20"/>
        </w:trPr>
        <w:tc>
          <w:tcPr>
            <w:tcW w:w="355" w:type="dxa"/>
            <w:tcBorders>
              <w:top w:val="single" w:sz="8" w:space="0" w:color="0D0D0D" w:themeColor="text1" w:themeTint="F2"/>
              <w:left w:val="single" w:sz="8" w:space="0" w:color="0D0D0D" w:themeColor="text1" w:themeTint="F2"/>
            </w:tcBorders>
          </w:tcPr>
          <w:p w14:paraId="36337EB3" w14:textId="599A030B" w:rsidR="00683939" w:rsidRDefault="00683939" w:rsidP="00683939">
            <w:r>
              <w:t>1</w:t>
            </w:r>
          </w:p>
        </w:tc>
        <w:tc>
          <w:tcPr>
            <w:tcW w:w="2610" w:type="dxa"/>
            <w:tcBorders>
              <w:top w:val="single" w:sz="8" w:space="0" w:color="0D0D0D" w:themeColor="text1" w:themeTint="F2"/>
            </w:tcBorders>
          </w:tcPr>
          <w:p w14:paraId="70905CD6" w14:textId="42CBFC05" w:rsidR="00683939" w:rsidRDefault="00683939" w:rsidP="00683939">
            <w:r>
              <w:t>State Health Department</w:t>
            </w:r>
          </w:p>
        </w:tc>
        <w:tc>
          <w:tcPr>
            <w:tcW w:w="6385" w:type="dxa"/>
            <w:tcBorders>
              <w:top w:val="single" w:sz="8" w:space="0" w:color="0D0D0D" w:themeColor="text1" w:themeTint="F2"/>
              <w:right w:val="single" w:sz="8" w:space="0" w:color="0D0D0D" w:themeColor="text1" w:themeTint="F2"/>
            </w:tcBorders>
          </w:tcPr>
          <w:p w14:paraId="6D466657" w14:textId="52CD8C2A" w:rsidR="00683939" w:rsidRDefault="00683939" w:rsidP="00683939">
            <w:r w:rsidRPr="00683939">
              <w:t xml:space="preserve">In some states, local health departments will monitor water bodies for wastewater contamination. For example, in New York, the Department of Health (DOH) monitors local fresh and marine waters for fecal contamination including </w:t>
            </w:r>
            <w:r w:rsidRPr="00683939">
              <w:rPr>
                <w:i/>
                <w:iCs/>
              </w:rPr>
              <w:t xml:space="preserve">E. coli </w:t>
            </w:r>
            <w:r w:rsidRPr="00683939">
              <w:t xml:space="preserve">and </w:t>
            </w:r>
            <w:r w:rsidRPr="00683939">
              <w:rPr>
                <w:i/>
                <w:iCs/>
              </w:rPr>
              <w:t>Enterococci</w:t>
            </w:r>
            <w:r w:rsidRPr="00683939">
              <w:t>. Based on the results, they issue advisories related to swimming safety and seafood consumption.</w:t>
            </w:r>
          </w:p>
        </w:tc>
      </w:tr>
      <w:tr w:rsidR="00683939" w14:paraId="461042B8" w14:textId="77777777" w:rsidTr="00DF519F">
        <w:trPr>
          <w:trHeight w:val="20"/>
        </w:trPr>
        <w:tc>
          <w:tcPr>
            <w:tcW w:w="355" w:type="dxa"/>
            <w:tcBorders>
              <w:left w:val="single" w:sz="8" w:space="0" w:color="0D0D0D" w:themeColor="text1" w:themeTint="F2"/>
            </w:tcBorders>
          </w:tcPr>
          <w:p w14:paraId="2E12CE66" w14:textId="0473A4A0" w:rsidR="00683939" w:rsidRDefault="00683939" w:rsidP="00683939">
            <w:r>
              <w:t>2</w:t>
            </w:r>
          </w:p>
        </w:tc>
        <w:tc>
          <w:tcPr>
            <w:tcW w:w="2610" w:type="dxa"/>
          </w:tcPr>
          <w:p w14:paraId="2284F154" w14:textId="52BCC73F" w:rsidR="00683939" w:rsidRDefault="00683939" w:rsidP="00683939">
            <w:r>
              <w:t>State Environmental and/or Natural Resource Department</w:t>
            </w:r>
          </w:p>
        </w:tc>
        <w:tc>
          <w:tcPr>
            <w:tcW w:w="6385" w:type="dxa"/>
            <w:tcBorders>
              <w:right w:val="single" w:sz="8" w:space="0" w:color="0D0D0D" w:themeColor="text1" w:themeTint="F2"/>
            </w:tcBorders>
          </w:tcPr>
          <w:p w14:paraId="612AE7EC" w14:textId="3CEEAB4B" w:rsidR="00683939" w:rsidRDefault="00683939" w:rsidP="00683939">
            <w:r w:rsidRPr="00683939">
              <w:t>In some states, agencies responsible for environmental protection and/or natural resources may also monitor water bodies for wastewater discharge or provide information about sources of contamination. For example, in New York, the Department of Environmental Conservation (DEC) publishes information about known (point) sources of wastewater pollution, such as outflows from Combined Sewage Outfalls (CSOs).</w:t>
            </w:r>
          </w:p>
        </w:tc>
      </w:tr>
      <w:tr w:rsidR="00683939" w14:paraId="50D856C0" w14:textId="77777777" w:rsidTr="00DF519F">
        <w:trPr>
          <w:trHeight w:val="20"/>
        </w:trPr>
        <w:tc>
          <w:tcPr>
            <w:tcW w:w="355" w:type="dxa"/>
            <w:tcBorders>
              <w:left w:val="single" w:sz="8" w:space="0" w:color="0D0D0D" w:themeColor="text1" w:themeTint="F2"/>
            </w:tcBorders>
          </w:tcPr>
          <w:p w14:paraId="78DC5B97" w14:textId="637F499E" w:rsidR="00683939" w:rsidRDefault="00683939" w:rsidP="00683939">
            <w:r>
              <w:t>3</w:t>
            </w:r>
          </w:p>
        </w:tc>
        <w:tc>
          <w:tcPr>
            <w:tcW w:w="2610" w:type="dxa"/>
          </w:tcPr>
          <w:p w14:paraId="38B2AC63" w14:textId="7A5E9EEF" w:rsidR="00683939" w:rsidRDefault="00683939" w:rsidP="00683939">
            <w:r>
              <w:t>State Department of Agriculture</w:t>
            </w:r>
          </w:p>
        </w:tc>
        <w:tc>
          <w:tcPr>
            <w:tcW w:w="6385" w:type="dxa"/>
            <w:tcBorders>
              <w:right w:val="single" w:sz="8" w:space="0" w:color="0D0D0D" w:themeColor="text1" w:themeTint="F2"/>
            </w:tcBorders>
          </w:tcPr>
          <w:p w14:paraId="398C279C" w14:textId="7A2E186A" w:rsidR="00683939" w:rsidRDefault="00683939" w:rsidP="00683939">
            <w:r w:rsidRPr="00683939">
              <w:t>Agriculture Departments in many states are typically responsible for overseeing food safety and agriculture production. Local Agriculture Departments may also be a helpful resource for identifying potential contaminants of concern.</w:t>
            </w:r>
          </w:p>
        </w:tc>
      </w:tr>
      <w:tr w:rsidR="00683939" w14:paraId="51F127F5" w14:textId="77777777" w:rsidTr="00DF519F">
        <w:trPr>
          <w:trHeight w:val="20"/>
        </w:trPr>
        <w:tc>
          <w:tcPr>
            <w:tcW w:w="355" w:type="dxa"/>
            <w:tcBorders>
              <w:left w:val="single" w:sz="8" w:space="0" w:color="0D0D0D" w:themeColor="text1" w:themeTint="F2"/>
            </w:tcBorders>
          </w:tcPr>
          <w:p w14:paraId="1684DDBE" w14:textId="253814C8" w:rsidR="00683939" w:rsidRDefault="00683939" w:rsidP="00683939">
            <w:r>
              <w:t>4</w:t>
            </w:r>
          </w:p>
        </w:tc>
        <w:tc>
          <w:tcPr>
            <w:tcW w:w="2610" w:type="dxa"/>
          </w:tcPr>
          <w:p w14:paraId="023B7B46" w14:textId="177A0F56" w:rsidR="00683939" w:rsidRDefault="00683939" w:rsidP="00683939">
            <w:r>
              <w:t>State Shellfish Control Authority</w:t>
            </w:r>
          </w:p>
        </w:tc>
        <w:tc>
          <w:tcPr>
            <w:tcW w:w="6385" w:type="dxa"/>
            <w:tcBorders>
              <w:right w:val="single" w:sz="8" w:space="0" w:color="0D0D0D" w:themeColor="text1" w:themeTint="F2"/>
            </w:tcBorders>
          </w:tcPr>
          <w:p w14:paraId="3EF4D737" w14:textId="4AC7F2C3" w:rsidR="00683939" w:rsidRDefault="00683939" w:rsidP="00683939">
            <w:r w:rsidRPr="00683939">
              <w:t>States where shellfish are farmed or harvested will have a Shellfish Control Authority that typically monitors marine waters for bacterial and viral hazards, including fecal indicator bacteria. This authority also determines which coastal waters are approved for safe shellfish harvesting, which may apply to seaweed production and harvest.</w:t>
            </w:r>
          </w:p>
        </w:tc>
      </w:tr>
      <w:tr w:rsidR="00683939" w14:paraId="385B7BE4" w14:textId="77777777" w:rsidTr="00DF519F">
        <w:trPr>
          <w:trHeight w:val="20"/>
        </w:trPr>
        <w:tc>
          <w:tcPr>
            <w:tcW w:w="355" w:type="dxa"/>
            <w:tcBorders>
              <w:left w:val="single" w:sz="8" w:space="0" w:color="0D0D0D" w:themeColor="text1" w:themeTint="F2"/>
            </w:tcBorders>
          </w:tcPr>
          <w:p w14:paraId="2B96BDB8" w14:textId="73820316" w:rsidR="00683939" w:rsidRDefault="00683939" w:rsidP="00683939">
            <w:r>
              <w:t>5</w:t>
            </w:r>
          </w:p>
        </w:tc>
        <w:tc>
          <w:tcPr>
            <w:tcW w:w="2610" w:type="dxa"/>
          </w:tcPr>
          <w:p w14:paraId="50F8FBE8" w14:textId="45A36B46" w:rsidR="00683939" w:rsidRDefault="00683939" w:rsidP="00683939">
            <w:r>
              <w:t>State Land Grant and Sea Grant Extension</w:t>
            </w:r>
          </w:p>
        </w:tc>
        <w:tc>
          <w:tcPr>
            <w:tcW w:w="6385" w:type="dxa"/>
            <w:tcBorders>
              <w:right w:val="single" w:sz="8" w:space="0" w:color="0D0D0D" w:themeColor="text1" w:themeTint="F2"/>
            </w:tcBorders>
          </w:tcPr>
          <w:p w14:paraId="7AE4D8BB" w14:textId="532E5EC6" w:rsidR="00683939" w:rsidRDefault="00683939" w:rsidP="00683939">
            <w:r w:rsidRPr="00683939">
              <w:t xml:space="preserve">State Land Grant Extension and Sea Grant Extension programs may have specialists who may be able to assist with identifying contaminants of concern in your region. </w:t>
            </w:r>
          </w:p>
        </w:tc>
      </w:tr>
      <w:tr w:rsidR="00683939" w14:paraId="4D197168" w14:textId="77777777" w:rsidTr="00DF519F">
        <w:trPr>
          <w:trHeight w:val="20"/>
        </w:trPr>
        <w:tc>
          <w:tcPr>
            <w:tcW w:w="355" w:type="dxa"/>
            <w:tcBorders>
              <w:left w:val="single" w:sz="8" w:space="0" w:color="0D0D0D" w:themeColor="text1" w:themeTint="F2"/>
            </w:tcBorders>
          </w:tcPr>
          <w:p w14:paraId="28AC9A58" w14:textId="5DBD594D" w:rsidR="00683939" w:rsidRDefault="00683939" w:rsidP="00683939">
            <w:r>
              <w:t>6</w:t>
            </w:r>
          </w:p>
        </w:tc>
        <w:tc>
          <w:tcPr>
            <w:tcW w:w="2610" w:type="dxa"/>
          </w:tcPr>
          <w:p w14:paraId="00A9E482" w14:textId="71EE6843" w:rsidR="00683939" w:rsidRDefault="00683939" w:rsidP="00683939">
            <w:r>
              <w:t>Federal Environmental Protection Agency (EPA)</w:t>
            </w:r>
          </w:p>
        </w:tc>
        <w:tc>
          <w:tcPr>
            <w:tcW w:w="6385" w:type="dxa"/>
            <w:tcBorders>
              <w:right w:val="single" w:sz="8" w:space="0" w:color="0D0D0D" w:themeColor="text1" w:themeTint="F2"/>
            </w:tcBorders>
          </w:tcPr>
          <w:p w14:paraId="10B00E18" w14:textId="14B9CAA6" w:rsidR="00683939" w:rsidRDefault="00683939" w:rsidP="00683939">
            <w:r w:rsidRPr="00683939">
              <w:t xml:space="preserve">The EPA manages the ECHO (Enforcement and Compliance History Online) database, which can be used to identify point sources of microbial pollution (Category: Pathogen Indicators) across the U.S. </w:t>
            </w:r>
            <w:hyperlink r:id="rId60" w:history="1">
              <w:r w:rsidRPr="00C57EA7">
                <w:rPr>
                  <w:rStyle w:val="Hyperlink"/>
                </w:rPr>
                <w:t>https://echo.epa.gov/</w:t>
              </w:r>
            </w:hyperlink>
            <w:r>
              <w:t xml:space="preserve"> </w:t>
            </w:r>
          </w:p>
        </w:tc>
      </w:tr>
      <w:tr w:rsidR="00683939" w14:paraId="0ABFAB7F" w14:textId="77777777" w:rsidTr="00DF519F">
        <w:trPr>
          <w:trHeight w:val="20"/>
        </w:trPr>
        <w:tc>
          <w:tcPr>
            <w:tcW w:w="355" w:type="dxa"/>
            <w:tcBorders>
              <w:left w:val="single" w:sz="8" w:space="0" w:color="0D0D0D" w:themeColor="text1" w:themeTint="F2"/>
            </w:tcBorders>
          </w:tcPr>
          <w:p w14:paraId="64207B15" w14:textId="4417D7FB" w:rsidR="00683939" w:rsidRDefault="00683939" w:rsidP="00683939">
            <w:r>
              <w:t>7</w:t>
            </w:r>
          </w:p>
        </w:tc>
        <w:tc>
          <w:tcPr>
            <w:tcW w:w="2610" w:type="dxa"/>
          </w:tcPr>
          <w:p w14:paraId="4D1EC41F" w14:textId="6222CA99" w:rsidR="00683939" w:rsidRDefault="00683939" w:rsidP="00683939">
            <w:r>
              <w:t>Tribal Governments</w:t>
            </w:r>
          </w:p>
        </w:tc>
        <w:tc>
          <w:tcPr>
            <w:tcW w:w="6385" w:type="dxa"/>
            <w:tcBorders>
              <w:right w:val="single" w:sz="8" w:space="0" w:color="0D0D0D" w:themeColor="text1" w:themeTint="F2"/>
            </w:tcBorders>
          </w:tcPr>
          <w:p w14:paraId="3056BDE4" w14:textId="7A5F3A27" w:rsidR="00683939" w:rsidRDefault="00683939" w:rsidP="00683939">
            <w:r w:rsidRPr="00683939">
              <w:t xml:space="preserve">Tribal governments may have independent permitting processes and standards for approving waters for harvest and aquaculture practices. These organizations may also monitor </w:t>
            </w:r>
            <w:r w:rsidRPr="00683939">
              <w:lastRenderedPageBreak/>
              <w:t>water bodies adjacent to tribal lands for wastewater or other sources of pathogen contamination.</w:t>
            </w:r>
          </w:p>
        </w:tc>
      </w:tr>
      <w:tr w:rsidR="00683939" w14:paraId="62274507" w14:textId="77777777" w:rsidTr="00DF519F">
        <w:trPr>
          <w:trHeight w:val="20"/>
        </w:trPr>
        <w:tc>
          <w:tcPr>
            <w:tcW w:w="355" w:type="dxa"/>
            <w:tcBorders>
              <w:left w:val="single" w:sz="8" w:space="0" w:color="0D0D0D" w:themeColor="text1" w:themeTint="F2"/>
            </w:tcBorders>
          </w:tcPr>
          <w:p w14:paraId="25B4C233" w14:textId="4E1EE333" w:rsidR="00683939" w:rsidRDefault="00683939" w:rsidP="00683939">
            <w:r>
              <w:lastRenderedPageBreak/>
              <w:t>8</w:t>
            </w:r>
          </w:p>
        </w:tc>
        <w:tc>
          <w:tcPr>
            <w:tcW w:w="2610" w:type="dxa"/>
          </w:tcPr>
          <w:p w14:paraId="228AE650" w14:textId="6BC33DF3" w:rsidR="00683939" w:rsidRDefault="00683939" w:rsidP="00683939">
            <w:r>
              <w:t>Business Planning for Kelp Farming: Resources Annex</w:t>
            </w:r>
          </w:p>
        </w:tc>
        <w:tc>
          <w:tcPr>
            <w:tcW w:w="6385" w:type="dxa"/>
            <w:tcBorders>
              <w:right w:val="single" w:sz="8" w:space="0" w:color="0D0D0D" w:themeColor="text1" w:themeTint="F2"/>
            </w:tcBorders>
          </w:tcPr>
          <w:p w14:paraId="45B23EFD" w14:textId="1311AC71" w:rsidR="00683939" w:rsidRDefault="00683939" w:rsidP="00683939">
            <w:r w:rsidRPr="00683939">
              <w:t xml:space="preserve">Connecticut Sea Grant’s </w:t>
            </w:r>
            <w:hyperlink r:id="rId61" w:history="1">
              <w:r w:rsidRPr="00683939">
                <w:rPr>
                  <w:rStyle w:val="Hyperlink"/>
                  <w:i/>
                  <w:iCs/>
                </w:rPr>
                <w:t>Business Planning Guide for Kelp Farming</w:t>
              </w:r>
            </w:hyperlink>
            <w:r w:rsidRPr="00683939">
              <w:t xml:space="preserve"> </w:t>
            </w:r>
            <w:r w:rsidR="004134D0">
              <w:t xml:space="preserve">(PDF) </w:t>
            </w:r>
            <w:r w:rsidRPr="00683939">
              <w:t>has an annex of resources that could provide additional contacts by state who could support in identifying potential contaminants of concern.</w:t>
            </w:r>
          </w:p>
        </w:tc>
      </w:tr>
      <w:tr w:rsidR="00683939" w14:paraId="2E0FEC00" w14:textId="77777777" w:rsidTr="00DF519F">
        <w:trPr>
          <w:trHeight w:val="20"/>
        </w:trPr>
        <w:tc>
          <w:tcPr>
            <w:tcW w:w="355" w:type="dxa"/>
            <w:tcBorders>
              <w:left w:val="single" w:sz="8" w:space="0" w:color="0D0D0D" w:themeColor="text1" w:themeTint="F2"/>
              <w:bottom w:val="single" w:sz="8" w:space="0" w:color="0D0D0D" w:themeColor="text1" w:themeTint="F2"/>
            </w:tcBorders>
          </w:tcPr>
          <w:p w14:paraId="077EC434" w14:textId="11FEF91E" w:rsidR="00683939" w:rsidRDefault="00683939" w:rsidP="00683939">
            <w:r>
              <w:t>9</w:t>
            </w:r>
          </w:p>
        </w:tc>
        <w:tc>
          <w:tcPr>
            <w:tcW w:w="2610" w:type="dxa"/>
            <w:tcBorders>
              <w:bottom w:val="single" w:sz="8" w:space="0" w:color="0D0D0D" w:themeColor="text1" w:themeTint="F2"/>
            </w:tcBorders>
          </w:tcPr>
          <w:p w14:paraId="2539C4A7" w14:textId="3C2C8279" w:rsidR="00683939" w:rsidRDefault="00683939" w:rsidP="00683939">
            <w:r>
              <w:t>Citizen Science and/or Non-Profit Environmental Organizations</w:t>
            </w:r>
          </w:p>
        </w:tc>
        <w:tc>
          <w:tcPr>
            <w:tcW w:w="6385" w:type="dxa"/>
            <w:tcBorders>
              <w:bottom w:val="single" w:sz="8" w:space="0" w:color="0D0D0D" w:themeColor="text1" w:themeTint="F2"/>
              <w:right w:val="single" w:sz="8" w:space="0" w:color="0D0D0D" w:themeColor="text1" w:themeTint="F2"/>
            </w:tcBorders>
          </w:tcPr>
          <w:p w14:paraId="3439F244" w14:textId="5FEB689A" w:rsidR="00683939" w:rsidRDefault="00683939" w:rsidP="00683939">
            <w:r w:rsidRPr="00683939">
              <w:t>Local citizen science and/or environmental outreach programs may have on-going water quality monitoring programs that include data from testing for fecal indicator bacteria.</w:t>
            </w:r>
          </w:p>
        </w:tc>
      </w:tr>
    </w:tbl>
    <w:p w14:paraId="3DF13E58" w14:textId="1B94A4E6" w:rsidR="002F6074" w:rsidRDefault="00683939" w:rsidP="00441BE0">
      <w:pPr>
        <w:pStyle w:val="Heading2"/>
      </w:pPr>
      <w:bookmarkStart w:id="109" w:name="_Toc208503197"/>
      <w:r>
        <w:t>Control Strategies</w:t>
      </w:r>
      <w:bookmarkEnd w:id="109"/>
    </w:p>
    <w:p w14:paraId="0404AA63" w14:textId="15A5C7FE" w:rsidR="00045395" w:rsidRDefault="00045395" w:rsidP="00C54E07">
      <w:pPr>
        <w:pStyle w:val="Caption"/>
      </w:pPr>
      <w:r w:rsidRPr="00045395">
        <w:rPr>
          <w:b/>
          <w:bCs/>
        </w:rPr>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5</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3</w:t>
      </w:r>
      <w:r w:rsidR="00896F22">
        <w:rPr>
          <w:b/>
          <w:bCs/>
        </w:rPr>
        <w:fldChar w:fldCharType="end"/>
      </w:r>
      <w:r w:rsidRPr="00045395">
        <w:rPr>
          <w:b/>
          <w:bCs/>
        </w:rPr>
        <w:t>:</w:t>
      </w:r>
      <w:r>
        <w:t xml:space="preserve"> </w:t>
      </w:r>
      <w:r w:rsidRPr="00903E30">
        <w:t xml:space="preserve">Control Strategies for </w:t>
      </w:r>
      <w:r>
        <w:t>Pathogens in the Harvest Area for</w:t>
      </w:r>
      <w:r w:rsidRPr="00903E30">
        <w:t xml:space="preserve"> </w:t>
      </w:r>
      <w:r>
        <w:t>S</w:t>
      </w:r>
      <w:r w:rsidRPr="00903E30">
        <w:t>eaweeds</w:t>
      </w:r>
    </w:p>
    <w:tbl>
      <w:tblPr>
        <w:tblStyle w:val="TableGrid"/>
        <w:tblW w:w="0" w:type="auto"/>
        <w:tblInd w:w="-5" w:type="dxa"/>
        <w:tblLook w:val="04A0" w:firstRow="1" w:lastRow="0" w:firstColumn="1" w:lastColumn="0" w:noHBand="0" w:noVBand="1"/>
      </w:tblPr>
      <w:tblGrid>
        <w:gridCol w:w="2460"/>
        <w:gridCol w:w="2460"/>
        <w:gridCol w:w="2460"/>
      </w:tblGrid>
      <w:tr w:rsidR="00EB199E" w14:paraId="7862D5C4" w14:textId="77777777" w:rsidTr="00045395">
        <w:trPr>
          <w:trHeight w:val="467"/>
        </w:trPr>
        <w:tc>
          <w:tcPr>
            <w:tcW w:w="2460" w:type="dxa"/>
            <w:vAlign w:val="bottom"/>
          </w:tcPr>
          <w:p w14:paraId="3303A4B1" w14:textId="71DAB3CB" w:rsidR="00EB199E" w:rsidRPr="00EB199E" w:rsidRDefault="00EB199E" w:rsidP="00EB199E">
            <w:pPr>
              <w:jc w:val="center"/>
              <w:rPr>
                <w:b/>
                <w:bCs/>
              </w:rPr>
            </w:pPr>
            <w:r w:rsidRPr="00EB199E">
              <w:rPr>
                <w:b/>
                <w:bCs/>
              </w:rPr>
              <w:t>Control Strategy</w:t>
            </w:r>
          </w:p>
        </w:tc>
        <w:tc>
          <w:tcPr>
            <w:tcW w:w="2460" w:type="dxa"/>
            <w:vAlign w:val="bottom"/>
          </w:tcPr>
          <w:p w14:paraId="2DD1FBEF" w14:textId="45C68A9C" w:rsidR="00EB199E" w:rsidRPr="00EB199E" w:rsidRDefault="00EB199E" w:rsidP="00EB199E">
            <w:pPr>
              <w:jc w:val="center"/>
              <w:rPr>
                <w:b/>
                <w:bCs/>
              </w:rPr>
            </w:pPr>
            <w:r w:rsidRPr="00EB199E">
              <w:rPr>
                <w:b/>
                <w:bCs/>
              </w:rPr>
              <w:t>Primary Processor</w:t>
            </w:r>
          </w:p>
        </w:tc>
        <w:tc>
          <w:tcPr>
            <w:tcW w:w="2460" w:type="dxa"/>
            <w:vAlign w:val="bottom"/>
          </w:tcPr>
          <w:p w14:paraId="6BBACD4C" w14:textId="456EB3BE" w:rsidR="00EB199E" w:rsidRPr="00EB199E" w:rsidRDefault="00EB199E" w:rsidP="00EB199E">
            <w:pPr>
              <w:jc w:val="center"/>
              <w:rPr>
                <w:b/>
                <w:bCs/>
              </w:rPr>
            </w:pPr>
            <w:r w:rsidRPr="00EB199E">
              <w:rPr>
                <w:b/>
                <w:bCs/>
              </w:rPr>
              <w:t>Secondary Processor</w:t>
            </w:r>
          </w:p>
        </w:tc>
      </w:tr>
      <w:tr w:rsidR="00EB199E" w14:paraId="346600EC" w14:textId="77777777" w:rsidTr="00045395">
        <w:trPr>
          <w:trHeight w:val="521"/>
        </w:trPr>
        <w:tc>
          <w:tcPr>
            <w:tcW w:w="2460" w:type="dxa"/>
            <w:vAlign w:val="center"/>
          </w:tcPr>
          <w:p w14:paraId="02AFB578" w14:textId="5D2FC3D7" w:rsidR="00EB199E" w:rsidRDefault="00EB199E" w:rsidP="00EB199E">
            <w:r>
              <w:t>Source Control</w:t>
            </w:r>
          </w:p>
        </w:tc>
        <w:tc>
          <w:tcPr>
            <w:tcW w:w="2460" w:type="dxa"/>
            <w:vAlign w:val="center"/>
          </w:tcPr>
          <w:p w14:paraId="29D17A69" w14:textId="67AD569A" w:rsidR="00EB199E" w:rsidRDefault="00EB199E" w:rsidP="00EB199E">
            <w:pPr>
              <w:jc w:val="center"/>
            </w:pPr>
            <w:r w:rsidRPr="00587FA2">
              <w:rPr>
                <w:rFonts w:ascii="Wingdings" w:hAnsi="Wingdings" w:cs="Calibri"/>
                <w:b/>
                <w:bCs/>
              </w:rPr>
              <w:t>ü</w:t>
            </w:r>
          </w:p>
        </w:tc>
        <w:tc>
          <w:tcPr>
            <w:tcW w:w="2460" w:type="dxa"/>
            <w:vAlign w:val="center"/>
          </w:tcPr>
          <w:p w14:paraId="6451E25D" w14:textId="77777777" w:rsidR="00EB199E" w:rsidRDefault="00EB199E" w:rsidP="00EB199E">
            <w:pPr>
              <w:jc w:val="center"/>
            </w:pPr>
          </w:p>
        </w:tc>
      </w:tr>
      <w:tr w:rsidR="00EB199E" w14:paraId="49C1759A" w14:textId="77777777" w:rsidTr="00045395">
        <w:trPr>
          <w:trHeight w:val="521"/>
        </w:trPr>
        <w:tc>
          <w:tcPr>
            <w:tcW w:w="2460" w:type="dxa"/>
            <w:vAlign w:val="center"/>
          </w:tcPr>
          <w:p w14:paraId="483E303B" w14:textId="61EBE24A" w:rsidR="00EB199E" w:rsidRDefault="00EB199E" w:rsidP="00EB199E">
            <w:r>
              <w:t>Temperature Control</w:t>
            </w:r>
          </w:p>
        </w:tc>
        <w:tc>
          <w:tcPr>
            <w:tcW w:w="2460" w:type="dxa"/>
            <w:vAlign w:val="center"/>
          </w:tcPr>
          <w:p w14:paraId="14CD20C0" w14:textId="7FE02E41" w:rsidR="00EB199E" w:rsidRDefault="00EB199E" w:rsidP="00EB199E">
            <w:pPr>
              <w:jc w:val="center"/>
            </w:pPr>
            <w:r w:rsidRPr="00587FA2">
              <w:rPr>
                <w:rFonts w:ascii="Wingdings" w:hAnsi="Wingdings" w:cs="Calibri"/>
                <w:b/>
                <w:bCs/>
              </w:rPr>
              <w:t>ü</w:t>
            </w:r>
          </w:p>
        </w:tc>
        <w:tc>
          <w:tcPr>
            <w:tcW w:w="2460" w:type="dxa"/>
            <w:vAlign w:val="center"/>
          </w:tcPr>
          <w:p w14:paraId="1C6E2D02" w14:textId="77777777" w:rsidR="00EB199E" w:rsidRDefault="00EB199E" w:rsidP="00EB199E">
            <w:pPr>
              <w:jc w:val="center"/>
            </w:pPr>
          </w:p>
        </w:tc>
      </w:tr>
    </w:tbl>
    <w:p w14:paraId="0AD132F3" w14:textId="494F6C66" w:rsidR="00EB199E" w:rsidRDefault="00EB199E" w:rsidP="00691E23">
      <w:pPr>
        <w:pStyle w:val="Heading3"/>
      </w:pPr>
      <w:bookmarkStart w:id="110" w:name="_Toc208503198"/>
      <w:r>
        <w:t>Control Strategy 1</w:t>
      </w:r>
      <w:r w:rsidRPr="00EB199E">
        <w:t xml:space="preserve"> –</w:t>
      </w:r>
      <w:r>
        <w:t xml:space="preserve"> Source Control</w:t>
      </w:r>
      <w:bookmarkEnd w:id="110"/>
    </w:p>
    <w:p w14:paraId="43E8CBDF" w14:textId="6AF0E8D6" w:rsidR="00EB199E" w:rsidRDefault="00EB199E" w:rsidP="00846B8F">
      <w:pPr>
        <w:pStyle w:val="ListParagraph"/>
        <w:numPr>
          <w:ilvl w:val="0"/>
          <w:numId w:val="25"/>
        </w:numPr>
        <w:spacing w:before="240"/>
        <w:contextualSpacing w:val="0"/>
      </w:pPr>
      <w:r>
        <w:t>If the seaweed will be eaten raw, the Primary Processor should not accept the seaweed if:</w:t>
      </w:r>
    </w:p>
    <w:p w14:paraId="54E1FE9B" w14:textId="77777777" w:rsidR="00EB199E" w:rsidRDefault="00EB199E" w:rsidP="00846B8F">
      <w:pPr>
        <w:pStyle w:val="ListParagraph"/>
        <w:numPr>
          <w:ilvl w:val="0"/>
          <w:numId w:val="25"/>
        </w:numPr>
        <w:contextualSpacing w:val="0"/>
      </w:pPr>
      <w:r>
        <w:t>The harvest area is closed to fishing or farming by any government or tribal authority, OR</w:t>
      </w:r>
    </w:p>
    <w:p w14:paraId="7CF15CEB" w14:textId="77777777" w:rsidR="00EB199E" w:rsidRDefault="00EB199E" w:rsidP="00846B8F">
      <w:pPr>
        <w:pStyle w:val="ListParagraph"/>
        <w:numPr>
          <w:ilvl w:val="0"/>
          <w:numId w:val="25"/>
        </w:numPr>
        <w:contextualSpacing w:val="0"/>
      </w:pPr>
      <w:r>
        <w:t>There is a public health advisory warning people not to eat seafood from that area, OR</w:t>
      </w:r>
    </w:p>
    <w:p w14:paraId="528690B1" w14:textId="77777777" w:rsidR="00EB199E" w:rsidRDefault="00EB199E" w:rsidP="00846B8F">
      <w:pPr>
        <w:pStyle w:val="ListParagraph"/>
        <w:numPr>
          <w:ilvl w:val="0"/>
          <w:numId w:val="25"/>
        </w:numPr>
        <w:contextualSpacing w:val="0"/>
      </w:pPr>
      <w:r>
        <w:t>The species is known to carry or be contaminated with unsafe levels of specific pathogens.</w:t>
      </w:r>
    </w:p>
    <w:p w14:paraId="0F69B0BE" w14:textId="44AAE3C5" w:rsidR="00EB199E" w:rsidRDefault="00EB199E" w:rsidP="00691E23">
      <w:pPr>
        <w:pStyle w:val="Heading4"/>
      </w:pPr>
      <w:r>
        <w:t>Critical Limit(s)/Parameter(s) and Value(s)</w:t>
      </w:r>
    </w:p>
    <w:p w14:paraId="64AE25B7" w14:textId="372145A4" w:rsidR="00EB199E" w:rsidRDefault="00EB199E" w:rsidP="00846B8F">
      <w:pPr>
        <w:pStyle w:val="ListParagraph"/>
        <w:numPr>
          <w:ilvl w:val="0"/>
          <w:numId w:val="26"/>
        </w:numPr>
        <w:spacing w:before="240"/>
        <w:contextualSpacing w:val="0"/>
      </w:pPr>
      <w:r>
        <w:t>Seaweed is grown and/or harvested from approved waters with no health or consumption advisories by federal, state, tribal, territorial, local, or foreign regulatory authorities</w:t>
      </w:r>
    </w:p>
    <w:p w14:paraId="07E9BC45" w14:textId="2D78BC2A" w:rsidR="00EB199E" w:rsidRDefault="00EB199E" w:rsidP="00846B8F">
      <w:pPr>
        <w:pStyle w:val="ListParagraph"/>
        <w:numPr>
          <w:ilvl w:val="1"/>
          <w:numId w:val="26"/>
        </w:numPr>
        <w:contextualSpacing w:val="0"/>
      </w:pPr>
      <w:r>
        <w:lastRenderedPageBreak/>
        <w:t>NOTE: Most advisories are written for fish or shellfish. Unless a state has a program to test and certify seaweed-growing waters specifically, these advisories may not directly mention seaweed.</w:t>
      </w:r>
    </w:p>
    <w:p w14:paraId="2CE84DED" w14:textId="77777777" w:rsidR="00EB199E" w:rsidRPr="00EB199E" w:rsidRDefault="00EB199E" w:rsidP="00DF49CA">
      <w:pPr>
        <w:ind w:left="360"/>
        <w:rPr>
          <w:b/>
          <w:bCs/>
        </w:rPr>
      </w:pPr>
      <w:r w:rsidRPr="00EB199E">
        <w:rPr>
          <w:b/>
          <w:bCs/>
        </w:rPr>
        <w:t>OR</w:t>
      </w:r>
    </w:p>
    <w:p w14:paraId="6702530A" w14:textId="77777777" w:rsidR="00EB199E" w:rsidRDefault="00EB199E" w:rsidP="00846B8F">
      <w:pPr>
        <w:pStyle w:val="ListParagraph"/>
        <w:numPr>
          <w:ilvl w:val="0"/>
          <w:numId w:val="26"/>
        </w:numPr>
        <w:contextualSpacing w:val="0"/>
      </w:pPr>
      <w:r>
        <w:t>A supplier certification or letter of guarantee is provided with each shipment, confirming the seaweed was harvested from waters safe for production, with no history of significant microbial contamination.</w:t>
      </w:r>
    </w:p>
    <w:p w14:paraId="5F388D95" w14:textId="77777777" w:rsidR="00EB199E" w:rsidRDefault="00EB199E" w:rsidP="00691E23">
      <w:pPr>
        <w:pStyle w:val="Heading4"/>
      </w:pPr>
      <w:r>
        <w:t>Monitoring – What, How, How Often, Who</w:t>
      </w:r>
    </w:p>
    <w:p w14:paraId="179C7D00" w14:textId="77777777" w:rsidR="00EB199E" w:rsidRDefault="00EB199E" w:rsidP="00846B8F">
      <w:pPr>
        <w:pStyle w:val="ListParagraph"/>
        <w:numPr>
          <w:ilvl w:val="0"/>
          <w:numId w:val="26"/>
        </w:numPr>
        <w:spacing w:before="240"/>
        <w:contextualSpacing w:val="0"/>
      </w:pPr>
      <w:r>
        <w:t>What will be monitored?</w:t>
      </w:r>
    </w:p>
    <w:p w14:paraId="697423BE" w14:textId="474BFDDC" w:rsidR="00EB199E" w:rsidRDefault="00EB199E" w:rsidP="00846B8F">
      <w:pPr>
        <w:pStyle w:val="ListParagraph"/>
        <w:numPr>
          <w:ilvl w:val="1"/>
          <w:numId w:val="26"/>
        </w:numPr>
        <w:contextualSpacing w:val="0"/>
      </w:pPr>
      <w:r>
        <w:t>The status of the harvest location, confirming that it is open and not under closure or subject to any consumption advisories related to bacterial or viral pathogens.</w:t>
      </w:r>
    </w:p>
    <w:p w14:paraId="278C1973" w14:textId="2DF815FF" w:rsidR="00EB199E" w:rsidRPr="00EB199E" w:rsidRDefault="00EB199E" w:rsidP="0001662C">
      <w:pPr>
        <w:ind w:left="720"/>
        <w:rPr>
          <w:b/>
          <w:bCs/>
        </w:rPr>
      </w:pPr>
      <w:r w:rsidRPr="00EB199E">
        <w:rPr>
          <w:b/>
          <w:bCs/>
        </w:rPr>
        <w:t>OR</w:t>
      </w:r>
    </w:p>
    <w:p w14:paraId="44B91A0F" w14:textId="4956AFE5" w:rsidR="00EB199E" w:rsidRDefault="00EB199E" w:rsidP="00846B8F">
      <w:pPr>
        <w:pStyle w:val="ListParagraph"/>
        <w:numPr>
          <w:ilvl w:val="1"/>
          <w:numId w:val="26"/>
        </w:numPr>
        <w:contextualSpacing w:val="0"/>
      </w:pPr>
      <w:r>
        <w:t>A signed supplier certification or letter of guarantee indicating that the product was harvested from waters safe for seaweed production that would not cause high levels of microbial contamination in seaweed products.</w:t>
      </w:r>
    </w:p>
    <w:p w14:paraId="0C297DA8" w14:textId="77777777" w:rsidR="00EB199E" w:rsidRDefault="00EB199E" w:rsidP="00846B8F">
      <w:pPr>
        <w:pStyle w:val="ListParagraph"/>
        <w:numPr>
          <w:ilvl w:val="0"/>
          <w:numId w:val="26"/>
        </w:numPr>
        <w:contextualSpacing w:val="0"/>
      </w:pPr>
      <w:r>
        <w:t>How will monitoring be done?</w:t>
      </w:r>
    </w:p>
    <w:p w14:paraId="2EC63F18" w14:textId="3246CB61" w:rsidR="00EB199E" w:rsidRDefault="00EB199E" w:rsidP="00846B8F">
      <w:pPr>
        <w:pStyle w:val="ListParagraph"/>
        <w:numPr>
          <w:ilvl w:val="1"/>
          <w:numId w:val="26"/>
        </w:numPr>
        <w:contextualSpacing w:val="0"/>
      </w:pPr>
      <w:r>
        <w:t>Obtain (and review) harvester or grower records provided at receipt indicating harvest location and date/time of harvest. Review harvest location and check for closures or advisories on water bodies at the time of harvest.</w:t>
      </w:r>
    </w:p>
    <w:p w14:paraId="066F43E1" w14:textId="77777777" w:rsidR="00EB199E" w:rsidRPr="00EB199E" w:rsidRDefault="00EB199E" w:rsidP="0001662C">
      <w:pPr>
        <w:ind w:left="720"/>
        <w:rPr>
          <w:b/>
          <w:bCs/>
        </w:rPr>
      </w:pPr>
      <w:r w:rsidRPr="00EB199E">
        <w:rPr>
          <w:b/>
          <w:bCs/>
        </w:rPr>
        <w:t>OR</w:t>
      </w:r>
    </w:p>
    <w:p w14:paraId="758BBF24" w14:textId="77777777" w:rsidR="00EB199E" w:rsidRDefault="00EB199E" w:rsidP="00846B8F">
      <w:pPr>
        <w:pStyle w:val="ListParagraph"/>
        <w:numPr>
          <w:ilvl w:val="1"/>
          <w:numId w:val="26"/>
        </w:numPr>
        <w:contextualSpacing w:val="0"/>
      </w:pPr>
      <w:r>
        <w:t>Visual check for certificate or letter of guarantee.</w:t>
      </w:r>
    </w:p>
    <w:p w14:paraId="0D30AEF5" w14:textId="77777777" w:rsidR="00EB199E" w:rsidRDefault="00EB199E" w:rsidP="00846B8F">
      <w:pPr>
        <w:pStyle w:val="ListParagraph"/>
        <w:numPr>
          <w:ilvl w:val="0"/>
          <w:numId w:val="26"/>
        </w:numPr>
        <w:contextualSpacing w:val="0"/>
      </w:pPr>
      <w:r>
        <w:t>How often will monitoring be done?</w:t>
      </w:r>
    </w:p>
    <w:p w14:paraId="1FB4AF9E" w14:textId="1DA6CF44" w:rsidR="00EB199E" w:rsidRDefault="00EB199E" w:rsidP="00846B8F">
      <w:pPr>
        <w:pStyle w:val="ListParagraph"/>
        <w:numPr>
          <w:ilvl w:val="1"/>
          <w:numId w:val="26"/>
        </w:numPr>
        <w:contextualSpacing w:val="0"/>
      </w:pPr>
      <w:r>
        <w:t>At the time of receipt for every lot received.</w:t>
      </w:r>
    </w:p>
    <w:p w14:paraId="71C2063B" w14:textId="77777777" w:rsidR="00EB199E" w:rsidRDefault="00EB199E" w:rsidP="00846B8F">
      <w:pPr>
        <w:pStyle w:val="ListParagraph"/>
        <w:numPr>
          <w:ilvl w:val="0"/>
          <w:numId w:val="26"/>
        </w:numPr>
        <w:contextualSpacing w:val="0"/>
      </w:pPr>
      <w:r>
        <w:t xml:space="preserve">Who will do the monitoring? </w:t>
      </w:r>
    </w:p>
    <w:p w14:paraId="3B75EA5D" w14:textId="236A2CD6" w:rsidR="00EB199E" w:rsidRDefault="00EB199E" w:rsidP="00846B8F">
      <w:pPr>
        <w:pStyle w:val="ListParagraph"/>
        <w:numPr>
          <w:ilvl w:val="1"/>
          <w:numId w:val="26"/>
        </w:numPr>
        <w:contextualSpacing w:val="0"/>
      </w:pPr>
      <w:r>
        <w:t>An individual with an understanding and knowledge of the relevant controls and procedures for monitoring.</w:t>
      </w:r>
    </w:p>
    <w:p w14:paraId="35ACBF0A" w14:textId="77777777" w:rsidR="00EB199E" w:rsidRDefault="00EB199E" w:rsidP="00691E23">
      <w:pPr>
        <w:pStyle w:val="Heading4"/>
      </w:pPr>
      <w:r>
        <w:lastRenderedPageBreak/>
        <w:t>Corrective Action/Corrections</w:t>
      </w:r>
    </w:p>
    <w:p w14:paraId="3F29A086" w14:textId="77777777" w:rsidR="00EB199E" w:rsidRDefault="00EB199E" w:rsidP="00846B8F">
      <w:pPr>
        <w:pStyle w:val="ListParagraph"/>
        <w:numPr>
          <w:ilvl w:val="0"/>
          <w:numId w:val="27"/>
        </w:numPr>
        <w:spacing w:before="240"/>
        <w:contextualSpacing w:val="0"/>
      </w:pPr>
      <w:r>
        <w:t xml:space="preserve">If the harvest location is closed to harvesting </w:t>
      </w:r>
      <w:r w:rsidRPr="00EB199E">
        <w:rPr>
          <w:b/>
          <w:bCs/>
        </w:rPr>
        <w:t>OR</w:t>
      </w:r>
      <w:r>
        <w:t xml:space="preserve"> the harvest area is under a consumption advisory; then reject the lot.</w:t>
      </w:r>
    </w:p>
    <w:p w14:paraId="3B000FDE" w14:textId="77777777" w:rsidR="00EB199E" w:rsidRDefault="00EB199E" w:rsidP="00846B8F">
      <w:pPr>
        <w:pStyle w:val="ListParagraph"/>
        <w:numPr>
          <w:ilvl w:val="0"/>
          <w:numId w:val="27"/>
        </w:numPr>
        <w:contextualSpacing w:val="0"/>
      </w:pPr>
      <w:r>
        <w:t xml:space="preserve">If proper documentation (letter of guarantee) confirming the harvest area is approved or conditionally approved was not provided, then hold the product </w:t>
      </w:r>
      <w:r w:rsidRPr="00EB199E">
        <w:rPr>
          <w:b/>
          <w:bCs/>
        </w:rPr>
        <w:t>AND</w:t>
      </w:r>
      <w:r>
        <w:t xml:space="preserve"> contact the supplier to request proper source documentation to verify safety </w:t>
      </w:r>
      <w:r w:rsidRPr="00EB199E">
        <w:rPr>
          <w:b/>
          <w:bCs/>
        </w:rPr>
        <w:t>OR</w:t>
      </w:r>
      <w:r>
        <w:t xml:space="preserve"> reject the lot.</w:t>
      </w:r>
    </w:p>
    <w:p w14:paraId="0C6D93AA" w14:textId="3B46CC02" w:rsidR="00EB199E" w:rsidRDefault="00EB199E" w:rsidP="0001662C">
      <w:r w:rsidRPr="00EB199E">
        <w:rPr>
          <w:b/>
          <w:bCs/>
        </w:rPr>
        <w:t xml:space="preserve">AND </w:t>
      </w:r>
      <w:r>
        <w:t>address the root cause to prevent future occurrence.</w:t>
      </w:r>
    </w:p>
    <w:p w14:paraId="62C69654" w14:textId="77777777" w:rsidR="00EB199E" w:rsidRDefault="00EB199E" w:rsidP="00846B8F">
      <w:pPr>
        <w:pStyle w:val="ListParagraph"/>
        <w:numPr>
          <w:ilvl w:val="0"/>
          <w:numId w:val="28"/>
        </w:numPr>
        <w:contextualSpacing w:val="0"/>
      </w:pPr>
      <w:r>
        <w:t>Review receiving requirements with the supplier and discontinue use until corrected to help prevent future errors.</w:t>
      </w:r>
    </w:p>
    <w:p w14:paraId="77820FD8" w14:textId="77777777" w:rsidR="00EB199E" w:rsidRDefault="00EB199E" w:rsidP="00691E23">
      <w:pPr>
        <w:pStyle w:val="Heading4"/>
      </w:pPr>
      <w:r>
        <w:t>Verification</w:t>
      </w:r>
    </w:p>
    <w:p w14:paraId="53A6D0EC" w14:textId="77777777" w:rsidR="00EB199E" w:rsidRDefault="00EB199E" w:rsidP="00846B8F">
      <w:pPr>
        <w:pStyle w:val="ListParagraph"/>
        <w:numPr>
          <w:ilvl w:val="0"/>
          <w:numId w:val="28"/>
        </w:numPr>
        <w:spacing w:before="240"/>
        <w:contextualSpacing w:val="0"/>
      </w:pPr>
      <w:r>
        <w:t>Within one week of when monitoring or corrective action records are made, review them to make sure all steps were completed correctly.</w:t>
      </w:r>
    </w:p>
    <w:p w14:paraId="41A9C686" w14:textId="77777777" w:rsidR="00EB199E" w:rsidRDefault="00EB199E" w:rsidP="00846B8F">
      <w:pPr>
        <w:pStyle w:val="ListParagraph"/>
        <w:numPr>
          <w:ilvl w:val="0"/>
          <w:numId w:val="28"/>
        </w:numPr>
        <w:contextualSpacing w:val="0"/>
      </w:pPr>
      <w:r>
        <w:t>Regularly monitor websites or reports from federal, state, local, or foreign regulatory authorities for any harvest restrictions or consumption advisories for the water bodies where the seaweed is grown or harvested.</w:t>
      </w:r>
    </w:p>
    <w:p w14:paraId="2931E5E3" w14:textId="77777777" w:rsidR="00EB199E" w:rsidRPr="0001662C" w:rsidRDefault="00EB199E" w:rsidP="00691E23">
      <w:pPr>
        <w:pStyle w:val="Heading4"/>
      </w:pPr>
      <w:r w:rsidRPr="0001662C">
        <w:t>Records</w:t>
      </w:r>
    </w:p>
    <w:p w14:paraId="7A4CFBD2" w14:textId="77777777" w:rsidR="00EB199E" w:rsidRDefault="00EB199E" w:rsidP="00846B8F">
      <w:pPr>
        <w:pStyle w:val="ListParagraph"/>
        <w:numPr>
          <w:ilvl w:val="0"/>
          <w:numId w:val="29"/>
        </w:numPr>
        <w:spacing w:before="240"/>
        <w:contextualSpacing w:val="0"/>
      </w:pPr>
      <w:r w:rsidRPr="0001662C">
        <w:rPr>
          <w:b/>
          <w:bCs/>
        </w:rPr>
        <w:t>Monitoring Records:</w:t>
      </w:r>
      <w:r>
        <w:t xml:space="preserve"> Receiving log including the harvest date, harvest location, quantity of seaweed, harvester contact or permit information (if purchased directly from the producer), along with verification of the harvest location’s current status OR receiving log indicating receipt of a supplier certificate or letter of guarantee, with a copy of the certificate or letter kept on file. </w:t>
      </w:r>
    </w:p>
    <w:p w14:paraId="766596A1" w14:textId="77777777" w:rsidR="00EB199E" w:rsidRDefault="00EB199E" w:rsidP="00846B8F">
      <w:pPr>
        <w:pStyle w:val="ListParagraph"/>
        <w:numPr>
          <w:ilvl w:val="0"/>
          <w:numId w:val="29"/>
        </w:numPr>
        <w:contextualSpacing w:val="0"/>
      </w:pPr>
      <w:r w:rsidRPr="0001662C">
        <w:rPr>
          <w:b/>
          <w:bCs/>
        </w:rPr>
        <w:t>Corrective Action Records:</w:t>
      </w:r>
      <w:r>
        <w:t xml:space="preserve"> Documentation of any corrective actions taken (if needed).</w:t>
      </w:r>
    </w:p>
    <w:p w14:paraId="32509BB2" w14:textId="77777777" w:rsidR="00EB199E" w:rsidRDefault="00EB199E" w:rsidP="00846B8F">
      <w:pPr>
        <w:pStyle w:val="ListParagraph"/>
        <w:numPr>
          <w:ilvl w:val="0"/>
          <w:numId w:val="29"/>
        </w:numPr>
        <w:contextualSpacing w:val="0"/>
      </w:pPr>
      <w:r w:rsidRPr="0001662C">
        <w:rPr>
          <w:b/>
          <w:bCs/>
        </w:rPr>
        <w:t>Verification Records:</w:t>
      </w:r>
      <w:r>
        <w:t xml:space="preserve"> Documentation of periodic reviews (at least once a year) of harvest locations for closures or consumption advisories.</w:t>
      </w:r>
    </w:p>
    <w:p w14:paraId="58BDAEC4" w14:textId="77777777" w:rsidR="0001662C" w:rsidRDefault="00EB199E" w:rsidP="00846B8F">
      <w:pPr>
        <w:pStyle w:val="ListParagraph"/>
        <w:numPr>
          <w:ilvl w:val="0"/>
          <w:numId w:val="29"/>
        </w:numPr>
        <w:contextualSpacing w:val="0"/>
        <w:sectPr w:rsidR="0001662C" w:rsidSect="00FC5EB5">
          <w:pgSz w:w="12240" w:h="15840"/>
          <w:pgMar w:top="1440" w:right="1440" w:bottom="1440" w:left="1440" w:header="720" w:footer="720" w:gutter="0"/>
          <w:pgNumType w:start="1" w:chapStyle="1"/>
          <w:cols w:space="720"/>
          <w:docGrid w:linePitch="360"/>
        </w:sectPr>
      </w:pPr>
      <w:r w:rsidRPr="0001662C">
        <w:rPr>
          <w:b/>
          <w:bCs/>
        </w:rPr>
        <w:t>Training Records:</w:t>
      </w:r>
      <w:r>
        <w:t xml:space="preserve"> A record of all relevant training completed.</w:t>
      </w:r>
    </w:p>
    <w:p w14:paraId="269947CB" w14:textId="448C61E4" w:rsidR="00324CA8" w:rsidRDefault="00324CA8" w:rsidP="00691E23">
      <w:pPr>
        <w:pStyle w:val="Heading4"/>
      </w:pPr>
      <w:r>
        <w:lastRenderedPageBreak/>
        <w:t>Example HACCP Plan for Source Control</w:t>
      </w:r>
    </w:p>
    <w:p w14:paraId="1CC7FAC8" w14:textId="60F51137" w:rsidR="0001662C" w:rsidRDefault="0001662C" w:rsidP="00F167D7">
      <w:pPr>
        <w:ind w:left="-540" w:right="-900"/>
      </w:pPr>
      <w:r>
        <w:t xml:space="preserve">Below are examples showing what a food safety plan could look like for this hazard. It is intended for illustrative purposes only. Each producer must develop a plan tailored to their unique products, production and processing methods, and regulatory requirements. </w:t>
      </w:r>
      <w:r w:rsidRPr="0001662C">
        <w:rPr>
          <w:b/>
          <w:bCs/>
        </w:rPr>
        <w:t>These examples should not be copied and used without modification to fit your specific operation.</w:t>
      </w:r>
    </w:p>
    <w:p w14:paraId="167B18CE" w14:textId="77777777" w:rsidR="0001662C" w:rsidRDefault="0001662C" w:rsidP="00F167D7">
      <w:pPr>
        <w:spacing w:after="0"/>
        <w:ind w:left="-540" w:right="-900"/>
      </w:pPr>
      <w:r w:rsidRPr="0001662C">
        <w:rPr>
          <w:b/>
          <w:bCs/>
        </w:rPr>
        <w:t>Control Strategy:</w:t>
      </w:r>
      <w:r>
        <w:t xml:space="preserve"> Source Control</w:t>
      </w:r>
    </w:p>
    <w:p w14:paraId="0B734EE3" w14:textId="77777777" w:rsidR="0001662C" w:rsidRDefault="0001662C" w:rsidP="00F167D7">
      <w:pPr>
        <w:spacing w:after="0"/>
        <w:ind w:left="-540" w:right="-900"/>
      </w:pPr>
      <w:r w:rsidRPr="0001662C">
        <w:rPr>
          <w:b/>
          <w:bCs/>
        </w:rPr>
        <w:t>Critical Control Point (HACCP):</w:t>
      </w:r>
      <w:r>
        <w:t xml:space="preserve"> Receiving Step</w:t>
      </w:r>
    </w:p>
    <w:p w14:paraId="75A5E138" w14:textId="77BE0BD0" w:rsidR="00677CAA" w:rsidRDefault="0001662C" w:rsidP="00F167D7">
      <w:pPr>
        <w:spacing w:after="0"/>
        <w:ind w:left="-540" w:right="-900"/>
      </w:pPr>
      <w:r w:rsidRPr="0001662C">
        <w:rPr>
          <w:b/>
          <w:bCs/>
        </w:rPr>
        <w:t>Hazard:</w:t>
      </w:r>
      <w:r>
        <w:t xml:space="preserve"> Pathogens in the Harvest Area</w:t>
      </w:r>
    </w:p>
    <w:tbl>
      <w:tblPr>
        <w:tblStyle w:val="TableGrid"/>
        <w:tblW w:w="14400" w:type="dxa"/>
        <w:tblInd w:w="-54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tblCellMar>
        <w:tblLook w:val="04A0" w:firstRow="1" w:lastRow="0" w:firstColumn="1" w:lastColumn="0" w:noHBand="0" w:noVBand="1"/>
        <w:tblCaption w:val="Example HACCP Plan for Source Control: Pathogens in the Harvest Area"/>
        <w:tblDescription w:val="Column Headers: Parameters/Values/Critical Limits, Monitoring (What/How/When/Who as subheader columns within), Corrective Action, Verification, Records."/>
      </w:tblPr>
      <w:tblGrid>
        <w:gridCol w:w="2245"/>
        <w:gridCol w:w="1470"/>
        <w:gridCol w:w="1470"/>
        <w:gridCol w:w="1470"/>
        <w:gridCol w:w="1265"/>
        <w:gridCol w:w="2160"/>
        <w:gridCol w:w="2160"/>
        <w:gridCol w:w="2160"/>
      </w:tblGrid>
      <w:tr w:rsidR="00677CAA" w14:paraId="5BC8D577" w14:textId="77777777" w:rsidTr="00DF519F">
        <w:trPr>
          <w:trHeight w:val="390"/>
        </w:trPr>
        <w:tc>
          <w:tcPr>
            <w:tcW w:w="2245" w:type="dxa"/>
            <w:vMerge w:val="restart"/>
            <w:shd w:val="clear" w:color="auto" w:fill="D1D1D1" w:themeFill="background2" w:themeFillShade="E6"/>
          </w:tcPr>
          <w:p w14:paraId="52BFA07B" w14:textId="0F92B788" w:rsidR="00677CAA" w:rsidRPr="0001662C" w:rsidRDefault="00677CAA" w:rsidP="0001662C">
            <w:pPr>
              <w:jc w:val="center"/>
              <w:rPr>
                <w:b/>
                <w:bCs/>
              </w:rPr>
            </w:pPr>
            <w:r w:rsidRPr="0001662C">
              <w:rPr>
                <w:b/>
                <w:bCs/>
              </w:rPr>
              <w:t>Parameters, Values, Critical Limits</w:t>
            </w:r>
          </w:p>
        </w:tc>
        <w:tc>
          <w:tcPr>
            <w:tcW w:w="5675" w:type="dxa"/>
            <w:gridSpan w:val="4"/>
            <w:shd w:val="clear" w:color="auto" w:fill="D1D1D1" w:themeFill="background2" w:themeFillShade="E6"/>
          </w:tcPr>
          <w:p w14:paraId="4128D118" w14:textId="29F24CCC" w:rsidR="00677CAA" w:rsidRPr="0001662C" w:rsidRDefault="00677CAA" w:rsidP="0001662C">
            <w:pPr>
              <w:jc w:val="center"/>
              <w:rPr>
                <w:b/>
                <w:bCs/>
              </w:rPr>
            </w:pPr>
            <w:r w:rsidRPr="0001662C">
              <w:rPr>
                <w:b/>
                <w:bCs/>
              </w:rPr>
              <w:t>Monitoring</w:t>
            </w:r>
          </w:p>
        </w:tc>
        <w:tc>
          <w:tcPr>
            <w:tcW w:w="2160" w:type="dxa"/>
            <w:vMerge w:val="restart"/>
            <w:shd w:val="clear" w:color="auto" w:fill="D1D1D1" w:themeFill="background2" w:themeFillShade="E6"/>
          </w:tcPr>
          <w:p w14:paraId="55EA66FA" w14:textId="406944CD" w:rsidR="00677CAA" w:rsidRPr="0001662C" w:rsidRDefault="00677CAA" w:rsidP="00677CAA">
            <w:pPr>
              <w:jc w:val="center"/>
              <w:rPr>
                <w:b/>
                <w:bCs/>
              </w:rPr>
            </w:pPr>
            <w:r w:rsidRPr="0001662C">
              <w:rPr>
                <w:b/>
                <w:bCs/>
              </w:rPr>
              <w:t>Corrective Action</w:t>
            </w:r>
          </w:p>
        </w:tc>
        <w:tc>
          <w:tcPr>
            <w:tcW w:w="2160" w:type="dxa"/>
            <w:vMerge w:val="restart"/>
            <w:shd w:val="clear" w:color="auto" w:fill="D1D1D1" w:themeFill="background2" w:themeFillShade="E6"/>
          </w:tcPr>
          <w:p w14:paraId="1C7D55D2" w14:textId="6E1ED773" w:rsidR="00677CAA" w:rsidRPr="0001662C" w:rsidRDefault="00677CAA" w:rsidP="00677CAA">
            <w:pPr>
              <w:jc w:val="center"/>
              <w:rPr>
                <w:b/>
                <w:bCs/>
              </w:rPr>
            </w:pPr>
            <w:r w:rsidRPr="0001662C">
              <w:rPr>
                <w:b/>
                <w:bCs/>
              </w:rPr>
              <w:t>Verification</w:t>
            </w:r>
          </w:p>
        </w:tc>
        <w:tc>
          <w:tcPr>
            <w:tcW w:w="2160" w:type="dxa"/>
            <w:vMerge w:val="restart"/>
            <w:shd w:val="clear" w:color="auto" w:fill="D1D1D1" w:themeFill="background2" w:themeFillShade="E6"/>
          </w:tcPr>
          <w:p w14:paraId="0F521A55" w14:textId="7CA64820" w:rsidR="00677CAA" w:rsidRPr="0001662C" w:rsidRDefault="00677CAA" w:rsidP="00677CAA">
            <w:pPr>
              <w:jc w:val="center"/>
              <w:rPr>
                <w:b/>
                <w:bCs/>
              </w:rPr>
            </w:pPr>
            <w:r w:rsidRPr="0001662C">
              <w:rPr>
                <w:b/>
                <w:bCs/>
              </w:rPr>
              <w:t>Records</w:t>
            </w:r>
          </w:p>
        </w:tc>
      </w:tr>
      <w:tr w:rsidR="00677CAA" w14:paraId="75AF21BE" w14:textId="77777777" w:rsidTr="00DF519F">
        <w:trPr>
          <w:trHeight w:val="20"/>
        </w:trPr>
        <w:tc>
          <w:tcPr>
            <w:tcW w:w="2245" w:type="dxa"/>
            <w:vMerge/>
          </w:tcPr>
          <w:p w14:paraId="42B224FA" w14:textId="77777777" w:rsidR="00677CAA" w:rsidRPr="0001662C" w:rsidRDefault="00677CAA" w:rsidP="0001662C">
            <w:pPr>
              <w:rPr>
                <w:b/>
                <w:bCs/>
              </w:rPr>
            </w:pPr>
          </w:p>
        </w:tc>
        <w:tc>
          <w:tcPr>
            <w:tcW w:w="1470" w:type="dxa"/>
            <w:shd w:val="clear" w:color="auto" w:fill="D1D1D1" w:themeFill="background2" w:themeFillShade="E6"/>
          </w:tcPr>
          <w:p w14:paraId="47415021" w14:textId="20A1AD88" w:rsidR="00677CAA" w:rsidRPr="0001662C" w:rsidRDefault="00677CAA" w:rsidP="0001662C">
            <w:pPr>
              <w:jc w:val="center"/>
              <w:rPr>
                <w:b/>
                <w:bCs/>
              </w:rPr>
            </w:pPr>
            <w:r w:rsidRPr="0001662C">
              <w:rPr>
                <w:b/>
                <w:bCs/>
              </w:rPr>
              <w:t>What</w:t>
            </w:r>
          </w:p>
        </w:tc>
        <w:tc>
          <w:tcPr>
            <w:tcW w:w="1470" w:type="dxa"/>
            <w:shd w:val="clear" w:color="auto" w:fill="D1D1D1" w:themeFill="background2" w:themeFillShade="E6"/>
          </w:tcPr>
          <w:p w14:paraId="2FABDC81" w14:textId="7B6EAE89" w:rsidR="00677CAA" w:rsidRPr="0001662C" w:rsidRDefault="00677CAA" w:rsidP="0001662C">
            <w:pPr>
              <w:jc w:val="center"/>
              <w:rPr>
                <w:b/>
                <w:bCs/>
              </w:rPr>
            </w:pPr>
            <w:r w:rsidRPr="0001662C">
              <w:rPr>
                <w:b/>
                <w:bCs/>
              </w:rPr>
              <w:t>How</w:t>
            </w:r>
          </w:p>
        </w:tc>
        <w:tc>
          <w:tcPr>
            <w:tcW w:w="1470" w:type="dxa"/>
            <w:shd w:val="clear" w:color="auto" w:fill="D1D1D1" w:themeFill="background2" w:themeFillShade="E6"/>
          </w:tcPr>
          <w:p w14:paraId="6F370485" w14:textId="1FDA414B" w:rsidR="00677CAA" w:rsidRPr="0001662C" w:rsidRDefault="00677CAA" w:rsidP="0001662C">
            <w:pPr>
              <w:jc w:val="center"/>
              <w:rPr>
                <w:b/>
                <w:bCs/>
              </w:rPr>
            </w:pPr>
            <w:r w:rsidRPr="0001662C">
              <w:rPr>
                <w:b/>
                <w:bCs/>
              </w:rPr>
              <w:t>When</w:t>
            </w:r>
          </w:p>
        </w:tc>
        <w:tc>
          <w:tcPr>
            <w:tcW w:w="1265" w:type="dxa"/>
            <w:shd w:val="clear" w:color="auto" w:fill="D1D1D1" w:themeFill="background2" w:themeFillShade="E6"/>
          </w:tcPr>
          <w:p w14:paraId="2CB56358" w14:textId="6B7F0E84" w:rsidR="00677CAA" w:rsidRPr="0001662C" w:rsidRDefault="00677CAA" w:rsidP="0001662C">
            <w:pPr>
              <w:jc w:val="center"/>
              <w:rPr>
                <w:b/>
                <w:bCs/>
              </w:rPr>
            </w:pPr>
            <w:r w:rsidRPr="0001662C">
              <w:rPr>
                <w:b/>
                <w:bCs/>
              </w:rPr>
              <w:t>Who</w:t>
            </w:r>
          </w:p>
        </w:tc>
        <w:tc>
          <w:tcPr>
            <w:tcW w:w="2160" w:type="dxa"/>
            <w:vMerge/>
          </w:tcPr>
          <w:p w14:paraId="45B0F8B7" w14:textId="77777777" w:rsidR="00677CAA" w:rsidRDefault="00677CAA" w:rsidP="0001662C"/>
        </w:tc>
        <w:tc>
          <w:tcPr>
            <w:tcW w:w="2160" w:type="dxa"/>
            <w:vMerge/>
          </w:tcPr>
          <w:p w14:paraId="314264D7" w14:textId="77777777" w:rsidR="00677CAA" w:rsidRDefault="00677CAA" w:rsidP="0001662C"/>
        </w:tc>
        <w:tc>
          <w:tcPr>
            <w:tcW w:w="2160" w:type="dxa"/>
            <w:vMerge/>
          </w:tcPr>
          <w:p w14:paraId="5B235635" w14:textId="77777777" w:rsidR="00677CAA" w:rsidRDefault="00677CAA" w:rsidP="0001662C"/>
        </w:tc>
      </w:tr>
      <w:tr w:rsidR="00324CA8" w14:paraId="4FCAFCF9" w14:textId="77777777" w:rsidTr="00DF519F">
        <w:trPr>
          <w:trHeight w:val="5439"/>
        </w:trPr>
        <w:tc>
          <w:tcPr>
            <w:tcW w:w="2245" w:type="dxa"/>
          </w:tcPr>
          <w:p w14:paraId="5AAE64D7" w14:textId="5C161284" w:rsidR="0001662C" w:rsidRPr="00677CAA" w:rsidRDefault="0001662C" w:rsidP="007235FC">
            <w:pPr>
              <w:spacing w:before="240"/>
              <w:rPr>
                <w:sz w:val="22"/>
                <w:szCs w:val="22"/>
              </w:rPr>
            </w:pPr>
            <w:r w:rsidRPr="00677CAA">
              <w:rPr>
                <w:sz w:val="22"/>
                <w:szCs w:val="22"/>
              </w:rPr>
              <w:t>No seaweed is grown or harvested from waters where federal, state, tribal, territorial, local, or foreign authorities have issued health or consumption advisories stating that the water is unsafe for food production or that the seaweed from that area is unsafe to eat.</w:t>
            </w:r>
          </w:p>
        </w:tc>
        <w:tc>
          <w:tcPr>
            <w:tcW w:w="1470" w:type="dxa"/>
          </w:tcPr>
          <w:p w14:paraId="6F5F7ED1" w14:textId="0E110B7D" w:rsidR="0001662C" w:rsidRPr="00677CAA" w:rsidRDefault="0001662C" w:rsidP="007235FC">
            <w:pPr>
              <w:spacing w:before="240"/>
              <w:rPr>
                <w:sz w:val="22"/>
                <w:szCs w:val="22"/>
              </w:rPr>
            </w:pPr>
            <w:r w:rsidRPr="00677CAA">
              <w:rPr>
                <w:sz w:val="22"/>
                <w:szCs w:val="22"/>
              </w:rPr>
              <w:t>The status of harvest location is not under closure or subject to consumption advisories for bacterial and/or viral pathogens.</w:t>
            </w:r>
          </w:p>
        </w:tc>
        <w:tc>
          <w:tcPr>
            <w:tcW w:w="1470" w:type="dxa"/>
          </w:tcPr>
          <w:p w14:paraId="3D911BA6" w14:textId="38C0ADFC" w:rsidR="0001662C" w:rsidRPr="00677CAA" w:rsidRDefault="0001662C" w:rsidP="007235FC">
            <w:pPr>
              <w:spacing w:before="240"/>
              <w:rPr>
                <w:sz w:val="22"/>
                <w:szCs w:val="22"/>
              </w:rPr>
            </w:pPr>
            <w:r w:rsidRPr="00677CAA">
              <w:rPr>
                <w:sz w:val="22"/>
                <w:szCs w:val="22"/>
              </w:rPr>
              <w:t>Obtain (and review) harvester or grower record indicating harvest location and date/time of harvest. Review harvest location and check for closures or advisories on water</w:t>
            </w:r>
            <w:r w:rsidR="00B16EC1">
              <w:rPr>
                <w:sz w:val="22"/>
                <w:szCs w:val="22"/>
              </w:rPr>
              <w:t>ƒ</w:t>
            </w:r>
            <w:r w:rsidRPr="00677CAA">
              <w:rPr>
                <w:sz w:val="22"/>
                <w:szCs w:val="22"/>
              </w:rPr>
              <w:t xml:space="preserve"> bodies at the time of harvest.</w:t>
            </w:r>
          </w:p>
        </w:tc>
        <w:tc>
          <w:tcPr>
            <w:tcW w:w="1470" w:type="dxa"/>
          </w:tcPr>
          <w:p w14:paraId="02DE95BC" w14:textId="59E15C10" w:rsidR="0001662C" w:rsidRPr="00677CAA" w:rsidRDefault="0001662C" w:rsidP="007235FC">
            <w:pPr>
              <w:spacing w:before="240"/>
              <w:rPr>
                <w:sz w:val="22"/>
                <w:szCs w:val="22"/>
              </w:rPr>
            </w:pPr>
            <w:r w:rsidRPr="00677CAA">
              <w:rPr>
                <w:sz w:val="22"/>
                <w:szCs w:val="22"/>
              </w:rPr>
              <w:t>At time of receipt for all lots received</w:t>
            </w:r>
          </w:p>
        </w:tc>
        <w:tc>
          <w:tcPr>
            <w:tcW w:w="1265" w:type="dxa"/>
          </w:tcPr>
          <w:p w14:paraId="30230C63" w14:textId="3D006E4D" w:rsidR="0001662C" w:rsidRPr="00677CAA" w:rsidRDefault="0001662C" w:rsidP="007235FC">
            <w:pPr>
              <w:spacing w:before="240"/>
              <w:rPr>
                <w:sz w:val="22"/>
                <w:szCs w:val="22"/>
              </w:rPr>
            </w:pPr>
            <w:r w:rsidRPr="00677CAA">
              <w:rPr>
                <w:sz w:val="22"/>
                <w:szCs w:val="22"/>
              </w:rPr>
              <w:t>Receiving Manager</w:t>
            </w:r>
          </w:p>
        </w:tc>
        <w:tc>
          <w:tcPr>
            <w:tcW w:w="2160" w:type="dxa"/>
          </w:tcPr>
          <w:p w14:paraId="2754AC27" w14:textId="77777777" w:rsidR="00893C28" w:rsidRDefault="0001662C" w:rsidP="007235FC">
            <w:pPr>
              <w:spacing w:before="240"/>
              <w:rPr>
                <w:sz w:val="22"/>
                <w:szCs w:val="22"/>
              </w:rPr>
            </w:pPr>
            <w:r w:rsidRPr="00677CAA">
              <w:rPr>
                <w:sz w:val="22"/>
                <w:szCs w:val="22"/>
              </w:rPr>
              <w:t xml:space="preserve">If seaweed is received from waters known to be contaminated or under a consumption advisory, reject the lot. </w:t>
            </w:r>
          </w:p>
          <w:p w14:paraId="4B9F098F" w14:textId="0B3C6754" w:rsidR="0001662C" w:rsidRPr="00677CAA" w:rsidRDefault="0001662C" w:rsidP="007235FC">
            <w:pPr>
              <w:spacing w:before="240"/>
              <w:rPr>
                <w:sz w:val="22"/>
                <w:szCs w:val="22"/>
              </w:rPr>
            </w:pPr>
            <w:r w:rsidRPr="00677CAA">
              <w:rPr>
                <w:sz w:val="22"/>
                <w:szCs w:val="22"/>
              </w:rPr>
              <w:t>Stop using that supplier until they provide evidence that harvesting now takes place in approved waters with no consumption advisories.</w:t>
            </w:r>
          </w:p>
        </w:tc>
        <w:tc>
          <w:tcPr>
            <w:tcW w:w="2160" w:type="dxa"/>
          </w:tcPr>
          <w:p w14:paraId="209AF9F5" w14:textId="7EA41663" w:rsidR="0001662C" w:rsidRPr="00677CAA" w:rsidRDefault="0001662C" w:rsidP="007235FC">
            <w:pPr>
              <w:spacing w:before="240"/>
              <w:rPr>
                <w:sz w:val="22"/>
                <w:szCs w:val="22"/>
              </w:rPr>
            </w:pPr>
            <w:r w:rsidRPr="00677CAA">
              <w:rPr>
                <w:sz w:val="22"/>
                <w:szCs w:val="22"/>
              </w:rPr>
              <w:t>Review of monitoring and corrective action records within one week of preparing to ensure they were completed appropriately.</w:t>
            </w:r>
          </w:p>
          <w:p w14:paraId="2F3E8A64" w14:textId="63C1008E" w:rsidR="0001662C" w:rsidRPr="00677CAA" w:rsidRDefault="0001662C" w:rsidP="007235FC">
            <w:pPr>
              <w:spacing w:before="240"/>
              <w:rPr>
                <w:sz w:val="22"/>
                <w:szCs w:val="22"/>
              </w:rPr>
            </w:pPr>
            <w:r w:rsidRPr="00677CAA">
              <w:rPr>
                <w:sz w:val="22"/>
                <w:szCs w:val="22"/>
              </w:rPr>
              <w:t xml:space="preserve">Periodic monitoring of federal, state, local, or foreign regulatory </w:t>
            </w:r>
            <w:r w:rsidR="00324CA8" w:rsidRPr="00677CAA">
              <w:rPr>
                <w:sz w:val="22"/>
                <w:szCs w:val="22"/>
              </w:rPr>
              <w:t>authorities’</w:t>
            </w:r>
            <w:r w:rsidRPr="00677CAA">
              <w:rPr>
                <w:sz w:val="22"/>
                <w:szCs w:val="22"/>
              </w:rPr>
              <w:t xml:space="preserve"> websites or reports on harvest restrictions and consumption advisories for water bodies products are sourced from.</w:t>
            </w:r>
          </w:p>
        </w:tc>
        <w:tc>
          <w:tcPr>
            <w:tcW w:w="2160" w:type="dxa"/>
          </w:tcPr>
          <w:p w14:paraId="4620784B" w14:textId="77777777" w:rsidR="0001662C" w:rsidRPr="00677CAA" w:rsidRDefault="0001662C" w:rsidP="007235FC">
            <w:pPr>
              <w:spacing w:before="240"/>
              <w:rPr>
                <w:sz w:val="22"/>
                <w:szCs w:val="22"/>
              </w:rPr>
            </w:pPr>
            <w:r w:rsidRPr="00677CAA">
              <w:rPr>
                <w:sz w:val="22"/>
                <w:szCs w:val="22"/>
              </w:rPr>
              <w:t>Receiving log including the harvest date, harvest location, quantity of seaweed, and harvester contact or permit information , along with verification of the harvest location’s current status.</w:t>
            </w:r>
          </w:p>
          <w:p w14:paraId="66B3AA36" w14:textId="77777777" w:rsidR="0001662C" w:rsidRPr="00677CAA" w:rsidRDefault="0001662C" w:rsidP="007235FC">
            <w:pPr>
              <w:spacing w:before="240"/>
              <w:rPr>
                <w:sz w:val="22"/>
                <w:szCs w:val="22"/>
              </w:rPr>
            </w:pPr>
            <w:r w:rsidRPr="00677CAA">
              <w:rPr>
                <w:sz w:val="22"/>
                <w:szCs w:val="22"/>
              </w:rPr>
              <w:t>Corrective action records, if necessary.</w:t>
            </w:r>
          </w:p>
          <w:p w14:paraId="0D4FF732" w14:textId="1595D913" w:rsidR="0001662C" w:rsidRPr="00677CAA" w:rsidRDefault="0001662C" w:rsidP="007235FC">
            <w:pPr>
              <w:spacing w:before="240"/>
              <w:rPr>
                <w:sz w:val="22"/>
                <w:szCs w:val="22"/>
              </w:rPr>
            </w:pPr>
            <w:r w:rsidRPr="00677CAA">
              <w:rPr>
                <w:sz w:val="22"/>
                <w:szCs w:val="22"/>
              </w:rPr>
              <w:t>Verification records including harvest restriction reports or checks.</w:t>
            </w:r>
          </w:p>
        </w:tc>
      </w:tr>
    </w:tbl>
    <w:p w14:paraId="7FE67ED9" w14:textId="77777777" w:rsidR="0001662C" w:rsidRDefault="0001662C" w:rsidP="0001662C">
      <w:pPr>
        <w:sectPr w:rsidR="0001662C" w:rsidSect="00324CA8">
          <w:pgSz w:w="15840" w:h="12240" w:orient="landscape"/>
          <w:pgMar w:top="1440" w:right="1440" w:bottom="1440" w:left="1440" w:header="720" w:footer="720" w:gutter="0"/>
          <w:pgNumType w:chapStyle="1"/>
          <w:cols w:space="720"/>
          <w:docGrid w:linePitch="360"/>
        </w:sectPr>
      </w:pPr>
    </w:p>
    <w:p w14:paraId="2935279A" w14:textId="77777777" w:rsidR="00324CA8" w:rsidRDefault="00324CA8" w:rsidP="00691E23">
      <w:pPr>
        <w:pStyle w:val="Heading4"/>
      </w:pPr>
      <w:bookmarkStart w:id="111" w:name="_Toc208503199"/>
      <w:r>
        <w:lastRenderedPageBreak/>
        <w:t>Example Food Safety Plan for Source Control</w:t>
      </w:r>
      <w:bookmarkEnd w:id="111"/>
    </w:p>
    <w:p w14:paraId="773CF557" w14:textId="2E4542BD" w:rsidR="00324CA8" w:rsidRDefault="00324CA8" w:rsidP="00893C28">
      <w:pPr>
        <w:ind w:left="-900"/>
      </w:pPr>
      <w:r>
        <w:t>Facilities regulated under the Preventive Controls for Human Food (PCHF) rule that identify a supply-chain-applied preventive control must establish and implement a supply-chain program. This program should detail how suppliers are selected, approved, and verified to ensure they effectively control the identified hazard. For more detailed guidance, refer to Chapter 15 of the FDA</w:t>
      </w:r>
      <w:r w:rsidR="00D31328">
        <w:t>’s</w:t>
      </w:r>
      <w:r>
        <w:t xml:space="preserve"> </w:t>
      </w:r>
      <w:r w:rsidRPr="00E36F42">
        <w:rPr>
          <w:i/>
          <w:iCs/>
        </w:rPr>
        <w:t>Draft Guidance for Industry: Hazard Analysis and Risk-Based Preventive Controls for Human Food</w:t>
      </w:r>
      <w:r>
        <w:t xml:space="preserve"> (USFDA, 2024).</w:t>
      </w:r>
    </w:p>
    <w:p w14:paraId="789D05DC" w14:textId="77777777" w:rsidR="00324CA8" w:rsidRDefault="00324CA8" w:rsidP="00893C28">
      <w:pPr>
        <w:ind w:left="-900"/>
        <w:contextualSpacing/>
      </w:pPr>
      <w:r w:rsidRPr="00324CA8">
        <w:rPr>
          <w:b/>
          <w:bCs/>
        </w:rPr>
        <w:t>Control Strategy:</w:t>
      </w:r>
      <w:r>
        <w:t xml:space="preserve"> Source Control</w:t>
      </w:r>
    </w:p>
    <w:p w14:paraId="3AF6C17B" w14:textId="77777777" w:rsidR="00324CA8" w:rsidRDefault="00324CA8" w:rsidP="00893C28">
      <w:pPr>
        <w:ind w:left="-900"/>
        <w:contextualSpacing/>
      </w:pPr>
      <w:r w:rsidRPr="00324CA8">
        <w:rPr>
          <w:b/>
          <w:bCs/>
        </w:rPr>
        <w:t>Supply Chain Preventive Control (PCHF):</w:t>
      </w:r>
      <w:r>
        <w:t xml:space="preserve"> Receiving Step</w:t>
      </w:r>
    </w:p>
    <w:p w14:paraId="66045A73" w14:textId="27696F91" w:rsidR="00EB199E" w:rsidRDefault="00324CA8" w:rsidP="00893C28">
      <w:pPr>
        <w:ind w:left="-900"/>
        <w:contextualSpacing/>
      </w:pPr>
      <w:r w:rsidRPr="00324CA8">
        <w:rPr>
          <w:b/>
          <w:bCs/>
        </w:rPr>
        <w:t>Hazard:</w:t>
      </w:r>
      <w:r>
        <w:t xml:space="preserve"> Pathogens in the Harvest Area</w:t>
      </w:r>
    </w:p>
    <w:tbl>
      <w:tblPr>
        <w:tblStyle w:val="TableGrid"/>
        <w:tblW w:w="14850" w:type="dxa"/>
        <w:tblInd w:w="-90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tblCellMar>
        <w:tblLook w:val="04A0" w:firstRow="1" w:lastRow="0" w:firstColumn="1" w:lastColumn="0" w:noHBand="0" w:noVBand="1"/>
        <w:tblCaption w:val="Example Food Safety Plan for Source Control: Pathogens in the Harvest Area"/>
      </w:tblPr>
      <w:tblGrid>
        <w:gridCol w:w="1710"/>
        <w:gridCol w:w="1350"/>
        <w:gridCol w:w="1260"/>
        <w:gridCol w:w="1350"/>
        <w:gridCol w:w="1350"/>
        <w:gridCol w:w="1620"/>
        <w:gridCol w:w="1620"/>
        <w:gridCol w:w="2430"/>
        <w:gridCol w:w="2160"/>
      </w:tblGrid>
      <w:tr w:rsidR="0054509C" w14:paraId="5FE02812" w14:textId="77777777" w:rsidTr="00DF519F">
        <w:tc>
          <w:tcPr>
            <w:tcW w:w="1710" w:type="dxa"/>
            <w:shd w:val="clear" w:color="auto" w:fill="D1D1D1" w:themeFill="background2" w:themeFillShade="E6"/>
          </w:tcPr>
          <w:p w14:paraId="585CA81C" w14:textId="16ED1C1F" w:rsidR="00324CA8" w:rsidRPr="006C63B7" w:rsidRDefault="006C63B7" w:rsidP="006C63B7">
            <w:pPr>
              <w:contextualSpacing/>
              <w:jc w:val="center"/>
              <w:rPr>
                <w:b/>
                <w:bCs/>
              </w:rPr>
            </w:pPr>
            <w:r w:rsidRPr="006C63B7">
              <w:rPr>
                <w:b/>
                <w:bCs/>
              </w:rPr>
              <w:t>Raw Material / Ingredient</w:t>
            </w:r>
          </w:p>
        </w:tc>
        <w:tc>
          <w:tcPr>
            <w:tcW w:w="1350" w:type="dxa"/>
            <w:shd w:val="clear" w:color="auto" w:fill="D1D1D1" w:themeFill="background2" w:themeFillShade="E6"/>
          </w:tcPr>
          <w:p w14:paraId="75AA204C" w14:textId="35AD47EC" w:rsidR="00324CA8" w:rsidRPr="006C63B7" w:rsidRDefault="006C63B7" w:rsidP="006C63B7">
            <w:pPr>
              <w:contextualSpacing/>
              <w:jc w:val="center"/>
              <w:rPr>
                <w:b/>
                <w:bCs/>
              </w:rPr>
            </w:pPr>
            <w:r w:rsidRPr="006C63B7">
              <w:rPr>
                <w:b/>
                <w:bCs/>
              </w:rPr>
              <w:t>Approved Supplier</w:t>
            </w:r>
          </w:p>
        </w:tc>
        <w:tc>
          <w:tcPr>
            <w:tcW w:w="1260" w:type="dxa"/>
            <w:shd w:val="clear" w:color="auto" w:fill="D1D1D1" w:themeFill="background2" w:themeFillShade="E6"/>
          </w:tcPr>
          <w:p w14:paraId="1AA5F38E" w14:textId="4A68B423" w:rsidR="00324CA8" w:rsidRPr="006C63B7" w:rsidRDefault="006C63B7" w:rsidP="006C63B7">
            <w:pPr>
              <w:contextualSpacing/>
              <w:jc w:val="center"/>
              <w:rPr>
                <w:b/>
                <w:bCs/>
              </w:rPr>
            </w:pPr>
            <w:r w:rsidRPr="006C63B7">
              <w:rPr>
                <w:b/>
                <w:bCs/>
              </w:rPr>
              <w:t>Date of Approval</w:t>
            </w:r>
          </w:p>
        </w:tc>
        <w:tc>
          <w:tcPr>
            <w:tcW w:w="1350" w:type="dxa"/>
            <w:shd w:val="clear" w:color="auto" w:fill="D1D1D1" w:themeFill="background2" w:themeFillShade="E6"/>
          </w:tcPr>
          <w:p w14:paraId="6B7D5072" w14:textId="22E58244" w:rsidR="00324CA8" w:rsidRPr="006C63B7" w:rsidRDefault="006C63B7" w:rsidP="006C63B7">
            <w:pPr>
              <w:contextualSpacing/>
              <w:jc w:val="center"/>
              <w:rPr>
                <w:b/>
                <w:bCs/>
              </w:rPr>
            </w:pPr>
            <w:r w:rsidRPr="006C63B7">
              <w:rPr>
                <w:b/>
                <w:bCs/>
              </w:rPr>
              <w:t>Hazard Requiring PC</w:t>
            </w:r>
          </w:p>
        </w:tc>
        <w:tc>
          <w:tcPr>
            <w:tcW w:w="1350" w:type="dxa"/>
            <w:shd w:val="clear" w:color="auto" w:fill="D1D1D1" w:themeFill="background2" w:themeFillShade="E6"/>
          </w:tcPr>
          <w:p w14:paraId="418418A7" w14:textId="64582561" w:rsidR="00324CA8" w:rsidRPr="006C63B7" w:rsidRDefault="006C63B7" w:rsidP="006C63B7">
            <w:pPr>
              <w:contextualSpacing/>
              <w:jc w:val="center"/>
              <w:rPr>
                <w:b/>
                <w:bCs/>
              </w:rPr>
            </w:pPr>
            <w:r w:rsidRPr="006C63B7">
              <w:rPr>
                <w:b/>
                <w:bCs/>
              </w:rPr>
              <w:t>Preventiv</w:t>
            </w:r>
            <w:r w:rsidR="00D1716A">
              <w:rPr>
                <w:b/>
                <w:bCs/>
              </w:rPr>
              <w:t xml:space="preserve">e </w:t>
            </w:r>
            <w:r w:rsidRPr="006C63B7">
              <w:rPr>
                <w:b/>
                <w:bCs/>
              </w:rPr>
              <w:t>Control Applied by Supplier</w:t>
            </w:r>
          </w:p>
        </w:tc>
        <w:tc>
          <w:tcPr>
            <w:tcW w:w="1620" w:type="dxa"/>
            <w:shd w:val="clear" w:color="auto" w:fill="D1D1D1" w:themeFill="background2" w:themeFillShade="E6"/>
          </w:tcPr>
          <w:p w14:paraId="3AAE6BE9" w14:textId="77777777" w:rsidR="00D1716A" w:rsidRDefault="006C63B7" w:rsidP="00D1716A">
            <w:pPr>
              <w:jc w:val="center"/>
              <w:rPr>
                <w:b/>
                <w:bCs/>
              </w:rPr>
            </w:pPr>
            <w:r w:rsidRPr="006C63B7">
              <w:rPr>
                <w:b/>
                <w:bCs/>
              </w:rPr>
              <w:t>Verification Activities</w:t>
            </w:r>
          </w:p>
          <w:p w14:paraId="03B2A699" w14:textId="339372F8" w:rsidR="006C63B7" w:rsidRPr="006C63B7" w:rsidRDefault="006C63B7" w:rsidP="00D1716A">
            <w:pPr>
              <w:spacing w:before="240"/>
              <w:jc w:val="center"/>
              <w:rPr>
                <w:b/>
                <w:bCs/>
              </w:rPr>
            </w:pPr>
            <w:r w:rsidRPr="006C63B7">
              <w:rPr>
                <w:b/>
                <w:bCs/>
              </w:rPr>
              <w:t>Supplier</w:t>
            </w:r>
          </w:p>
        </w:tc>
        <w:tc>
          <w:tcPr>
            <w:tcW w:w="1620" w:type="dxa"/>
            <w:shd w:val="clear" w:color="auto" w:fill="D1D1D1" w:themeFill="background2" w:themeFillShade="E6"/>
          </w:tcPr>
          <w:p w14:paraId="7CA36CAD" w14:textId="77777777" w:rsidR="00324CA8" w:rsidRPr="006C63B7" w:rsidRDefault="006C63B7" w:rsidP="00D1716A">
            <w:pPr>
              <w:jc w:val="center"/>
              <w:rPr>
                <w:b/>
                <w:bCs/>
              </w:rPr>
            </w:pPr>
            <w:r w:rsidRPr="006C63B7">
              <w:rPr>
                <w:b/>
                <w:bCs/>
              </w:rPr>
              <w:t>Verification Procedures</w:t>
            </w:r>
          </w:p>
          <w:p w14:paraId="77ADEC95" w14:textId="2D003FF1" w:rsidR="006C63B7" w:rsidRPr="006C63B7" w:rsidRDefault="006C63B7" w:rsidP="00D1716A">
            <w:pPr>
              <w:spacing w:before="240"/>
              <w:jc w:val="center"/>
              <w:rPr>
                <w:b/>
                <w:bCs/>
              </w:rPr>
            </w:pPr>
            <w:r w:rsidRPr="006C63B7">
              <w:rPr>
                <w:b/>
                <w:bCs/>
              </w:rPr>
              <w:t>Buyer</w:t>
            </w:r>
          </w:p>
        </w:tc>
        <w:tc>
          <w:tcPr>
            <w:tcW w:w="2430" w:type="dxa"/>
            <w:shd w:val="clear" w:color="auto" w:fill="D1D1D1" w:themeFill="background2" w:themeFillShade="E6"/>
          </w:tcPr>
          <w:p w14:paraId="665A0863" w14:textId="4867F831" w:rsidR="00324CA8" w:rsidRPr="006C63B7" w:rsidRDefault="006C63B7" w:rsidP="006C63B7">
            <w:pPr>
              <w:contextualSpacing/>
              <w:jc w:val="center"/>
              <w:rPr>
                <w:b/>
                <w:bCs/>
              </w:rPr>
            </w:pPr>
            <w:r w:rsidRPr="006C63B7">
              <w:rPr>
                <w:b/>
                <w:bCs/>
              </w:rPr>
              <w:t>Corrective Actions</w:t>
            </w:r>
          </w:p>
        </w:tc>
        <w:tc>
          <w:tcPr>
            <w:tcW w:w="2160" w:type="dxa"/>
            <w:shd w:val="clear" w:color="auto" w:fill="D1D1D1" w:themeFill="background2" w:themeFillShade="E6"/>
          </w:tcPr>
          <w:p w14:paraId="2700AC56" w14:textId="5FD5FA5A" w:rsidR="00324CA8" w:rsidRPr="006C63B7" w:rsidRDefault="006C63B7" w:rsidP="006C63B7">
            <w:pPr>
              <w:contextualSpacing/>
              <w:jc w:val="center"/>
              <w:rPr>
                <w:b/>
                <w:bCs/>
              </w:rPr>
            </w:pPr>
            <w:r w:rsidRPr="006C63B7">
              <w:rPr>
                <w:b/>
                <w:bCs/>
              </w:rPr>
              <w:t>Records</w:t>
            </w:r>
          </w:p>
        </w:tc>
      </w:tr>
      <w:tr w:rsidR="009036A6" w14:paraId="190020F3" w14:textId="77777777" w:rsidTr="00DF519F">
        <w:trPr>
          <w:trHeight w:val="4287"/>
        </w:trPr>
        <w:tc>
          <w:tcPr>
            <w:tcW w:w="1710" w:type="dxa"/>
          </w:tcPr>
          <w:p w14:paraId="356E29A9" w14:textId="67EC6A53" w:rsidR="00324CA8" w:rsidRPr="006C63B7" w:rsidRDefault="006C63B7" w:rsidP="007235FC">
            <w:pPr>
              <w:spacing w:before="240"/>
              <w:rPr>
                <w:sz w:val="22"/>
                <w:szCs w:val="22"/>
              </w:rPr>
            </w:pPr>
            <w:r w:rsidRPr="006C63B7">
              <w:rPr>
                <w:sz w:val="22"/>
                <w:szCs w:val="22"/>
              </w:rPr>
              <w:t>Sugar Kelp</w:t>
            </w:r>
          </w:p>
        </w:tc>
        <w:tc>
          <w:tcPr>
            <w:tcW w:w="1350" w:type="dxa"/>
          </w:tcPr>
          <w:p w14:paraId="7EA0B235" w14:textId="77777777" w:rsidR="00324CA8" w:rsidRPr="006C63B7" w:rsidRDefault="006C63B7" w:rsidP="007235FC">
            <w:pPr>
              <w:spacing w:before="240"/>
              <w:rPr>
                <w:sz w:val="22"/>
                <w:szCs w:val="22"/>
              </w:rPr>
            </w:pPr>
            <w:r w:rsidRPr="006C63B7">
              <w:rPr>
                <w:sz w:val="22"/>
                <w:szCs w:val="22"/>
              </w:rPr>
              <w:t>ABC Kelp Co.</w:t>
            </w:r>
          </w:p>
          <w:p w14:paraId="5E40FA2E" w14:textId="33E16EC8" w:rsidR="006C63B7" w:rsidRPr="006C63B7" w:rsidRDefault="006C63B7" w:rsidP="007235FC">
            <w:pPr>
              <w:spacing w:before="240"/>
              <w:rPr>
                <w:sz w:val="22"/>
                <w:szCs w:val="22"/>
              </w:rPr>
            </w:pPr>
            <w:r w:rsidRPr="006C63B7">
              <w:rPr>
                <w:sz w:val="22"/>
                <w:szCs w:val="22"/>
              </w:rPr>
              <w:t>123 Sugar Dr. Somewhere, NY 55555</w:t>
            </w:r>
          </w:p>
        </w:tc>
        <w:tc>
          <w:tcPr>
            <w:tcW w:w="1260" w:type="dxa"/>
          </w:tcPr>
          <w:p w14:paraId="7DCAA2FB" w14:textId="09937DF4" w:rsidR="00324CA8" w:rsidRPr="006C63B7" w:rsidRDefault="006C63B7" w:rsidP="007235FC">
            <w:pPr>
              <w:spacing w:before="240"/>
              <w:rPr>
                <w:sz w:val="22"/>
                <w:szCs w:val="22"/>
              </w:rPr>
            </w:pPr>
            <w:r w:rsidRPr="006C63B7">
              <w:rPr>
                <w:sz w:val="22"/>
                <w:szCs w:val="22"/>
              </w:rPr>
              <w:t>Jan. 2, 2024</w:t>
            </w:r>
          </w:p>
        </w:tc>
        <w:tc>
          <w:tcPr>
            <w:tcW w:w="1350" w:type="dxa"/>
          </w:tcPr>
          <w:p w14:paraId="61DB6314" w14:textId="37BC37FB" w:rsidR="00324CA8" w:rsidRPr="006C63B7" w:rsidRDefault="006C63B7" w:rsidP="007235FC">
            <w:pPr>
              <w:spacing w:before="240"/>
              <w:rPr>
                <w:sz w:val="22"/>
                <w:szCs w:val="22"/>
              </w:rPr>
            </w:pPr>
            <w:r w:rsidRPr="006C63B7">
              <w:rPr>
                <w:sz w:val="22"/>
                <w:szCs w:val="22"/>
              </w:rPr>
              <w:t>Pathogens in the Harvest Area</w:t>
            </w:r>
          </w:p>
        </w:tc>
        <w:tc>
          <w:tcPr>
            <w:tcW w:w="1350" w:type="dxa"/>
          </w:tcPr>
          <w:p w14:paraId="3874E5AF" w14:textId="3600E963" w:rsidR="00324CA8" w:rsidRPr="006C63B7" w:rsidRDefault="006C63B7" w:rsidP="007235FC">
            <w:pPr>
              <w:spacing w:before="240"/>
              <w:rPr>
                <w:sz w:val="22"/>
                <w:szCs w:val="22"/>
              </w:rPr>
            </w:pPr>
            <w:r w:rsidRPr="006C63B7">
              <w:rPr>
                <w:sz w:val="22"/>
                <w:szCs w:val="22"/>
              </w:rPr>
              <w:t>Pre-harvest check for harvest area closures and advisories.</w:t>
            </w:r>
          </w:p>
        </w:tc>
        <w:tc>
          <w:tcPr>
            <w:tcW w:w="1620" w:type="dxa"/>
          </w:tcPr>
          <w:p w14:paraId="779C483B" w14:textId="58FC28FF" w:rsidR="00324CA8" w:rsidRPr="006C63B7" w:rsidRDefault="006C63B7" w:rsidP="007235FC">
            <w:pPr>
              <w:spacing w:before="240"/>
              <w:rPr>
                <w:sz w:val="22"/>
                <w:szCs w:val="22"/>
              </w:rPr>
            </w:pPr>
            <w:r w:rsidRPr="006C63B7">
              <w:rPr>
                <w:sz w:val="22"/>
                <w:szCs w:val="22"/>
              </w:rPr>
              <w:t>Annual review of federal, state, local, or foreign regulatory authorities</w:t>
            </w:r>
            <w:r w:rsidR="009036A6">
              <w:rPr>
                <w:sz w:val="22"/>
                <w:szCs w:val="22"/>
              </w:rPr>
              <w:t>’</w:t>
            </w:r>
            <w:r w:rsidRPr="006C63B7">
              <w:rPr>
                <w:sz w:val="22"/>
                <w:szCs w:val="22"/>
              </w:rPr>
              <w:t xml:space="preserve"> websites or reports on harvest restrictions and consumption advisories for water bodies products are sourced from.</w:t>
            </w:r>
          </w:p>
        </w:tc>
        <w:tc>
          <w:tcPr>
            <w:tcW w:w="1620" w:type="dxa"/>
          </w:tcPr>
          <w:p w14:paraId="418C0196" w14:textId="4FBA1289" w:rsidR="00324CA8" w:rsidRPr="006C63B7" w:rsidRDefault="006C63B7" w:rsidP="007235FC">
            <w:pPr>
              <w:spacing w:before="240"/>
              <w:rPr>
                <w:sz w:val="22"/>
                <w:szCs w:val="22"/>
              </w:rPr>
            </w:pPr>
            <w:r w:rsidRPr="006C63B7">
              <w:rPr>
                <w:sz w:val="22"/>
                <w:szCs w:val="22"/>
              </w:rPr>
              <w:t>Obtain a copy of producer records indicating harvest area and water body status at the time of harvest.</w:t>
            </w:r>
          </w:p>
        </w:tc>
        <w:tc>
          <w:tcPr>
            <w:tcW w:w="2430" w:type="dxa"/>
          </w:tcPr>
          <w:p w14:paraId="31EDDE78" w14:textId="77777777" w:rsidR="00893C28" w:rsidRDefault="006C63B7" w:rsidP="007235FC">
            <w:pPr>
              <w:spacing w:before="240"/>
              <w:rPr>
                <w:sz w:val="22"/>
                <w:szCs w:val="22"/>
              </w:rPr>
            </w:pPr>
            <w:r w:rsidRPr="00DF49CA">
              <w:rPr>
                <w:sz w:val="22"/>
                <w:szCs w:val="22"/>
              </w:rPr>
              <w:t>If</w:t>
            </w:r>
            <w:r w:rsidRPr="00D1716A">
              <w:rPr>
                <w:i/>
                <w:iCs/>
                <w:sz w:val="22"/>
                <w:szCs w:val="22"/>
              </w:rPr>
              <w:t xml:space="preserve"> </w:t>
            </w:r>
            <w:r w:rsidRPr="006C63B7">
              <w:rPr>
                <w:sz w:val="22"/>
                <w:szCs w:val="22"/>
              </w:rPr>
              <w:t xml:space="preserve">producer records are not received, then, reject the lot </w:t>
            </w:r>
          </w:p>
          <w:p w14:paraId="7C1F3CEA" w14:textId="77777777" w:rsidR="00893C28" w:rsidRDefault="006C63B7" w:rsidP="007235FC">
            <w:pPr>
              <w:spacing w:before="240"/>
              <w:rPr>
                <w:sz w:val="22"/>
                <w:szCs w:val="22"/>
              </w:rPr>
            </w:pPr>
            <w:r w:rsidRPr="007235FC">
              <w:rPr>
                <w:b/>
                <w:bCs/>
                <w:sz w:val="22"/>
                <w:szCs w:val="22"/>
              </w:rPr>
              <w:t>OR</w:t>
            </w:r>
            <w:r w:rsidRPr="006C63B7">
              <w:rPr>
                <w:sz w:val="22"/>
                <w:szCs w:val="22"/>
              </w:rPr>
              <w:t xml:space="preserve"> </w:t>
            </w:r>
          </w:p>
          <w:p w14:paraId="6C035F34" w14:textId="0D7C7EF5" w:rsidR="00893C28" w:rsidRDefault="006C63B7" w:rsidP="007235FC">
            <w:pPr>
              <w:spacing w:before="240"/>
              <w:rPr>
                <w:sz w:val="22"/>
                <w:szCs w:val="22"/>
              </w:rPr>
            </w:pPr>
            <w:r w:rsidRPr="006C63B7">
              <w:rPr>
                <w:sz w:val="22"/>
                <w:szCs w:val="22"/>
              </w:rPr>
              <w:t xml:space="preserve">hold until documentation is received </w:t>
            </w:r>
          </w:p>
          <w:p w14:paraId="658A164C" w14:textId="77777777" w:rsidR="00893C28" w:rsidRDefault="006C63B7" w:rsidP="007235FC">
            <w:pPr>
              <w:spacing w:before="240"/>
              <w:rPr>
                <w:sz w:val="22"/>
                <w:szCs w:val="22"/>
              </w:rPr>
            </w:pPr>
            <w:r w:rsidRPr="007235FC">
              <w:rPr>
                <w:b/>
                <w:bCs/>
                <w:sz w:val="22"/>
                <w:szCs w:val="22"/>
              </w:rPr>
              <w:t>AND</w:t>
            </w:r>
            <w:r w:rsidRPr="006C63B7">
              <w:rPr>
                <w:sz w:val="22"/>
                <w:szCs w:val="22"/>
              </w:rPr>
              <w:t xml:space="preserve"> </w:t>
            </w:r>
          </w:p>
          <w:p w14:paraId="33259E9A" w14:textId="5570DAE3" w:rsidR="00324CA8" w:rsidRPr="006C63B7" w:rsidRDefault="006C63B7" w:rsidP="007235FC">
            <w:pPr>
              <w:spacing w:before="240"/>
              <w:rPr>
                <w:sz w:val="22"/>
                <w:szCs w:val="22"/>
              </w:rPr>
            </w:pPr>
            <w:r w:rsidRPr="006C63B7">
              <w:rPr>
                <w:sz w:val="22"/>
                <w:szCs w:val="22"/>
              </w:rPr>
              <w:t>discontinue use of the supplier until evidence is obtained that record requirement can be met.</w:t>
            </w:r>
          </w:p>
        </w:tc>
        <w:tc>
          <w:tcPr>
            <w:tcW w:w="2160" w:type="dxa"/>
          </w:tcPr>
          <w:p w14:paraId="6C9D3B3B" w14:textId="34A26809" w:rsidR="006C63B7" w:rsidRPr="006C63B7" w:rsidRDefault="006C63B7" w:rsidP="007235FC">
            <w:pPr>
              <w:spacing w:before="240"/>
              <w:rPr>
                <w:sz w:val="22"/>
                <w:szCs w:val="22"/>
              </w:rPr>
            </w:pPr>
            <w:r w:rsidRPr="006C63B7">
              <w:rPr>
                <w:sz w:val="22"/>
                <w:szCs w:val="22"/>
              </w:rPr>
              <w:t>Receiving log that indicates the location and status of the harvest area and harvester information.</w:t>
            </w:r>
          </w:p>
          <w:p w14:paraId="66F626B7" w14:textId="77777777" w:rsidR="006C63B7" w:rsidRPr="006C63B7" w:rsidRDefault="006C63B7" w:rsidP="007235FC">
            <w:pPr>
              <w:spacing w:before="240"/>
              <w:rPr>
                <w:sz w:val="22"/>
                <w:szCs w:val="22"/>
              </w:rPr>
            </w:pPr>
            <w:r w:rsidRPr="006C63B7">
              <w:rPr>
                <w:sz w:val="22"/>
                <w:szCs w:val="22"/>
              </w:rPr>
              <w:t>Corrective action records, if necessary.</w:t>
            </w:r>
          </w:p>
          <w:p w14:paraId="0C382F99" w14:textId="77777777" w:rsidR="006C63B7" w:rsidRPr="006C63B7" w:rsidRDefault="006C63B7" w:rsidP="007235FC">
            <w:pPr>
              <w:spacing w:before="240"/>
              <w:rPr>
                <w:sz w:val="22"/>
                <w:szCs w:val="22"/>
              </w:rPr>
            </w:pPr>
            <w:r w:rsidRPr="006C63B7">
              <w:rPr>
                <w:sz w:val="22"/>
                <w:szCs w:val="22"/>
              </w:rPr>
              <w:t>Supplier verification records including harvest restriction reports or checks.</w:t>
            </w:r>
          </w:p>
          <w:p w14:paraId="45423BE2" w14:textId="6286B062" w:rsidR="00324CA8" w:rsidRPr="006C63B7" w:rsidRDefault="006C63B7" w:rsidP="007235FC">
            <w:pPr>
              <w:spacing w:before="240"/>
              <w:rPr>
                <w:sz w:val="22"/>
                <w:szCs w:val="22"/>
              </w:rPr>
            </w:pPr>
            <w:r w:rsidRPr="006C63B7">
              <w:rPr>
                <w:sz w:val="22"/>
                <w:szCs w:val="22"/>
              </w:rPr>
              <w:t>PCQI Training records</w:t>
            </w:r>
          </w:p>
        </w:tc>
      </w:tr>
    </w:tbl>
    <w:p w14:paraId="4615AA29" w14:textId="77777777" w:rsidR="009036A6" w:rsidRDefault="009036A6" w:rsidP="00324CA8">
      <w:pPr>
        <w:contextualSpacing/>
        <w:sectPr w:rsidR="009036A6" w:rsidSect="009036A6">
          <w:pgSz w:w="15840" w:h="12240" w:orient="landscape"/>
          <w:pgMar w:top="1440" w:right="1440" w:bottom="1440" w:left="1440" w:header="720" w:footer="720" w:gutter="0"/>
          <w:pgNumType w:chapStyle="1"/>
          <w:cols w:space="720"/>
          <w:docGrid w:linePitch="360"/>
        </w:sectPr>
      </w:pPr>
    </w:p>
    <w:p w14:paraId="5BF58D1B" w14:textId="638BDACC" w:rsidR="00324CA8" w:rsidRDefault="00D1716A" w:rsidP="00846B8F">
      <w:pPr>
        <w:pStyle w:val="Heading2"/>
        <w:numPr>
          <w:ilvl w:val="1"/>
          <w:numId w:val="137"/>
        </w:numPr>
      </w:pPr>
      <w:bookmarkStart w:id="112" w:name="_Toc208503200"/>
      <w:r>
        <w:lastRenderedPageBreak/>
        <w:t>References</w:t>
      </w:r>
      <w:bookmarkEnd w:id="112"/>
    </w:p>
    <w:p w14:paraId="63F806DD" w14:textId="77777777" w:rsidR="000B5E2E" w:rsidRDefault="000B5E2E" w:rsidP="000B5E2E">
      <w:r>
        <w:t>Akomea-Frempong, S., Skonberg, D. I., Camire, M. E., &amp; Perry, J. J. (2021). Impact of blanching, freezing, and fermentation on physicochemical, microbial, and sensory quality of sugar kelp (Saccharina latissima). Foods, 10(10), 2258.</w:t>
      </w:r>
    </w:p>
    <w:p w14:paraId="3D2C454B" w14:textId="77777777" w:rsidR="000B5E2E" w:rsidRDefault="000B5E2E" w:rsidP="000B5E2E">
      <w:r>
        <w:t xml:space="preserve">Akomea-Frempong, S., Perry, J. J., &amp; Skonberg, D. I. (2022). Effects of pre-freezing blanching procedures on the physicochemical properties and microbial quality of frozen sugar kelp. </w:t>
      </w:r>
      <w:r w:rsidRPr="000B5E2E">
        <w:rPr>
          <w:i/>
          <w:iCs/>
        </w:rPr>
        <w:t>Journal of Applied Phycology</w:t>
      </w:r>
      <w:r>
        <w:t>, 1-16.</w:t>
      </w:r>
    </w:p>
    <w:p w14:paraId="666B357F" w14:textId="77777777" w:rsidR="000B5E2E" w:rsidRDefault="000B5E2E" w:rsidP="000B5E2E">
      <w:r>
        <w:t xml:space="preserve">Akomea-Frempong, S., Skonberg, D. I., Arya, R., &amp; Perry, J. J. (2023). Survival of Inoculated Vibrio spp., Shigatoxigenic Escherichia coli, Listeria Monocytogenes, and Salmonella spp. on Seaweed (Sugar Kelp) during Storage. </w:t>
      </w:r>
      <w:r w:rsidRPr="000B5E2E">
        <w:rPr>
          <w:i/>
          <w:iCs/>
        </w:rPr>
        <w:t>Journal of Food Protection</w:t>
      </w:r>
      <w:r>
        <w:t>, 86(7), 100096.</w:t>
      </w:r>
    </w:p>
    <w:p w14:paraId="39F02E84" w14:textId="77777777" w:rsidR="000B5E2E" w:rsidRDefault="000B5E2E" w:rsidP="000B5E2E">
      <w:r>
        <w:t xml:space="preserve">Baily, J. L., Paterson, G. K., Foster, G., Davison, N. J., Begeman, L., Hall, A. J., &amp; Dagleish, M. P. (2024). The first report of Listeria monocytogenes detected in pinnipeds. </w:t>
      </w:r>
      <w:r w:rsidRPr="000B5E2E">
        <w:rPr>
          <w:i/>
          <w:iCs/>
        </w:rPr>
        <w:t>Journal of Comparative Pathology</w:t>
      </w:r>
      <w:r>
        <w:t>, 208, 54-60.</w:t>
      </w:r>
    </w:p>
    <w:p w14:paraId="4E354E93" w14:textId="77777777" w:rsidR="000B5E2E" w:rsidRDefault="000B5E2E" w:rsidP="000B5E2E">
      <w:r>
        <w:t xml:space="preserve">Baker-Austin, C., Trinanes, J. A., Taylor, N. G., Hartnell, R., Siitonen, A., &amp; Martinez-Urtaza, J. (2013). Emerging Vibrio risk at high latitudes in response to ocean warming. </w:t>
      </w:r>
      <w:r w:rsidRPr="000B5E2E">
        <w:rPr>
          <w:i/>
          <w:iCs/>
        </w:rPr>
        <w:t>Nature climate change</w:t>
      </w:r>
      <w:r>
        <w:t>, 3(1), 73-77.</w:t>
      </w:r>
    </w:p>
    <w:p w14:paraId="6E144853" w14:textId="77777777" w:rsidR="000B5E2E" w:rsidRDefault="000B5E2E" w:rsidP="000B5E2E">
      <w:r>
        <w:t xml:space="preserve">Banach, J. L., Hoek‐van den Hil, E. F., &amp; van der Fels‐Klerx, H. J. (2020). Food safety hazards in the European seaweed chain. </w:t>
      </w:r>
      <w:r w:rsidRPr="000B5E2E">
        <w:rPr>
          <w:i/>
          <w:iCs/>
        </w:rPr>
        <w:t>Comprehensive reviews in food science and food safety</w:t>
      </w:r>
      <w:r>
        <w:t>, 19(2), 332-364.</w:t>
      </w:r>
    </w:p>
    <w:p w14:paraId="1B2779B6" w14:textId="77777777" w:rsidR="000B5E2E" w:rsidRDefault="000B5E2E" w:rsidP="000B5E2E">
      <w:r>
        <w:t xml:space="preserve">Banach, J. L., Hoffmans, Y., &amp; Faassen, E. J. (2024). A case study on Norwegian commercial harvesting and production of Saccharina latissima (Part 1): Effect of processing seaweed on chemical hazards, allergens, and microbiological hazards. </w:t>
      </w:r>
      <w:r w:rsidRPr="000B5E2E">
        <w:rPr>
          <w:i/>
          <w:iCs/>
        </w:rPr>
        <w:t>Food Control</w:t>
      </w:r>
      <w:r>
        <w:t>, 162, 110461.</w:t>
      </w:r>
    </w:p>
    <w:p w14:paraId="547501C6" w14:textId="77777777" w:rsidR="000B5E2E" w:rsidRDefault="000B5E2E" w:rsidP="000B5E2E">
      <w:r>
        <w:t xml:space="preserve">Barberi, O. N., Byron, C. J., Burkholder, K. M., St. Gelais, A. T., &amp; Williams, A. K. (2020). Assessment of bacterial pathogens on edible macroalgae in coastal waters. </w:t>
      </w:r>
      <w:r w:rsidRPr="000B5E2E">
        <w:rPr>
          <w:i/>
          <w:iCs/>
        </w:rPr>
        <w:t>Journal of Applied Phycology</w:t>
      </w:r>
      <w:r>
        <w:t>, 32, 683-696.</w:t>
      </w:r>
    </w:p>
    <w:p w14:paraId="27D1EDC9" w14:textId="77777777" w:rsidR="000B5E2E" w:rsidRDefault="000B5E2E" w:rsidP="000B5E2E">
      <w:r>
        <w:t xml:space="preserve">Beleneva, I. A. (2011). Incidence and characteristics of Staphylococcus aureus and Listeria monocytogenes from the Japan and South China seas. </w:t>
      </w:r>
      <w:r w:rsidRPr="000B5E2E">
        <w:rPr>
          <w:i/>
          <w:iCs/>
        </w:rPr>
        <w:t>Marine Pollution Bulletin</w:t>
      </w:r>
      <w:r>
        <w:t>, 62(2), 382-387.</w:t>
      </w:r>
    </w:p>
    <w:p w14:paraId="3B9BFE3A" w14:textId="77777777" w:rsidR="000B5E2E" w:rsidRDefault="000B5E2E" w:rsidP="000B5E2E">
      <w:r>
        <w:t xml:space="preserve">Benedict, K., Chiller, T. M., &amp; Mody, R. K. (2016). Invasive fungal infections acquired from contaminated food or nutritional supplements: a review of the literature. </w:t>
      </w:r>
      <w:r w:rsidRPr="000B5E2E">
        <w:rPr>
          <w:i/>
          <w:iCs/>
        </w:rPr>
        <w:t>Foodborne pathogens and disease</w:t>
      </w:r>
      <w:r>
        <w:t>, 13(7), 343-349.</w:t>
      </w:r>
    </w:p>
    <w:p w14:paraId="6A74D87A" w14:textId="77777777" w:rsidR="000B5E2E" w:rsidRDefault="000B5E2E" w:rsidP="000B5E2E"/>
    <w:p w14:paraId="1FA19F42" w14:textId="77777777" w:rsidR="000B5E2E" w:rsidRDefault="000B5E2E" w:rsidP="000B5E2E">
      <w:r>
        <w:lastRenderedPageBreak/>
        <w:t xml:space="preserve">Blikra, M. J., Løvdal, T., Vaka, M. R., Roiha, I. S., Lunestad, B. T., Lindseth, C., &amp; Skipnes, D. (2019). Assessment of food quality and microbial safety of brown macroalgae (Alaria esculenta and Saccharina latissima). </w:t>
      </w:r>
      <w:r w:rsidRPr="000B5E2E">
        <w:rPr>
          <w:i/>
          <w:iCs/>
        </w:rPr>
        <w:t>Journal of the Science of Food and Agriculture</w:t>
      </w:r>
      <w:r>
        <w:t>, 99(3), 1198-1206.</w:t>
      </w:r>
    </w:p>
    <w:p w14:paraId="16675FC6" w14:textId="77777777" w:rsidR="000B5E2E" w:rsidRDefault="000B5E2E" w:rsidP="000B5E2E">
      <w:r>
        <w:t xml:space="preserve">Bremer, P. J., Osborne, C. M., Kemp, R. A., &amp; Smith, J. J. (1998). Survival of Listeria monocytogenes in sea water and effect of exposure on thermal resistance. </w:t>
      </w:r>
      <w:r w:rsidRPr="000B5E2E">
        <w:rPr>
          <w:i/>
          <w:iCs/>
        </w:rPr>
        <w:t>Journal of Applied Microbiology</w:t>
      </w:r>
      <w:r>
        <w:t>, 85(3), 545-553.</w:t>
      </w:r>
    </w:p>
    <w:p w14:paraId="16D1FCA2" w14:textId="77777777" w:rsidR="000B5E2E" w:rsidRDefault="000B5E2E" w:rsidP="000B5E2E">
      <w:r>
        <w:t xml:space="preserve">Cavallo, G., Lorini, C., Garamella, G., &amp; Bonaccorsi, G. (2021). Seaweeds as a “palatable” challenge between innovation and sustainability: A systematic review of food safety. </w:t>
      </w:r>
      <w:r w:rsidRPr="000B5E2E">
        <w:rPr>
          <w:i/>
          <w:iCs/>
        </w:rPr>
        <w:t>Sustainability</w:t>
      </w:r>
      <w:r>
        <w:t>, 13(14), 7652.</w:t>
      </w:r>
    </w:p>
    <w:p w14:paraId="10D59431" w14:textId="77777777" w:rsidR="000B5E2E" w:rsidRDefault="000B5E2E" w:rsidP="000B5E2E">
      <w:r>
        <w:t xml:space="preserve">Centers for Disease Control and Prevention (CDC). (2005). Vibrio illnesses after Hurricane Katrina--multiple states, August-September 2005. </w:t>
      </w:r>
      <w:r w:rsidRPr="000B5E2E">
        <w:rPr>
          <w:i/>
          <w:iCs/>
        </w:rPr>
        <w:t>MMWR. Morbidity and mortality weekly report</w:t>
      </w:r>
      <w:r>
        <w:t>, 54(37), 928-931.</w:t>
      </w:r>
    </w:p>
    <w:p w14:paraId="6CA2DE43" w14:textId="77777777" w:rsidR="000B5E2E" w:rsidRDefault="000B5E2E" w:rsidP="000B5E2E">
      <w:r>
        <w:t xml:space="preserve">Cioffi, B., Ianiro, G., Iaccarino, D., D'Apice, F., Ferraro, A., Race, M., ... &amp; Fusco, G. (2021). A potential risk assessment tool to monitor pathogens circulation in coastal waters. </w:t>
      </w:r>
      <w:r w:rsidRPr="000B5E2E">
        <w:rPr>
          <w:i/>
          <w:iCs/>
        </w:rPr>
        <w:t>Environmental Research</w:t>
      </w:r>
      <w:r>
        <w:t>, 200, 111748</w:t>
      </w:r>
    </w:p>
    <w:p w14:paraId="3F358E9A" w14:textId="77777777" w:rsidR="000B5E2E" w:rsidRDefault="000B5E2E" w:rsidP="000B5E2E">
      <w:r>
        <w:t xml:space="preserve">Cook, D. W. (1997). Refrigeration of oyster shellstock: conditions which minimize the outgrowth of Vibrio vulnificus. </w:t>
      </w:r>
      <w:r w:rsidRPr="000B5E2E">
        <w:rPr>
          <w:i/>
          <w:iCs/>
        </w:rPr>
        <w:t>Journal of Food Protection</w:t>
      </w:r>
      <w:r>
        <w:t>, 60(4), 349-352.</w:t>
      </w:r>
    </w:p>
    <w:p w14:paraId="04AC70E8" w14:textId="77777777" w:rsidR="000B5E2E" w:rsidRDefault="000B5E2E" w:rsidP="000B5E2E">
      <w:r>
        <w:t xml:space="preserve">Cook, D. W., &amp; Ruple, A. D. (1992). Cold storage and mild heat treatment as processing aids to reduce the numbers of Vibrio vulnificus in raw oysters. </w:t>
      </w:r>
      <w:r w:rsidRPr="000B5E2E">
        <w:rPr>
          <w:i/>
          <w:iCs/>
        </w:rPr>
        <w:t>Journal of Food Protection</w:t>
      </w:r>
      <w:r>
        <w:t>, 55(12), 985-989.</w:t>
      </w:r>
    </w:p>
    <w:p w14:paraId="66742848" w14:textId="77777777" w:rsidR="000B5E2E" w:rsidRDefault="000B5E2E" w:rsidP="000B5E2E">
      <w:r>
        <w:t xml:space="preserve">Di Renzo, L., De Angelis, M. E., Torresi, M., Di Lollo, V., Di Teodoro, G., Averaimo, D., ... &amp; Di Francesco, G. (2022). First Report of Septicaemic Listeriosis in a loggerhead sea turtle (Caretta caretta) stranded along the adriatic coast: Strain detection and sequencing. </w:t>
      </w:r>
      <w:r w:rsidRPr="000B5E2E">
        <w:rPr>
          <w:i/>
          <w:iCs/>
        </w:rPr>
        <w:t>Animals</w:t>
      </w:r>
      <w:r>
        <w:t>, 12(18), 2364.</w:t>
      </w:r>
    </w:p>
    <w:p w14:paraId="113A2E3F" w14:textId="77777777" w:rsidR="000B5E2E" w:rsidRDefault="000B5E2E" w:rsidP="000B5E2E">
      <w:r>
        <w:t xml:space="preserve">Ezhilarasi, P., &amp; Vanavil, B. (2023). Curdlan Gum Production Using Marine Bacteria Isolated from Red Seaweeds: Screening and Optimization Studies. </w:t>
      </w:r>
      <w:r w:rsidRPr="000B5E2E">
        <w:rPr>
          <w:i/>
          <w:iCs/>
        </w:rPr>
        <w:t>Microbiology</w:t>
      </w:r>
      <w:r>
        <w:t>, 92(5), 725-733.</w:t>
      </w:r>
    </w:p>
    <w:p w14:paraId="000CE36F" w14:textId="77777777" w:rsidR="000B5E2E" w:rsidRDefault="000B5E2E" w:rsidP="000B5E2E">
      <w:r>
        <w:t xml:space="preserve">Faassen, E. J., Hoffmans, Y., &amp; Banach, J. L. (2024). A case study on Norwegian commercial harvesting and production of Saccharina latissima (part 2): Strategies for food safety sampling of farmed seaweed. </w:t>
      </w:r>
      <w:r w:rsidRPr="000B5E2E">
        <w:rPr>
          <w:i/>
          <w:iCs/>
        </w:rPr>
        <w:t>Food Control</w:t>
      </w:r>
      <w:r>
        <w:t>, 163, 110498.</w:t>
      </w:r>
    </w:p>
    <w:p w14:paraId="097DC3D0" w14:textId="77777777" w:rsidR="000B5E2E" w:rsidRDefault="000B5E2E" w:rsidP="000B5E2E">
      <w:r>
        <w:t>USFDA (2024). Draft guidance for industry: Hazard analysis and risk-based preventive controls for human food. https://www.fda.gov/regulatory-information/search-fda-guidance-documents/draft-guidance-industry-hazard-analysis-and-risk-based-preventive-controls-human-food</w:t>
      </w:r>
    </w:p>
    <w:p w14:paraId="38CDB5AA" w14:textId="77777777" w:rsidR="000B5E2E" w:rsidRDefault="000B5E2E" w:rsidP="000B5E2E">
      <w:r>
        <w:lastRenderedPageBreak/>
        <w:t xml:space="preserve">Goecke, F., Labes, A., Wiese, J., &amp; Imhoff, J. F. (2010). Chemical interactions between marine macroalgae and bacteria. </w:t>
      </w:r>
      <w:r w:rsidRPr="000B5E2E">
        <w:rPr>
          <w:i/>
          <w:iCs/>
        </w:rPr>
        <w:t>Marine ecology progress series</w:t>
      </w:r>
      <w:r>
        <w:t>, 409, 267-299.</w:t>
      </w:r>
    </w:p>
    <w:p w14:paraId="46BF1D9B" w14:textId="77777777" w:rsidR="000B5E2E" w:rsidRDefault="000B5E2E" w:rsidP="000B5E2E">
      <w:r>
        <w:t xml:space="preserve">Grattarola, C., Giorda, F., Iulini, B., Pintore, M. D., Pautasso, A., Zoppi, S., ... &amp; Casalone, C. (2016). Meningoencephalitis and Listeria monocytogenes, Toxoplasma gondii and Brucella spp. coinfection in a dolphin in Italy. </w:t>
      </w:r>
      <w:r w:rsidRPr="000B5E2E">
        <w:rPr>
          <w:i/>
          <w:iCs/>
        </w:rPr>
        <w:t>Diseases of Aquatic Organisms</w:t>
      </w:r>
      <w:r>
        <w:t>, 118(2), 169-174.</w:t>
      </w:r>
    </w:p>
    <w:p w14:paraId="2CDFABAF" w14:textId="77777777" w:rsidR="000B5E2E" w:rsidRDefault="000B5E2E" w:rsidP="000B5E2E">
      <w:r>
        <w:t xml:space="preserve">Gupta, S., Rajauria, G., &amp; Abu‐Ghannam, N. (2010). Study of the microbial diversity and antimicrobial properties of Irish edible brown seaweeds. </w:t>
      </w:r>
      <w:r w:rsidRPr="000B5E2E">
        <w:rPr>
          <w:i/>
          <w:iCs/>
        </w:rPr>
        <w:t>International journal of food science &amp; technology</w:t>
      </w:r>
      <w:r>
        <w:t>, 45(3), 482-489.</w:t>
      </w:r>
    </w:p>
    <w:p w14:paraId="1BCA3364" w14:textId="77777777" w:rsidR="000B5E2E" w:rsidRDefault="000B5E2E" w:rsidP="000B5E2E">
      <w:r>
        <w:t xml:space="preserve">Haley, B. J., Chen, A., Grim, C. J., Clark, P., Diaz, C. M., Taviani, E., ... &amp; Benediktsdóttir, E. (2012). Vibrio cholerae in a historically cholera‐free country. </w:t>
      </w:r>
      <w:r w:rsidRPr="000B5E2E">
        <w:rPr>
          <w:i/>
          <w:iCs/>
        </w:rPr>
        <w:t>Environmental microbiology reports</w:t>
      </w:r>
      <w:r>
        <w:t>, 4(4), 381-389.</w:t>
      </w:r>
    </w:p>
    <w:p w14:paraId="37223C80" w14:textId="77777777" w:rsidR="000B5E2E" w:rsidRDefault="000B5E2E" w:rsidP="000B5E2E">
      <w:r w:rsidRPr="006750D8">
        <w:t xml:space="preserve">Hamada, K., Tsuji, H., &amp; Shimada, K. (1999). </w:t>
      </w:r>
      <w:r>
        <w:t xml:space="preserve">Outbreaks of Heat Stable Enterotoxin-Producing Escherichia coli 0169 in the Kinki District in Japan: Epidemiological Analysis by Pulsed-Field Gel Electrophoresis. </w:t>
      </w:r>
      <w:r w:rsidRPr="000B5E2E">
        <w:rPr>
          <w:i/>
          <w:iCs/>
        </w:rPr>
        <w:t>Japanese Journal of Infectious Diseases</w:t>
      </w:r>
      <w:r>
        <w:t>, 52(4), 165-167.</w:t>
      </w:r>
    </w:p>
    <w:p w14:paraId="3777C4AE" w14:textId="77777777" w:rsidR="000B5E2E" w:rsidRDefault="000B5E2E" w:rsidP="000B5E2E">
      <w:r>
        <w:t xml:space="preserve">Hollants, J., Leliaert, F., De Clerck, O., &amp; Willems, A. (2013). What we can learn from sushi: a review on seaweed–bacterial associations. </w:t>
      </w:r>
      <w:r w:rsidRPr="000B5E2E">
        <w:rPr>
          <w:i/>
          <w:iCs/>
        </w:rPr>
        <w:t>FEMS microbiology ecology</w:t>
      </w:r>
      <w:r>
        <w:t>, 83(1), 1-16.</w:t>
      </w:r>
    </w:p>
    <w:p w14:paraId="08C11A4F" w14:textId="77777777" w:rsidR="000B5E2E" w:rsidRDefault="000B5E2E" w:rsidP="000B5E2E">
      <w:r>
        <w:t xml:space="preserve">Hood, M. A., &amp; Winter, P. A. (1997). Attachment of Vibrio cholerae under various environmental conditions and to selected substrates. </w:t>
      </w:r>
      <w:r w:rsidRPr="000B5E2E">
        <w:rPr>
          <w:i/>
          <w:iCs/>
        </w:rPr>
        <w:t>FEMS microbiology ecology</w:t>
      </w:r>
      <w:r>
        <w:t>, 22(3), 215-223.</w:t>
      </w:r>
    </w:p>
    <w:p w14:paraId="731B0D08" w14:textId="77777777" w:rsidR="000B5E2E" w:rsidRDefault="000B5E2E" w:rsidP="000B5E2E">
      <w:r>
        <w:t xml:space="preserve">Indraningrat, A. A. G., Purnami, P. P. C. P., Aryastuti, A. A. S. A., Wijaya, M. D., &amp; Horng, J. T. (2023, December). Antibacterial, antifungal and antioxidant activities of Bacillus cereus SMPRL-2 isolated from seaweeds Eucheuma cottonii. In </w:t>
      </w:r>
      <w:r w:rsidRPr="000B5E2E">
        <w:rPr>
          <w:i/>
          <w:iCs/>
        </w:rPr>
        <w:t>IOP Conference Series: Earth and Environmental Science</w:t>
      </w:r>
      <w:r>
        <w:t xml:space="preserve"> (Vol. 1271, No. 1, p. 012066). IOP Publishing.</w:t>
      </w:r>
    </w:p>
    <w:p w14:paraId="6FCFDEEB" w14:textId="77777777" w:rsidR="000B5E2E" w:rsidRDefault="000B5E2E" w:rsidP="000B5E2E">
      <w:r>
        <w:t xml:space="preserve">Islam, M. S., Drasar, B. S., &amp; Bradley, D. J. (1988). Survival and attachment of toxigenic Vibrio cholerae O1 in association with four marine algae. </w:t>
      </w:r>
      <w:r w:rsidRPr="000B5E2E">
        <w:rPr>
          <w:i/>
          <w:iCs/>
        </w:rPr>
        <w:t>Bangladesh J. Microbiol</w:t>
      </w:r>
      <w:r>
        <w:t>, 5(2), 41œ48.</w:t>
      </w:r>
    </w:p>
    <w:p w14:paraId="14A7D6AF" w14:textId="77777777" w:rsidR="000B5E2E" w:rsidRDefault="000B5E2E" w:rsidP="000B5E2E">
      <w:r>
        <w:t xml:space="preserve">Kashima, K., Sato, M., Osaka, Y., Sakakida, N., Kando, S., Ohtsuka, K., ... &amp; Honda, A. (2021). An outbreak of food poisoning due to Escherichia coli serotype O7: H4 carrying astA for enteroaggregative E. coli heat-stable enterotoxin1 (EAST1). </w:t>
      </w:r>
      <w:r w:rsidRPr="000B5E2E">
        <w:rPr>
          <w:i/>
          <w:iCs/>
        </w:rPr>
        <w:t>Epidemiology &amp; Infection</w:t>
      </w:r>
      <w:r>
        <w:t>, 149, e244.</w:t>
      </w:r>
    </w:p>
    <w:p w14:paraId="05E3AE0D" w14:textId="77777777" w:rsidR="000B5E2E" w:rsidRDefault="000B5E2E" w:rsidP="000B5E2E">
      <w:r>
        <w:t xml:space="preserve">Kim, S. H., Kim, J. S., Choi, J. P., &amp; Park, J. H. (2006). Prevalence and frequency of food-borne pathogens on unprocessed agricultural and marine products. </w:t>
      </w:r>
      <w:r w:rsidRPr="000B5E2E">
        <w:rPr>
          <w:i/>
          <w:iCs/>
        </w:rPr>
        <w:t>Korean Journal of Food Science and Technology</w:t>
      </w:r>
      <w:r>
        <w:t>, 38(4), 594-598.</w:t>
      </w:r>
    </w:p>
    <w:p w14:paraId="0A98DE3A" w14:textId="77777777" w:rsidR="000B5E2E" w:rsidRDefault="000B5E2E" w:rsidP="000B5E2E">
      <w:r>
        <w:t xml:space="preserve">Kothary, M. H., &amp; Babu, U. S. (2001). Infective dose of foodborne pathogens in volunteers: a review. </w:t>
      </w:r>
      <w:r w:rsidRPr="000B5E2E">
        <w:rPr>
          <w:i/>
          <w:iCs/>
        </w:rPr>
        <w:t>Journal of food safety</w:t>
      </w:r>
      <w:r>
        <w:t>, 21(1), 49-68.</w:t>
      </w:r>
    </w:p>
    <w:p w14:paraId="2591FEB6" w14:textId="77777777" w:rsidR="000B5E2E" w:rsidRDefault="000B5E2E" w:rsidP="000B5E2E">
      <w:r>
        <w:lastRenderedPageBreak/>
        <w:t xml:space="preserve">Kramer, J.M.; Gilbert, R.J. </w:t>
      </w:r>
      <w:r w:rsidRPr="000B5E2E">
        <w:rPr>
          <w:i/>
          <w:iCs/>
        </w:rPr>
        <w:t>Bacillus cereus</w:t>
      </w:r>
      <w:r>
        <w:t xml:space="preserve"> and other </w:t>
      </w:r>
      <w:r w:rsidRPr="000B5E2E">
        <w:rPr>
          <w:i/>
          <w:iCs/>
        </w:rPr>
        <w:t>Bacillus</w:t>
      </w:r>
      <w:r>
        <w:t xml:space="preserve"> species. </w:t>
      </w:r>
      <w:r w:rsidRPr="000B5E2E">
        <w:rPr>
          <w:i/>
          <w:iCs/>
        </w:rPr>
        <w:t>In Foodborne Bacterial Pathogens</w:t>
      </w:r>
      <w:r>
        <w:t>; Doyle, M.P., Ed.; Marcel Dekker Inc.: New York, NY, USA, 1989; pp. 21–70.</w:t>
      </w:r>
    </w:p>
    <w:p w14:paraId="6CE542F6" w14:textId="77777777" w:rsidR="000B5E2E" w:rsidRDefault="000B5E2E" w:rsidP="000B5E2E">
      <w:r>
        <w:t xml:space="preserve">Kreissig, K. J., Sørensen, J. S., Jensen, P. E., &amp; Hansen, L. T. (2023). Bacterial communities on Fucus sp. harvested in tidal zones with or without exposure to human sewage in Greenland. </w:t>
      </w:r>
      <w:r w:rsidRPr="000B5E2E">
        <w:rPr>
          <w:i/>
          <w:iCs/>
        </w:rPr>
        <w:t>Regional Studies in Marine Scie</w:t>
      </w:r>
      <w:r>
        <w:t>nce, 62, 102928.</w:t>
      </w:r>
    </w:p>
    <w:p w14:paraId="3246D612" w14:textId="77777777" w:rsidR="000B5E2E" w:rsidRDefault="000B5E2E" w:rsidP="000B5E2E">
      <w:r>
        <w:t xml:space="preserve">Kusumi, E., Tanimoto, T., Hosoda, K., Tsubokura, M., Hamaki, T., Takahashi, K., &amp; Kami, M. (2017). Multiple norovirus outbreaks due to shredded, dried, laver seaweed in Japan. </w:t>
      </w:r>
      <w:r w:rsidRPr="000B5E2E">
        <w:rPr>
          <w:i/>
          <w:iCs/>
        </w:rPr>
        <w:t>Infection Control &amp; Hospital Epidemiology</w:t>
      </w:r>
      <w:r>
        <w:t>, 38(7), 885-886.</w:t>
      </w:r>
    </w:p>
    <w:p w14:paraId="628F505F" w14:textId="77777777" w:rsidR="000B5E2E" w:rsidRDefault="000B5E2E" w:rsidP="000B5E2E">
      <w:r>
        <w:t xml:space="preserve">Liu, F., &amp; Pang, S. (2010). Nonculturability of the pathogenic Vibrio parahaemolyticus in live culture of Grateloupia turuturu is associated with bacterial attachment to the algal thalli. </w:t>
      </w:r>
      <w:r w:rsidRPr="000B5E2E">
        <w:rPr>
          <w:i/>
          <w:iCs/>
        </w:rPr>
        <w:t>Acta Oceanologica Sinica</w:t>
      </w:r>
      <w:r>
        <w:t>, 29, 92-103.</w:t>
      </w:r>
    </w:p>
    <w:p w14:paraId="2F0B3291" w14:textId="77777777" w:rsidR="000B5E2E" w:rsidRDefault="000B5E2E" w:rsidP="000B5E2E">
      <w:r>
        <w:t xml:space="preserve">Logan, N. A. (2012). Bacillus and relatives in foodborne illness. </w:t>
      </w:r>
      <w:r w:rsidRPr="000B5E2E">
        <w:rPr>
          <w:i/>
          <w:iCs/>
        </w:rPr>
        <w:t>Journal of applied microbiology</w:t>
      </w:r>
      <w:r>
        <w:t>, 112(3), 417-429.</w:t>
      </w:r>
    </w:p>
    <w:p w14:paraId="5B9FA749" w14:textId="77777777" w:rsidR="000B5E2E" w:rsidRDefault="000B5E2E" w:rsidP="000B5E2E">
      <w:r>
        <w:t xml:space="preserve">Løvdal, T., Lunestad, B. T., Myrmel, M., Rosnes, J. T., &amp; Skipnes, D. (2021). Microbiological food safety of seaweeds. </w:t>
      </w:r>
      <w:r w:rsidRPr="000B5E2E">
        <w:rPr>
          <w:i/>
          <w:iCs/>
        </w:rPr>
        <w:t>Foods</w:t>
      </w:r>
      <w:r>
        <w:t>, 10(11), 2719.</w:t>
      </w:r>
    </w:p>
    <w:p w14:paraId="16E187B8" w14:textId="77777777" w:rsidR="000B5E2E" w:rsidRDefault="000B5E2E" w:rsidP="000B5E2E">
      <w:r>
        <w:t xml:space="preserve">Lytou, A. E., Schoina, E., Liu, Y., Michalek, K., Stanley, M. S., Panagou, E. Z., &amp; Nychas, G. J. E. (2021). Quality and safety assessment of edible seaweeds Alaria esculenta and Saccharina latissima cultivated in Scotland. </w:t>
      </w:r>
      <w:r w:rsidRPr="000B5E2E">
        <w:rPr>
          <w:i/>
          <w:iCs/>
        </w:rPr>
        <w:t>Foods</w:t>
      </w:r>
      <w:r>
        <w:t>, 10(9), 2210.</w:t>
      </w:r>
    </w:p>
    <w:p w14:paraId="65205C68" w14:textId="77777777" w:rsidR="000B5E2E" w:rsidRDefault="000B5E2E" w:rsidP="000B5E2E">
      <w:r>
        <w:t xml:space="preserve">Mahmud, Z. H., Kassu, A., Mohammad, A., Yamato, M., Bhuiyan, N. A., Nair, G. B., &amp; Ota, F. (2006). Isolation and molecular characterization of toxigenic Vibrio parahaemolyticus from the Kii Channel, Japan. </w:t>
      </w:r>
      <w:r w:rsidRPr="000B5E2E">
        <w:rPr>
          <w:i/>
          <w:iCs/>
        </w:rPr>
        <w:t>Microbiological Research</w:t>
      </w:r>
      <w:r>
        <w:t>, 161(1), 25-37.</w:t>
      </w:r>
    </w:p>
    <w:p w14:paraId="2585F553" w14:textId="77777777" w:rsidR="000B5E2E" w:rsidRDefault="000B5E2E" w:rsidP="000B5E2E">
      <w:r>
        <w:t xml:space="preserve">Mahmud, Z. H., Neogi, S. B., Kassu, A., Wada, T., Islam, M. S., Nair, G. B., &amp; Ota, F. (2007). Seaweeds as a reservoir for diverse Vibrio parahaemolyticus populations in Japan. </w:t>
      </w:r>
      <w:r w:rsidRPr="000B5E2E">
        <w:rPr>
          <w:i/>
          <w:iCs/>
        </w:rPr>
        <w:t>International journal of food microbiology</w:t>
      </w:r>
      <w:r>
        <w:t>, 118(1), 92-96.</w:t>
      </w:r>
    </w:p>
    <w:p w14:paraId="1F212814" w14:textId="77777777" w:rsidR="000B5E2E" w:rsidRDefault="000B5E2E" w:rsidP="000B5E2E">
      <w:r>
        <w:t xml:space="preserve">Mahmud, Z. H., Neogi, S. B., Kassu, A., Mai Huong, B. T., Jahid, I. K., Islam, M. S., &amp; Ota, F. (2008). Occurrence, seasonality and genetic diversity of Vibrio vulnificus in coastal seaweeds and water along the Kii Channel, Japan. </w:t>
      </w:r>
      <w:r w:rsidRPr="000B5E2E">
        <w:rPr>
          <w:i/>
          <w:iCs/>
        </w:rPr>
        <w:t>FEMS microbiology ecology</w:t>
      </w:r>
      <w:r>
        <w:t>, 64(2), 209-218.</w:t>
      </w:r>
    </w:p>
    <w:p w14:paraId="560B4036" w14:textId="77777777" w:rsidR="000B5E2E" w:rsidRDefault="000B5E2E" w:rsidP="000B5E2E">
      <w:r>
        <w:t xml:space="preserve">Martelli, F., Marrella, M., Lazzi, C., Neviani, E., &amp; Bernini, V. (2021). Microbiological contamination of ready-to-eat algae and evaluation of Bacillus cereus behavior by microbiological challenge test. </w:t>
      </w:r>
      <w:r w:rsidRPr="000B5E2E">
        <w:rPr>
          <w:i/>
          <w:iCs/>
        </w:rPr>
        <w:t>Journal of Food Protection</w:t>
      </w:r>
      <w:r>
        <w:t>, 84(7), 1275-1280.</w:t>
      </w:r>
    </w:p>
    <w:p w14:paraId="08AB3342" w14:textId="77777777" w:rsidR="000B5E2E" w:rsidRDefault="000B5E2E" w:rsidP="000B5E2E">
      <w:r>
        <w:t xml:space="preserve">Martinez-Urtaza, J., Bowers, J. C., Trinanes, J., &amp; DePaola, A. (2010). Climate anomalies and the increasing risk of Vibrio parahaemolyticus and Vibrio vulnificus illnesses. </w:t>
      </w:r>
      <w:r w:rsidRPr="000B5E2E">
        <w:rPr>
          <w:i/>
          <w:iCs/>
        </w:rPr>
        <w:t>Food Research International,</w:t>
      </w:r>
      <w:r>
        <w:t xml:space="preserve"> 43(7), 1780-1790.</w:t>
      </w:r>
    </w:p>
    <w:p w14:paraId="2ADA2413" w14:textId="77777777" w:rsidR="000B5E2E" w:rsidRDefault="000B5E2E" w:rsidP="000B5E2E">
      <w:r>
        <w:lastRenderedPageBreak/>
        <w:t xml:space="preserve">Matches, J. R., Liston, J., &amp; Curran, D. (1974). Clostridium perfringens in the environment. </w:t>
      </w:r>
      <w:r w:rsidRPr="000B5E2E">
        <w:rPr>
          <w:i/>
          <w:iCs/>
        </w:rPr>
        <w:t>Applied microbiology</w:t>
      </w:r>
      <w:r>
        <w:t>, 28(4), 655-660.</w:t>
      </w:r>
    </w:p>
    <w:p w14:paraId="0DA6B01E" w14:textId="77777777" w:rsidR="000B5E2E" w:rsidRDefault="000B5E2E" w:rsidP="000B5E2E">
      <w:r>
        <w:t xml:space="preserve">Moore, J. E., Xu, J., &amp; Millar, B. C. (2002). Diversity of the microflora of edible macroalga (Palmaria palmata). </w:t>
      </w:r>
      <w:r w:rsidRPr="000B5E2E">
        <w:rPr>
          <w:i/>
          <w:iCs/>
        </w:rPr>
        <w:t>Food microbiology</w:t>
      </w:r>
      <w:r>
        <w:t>, 19(2-3), 249-257.</w:t>
      </w:r>
    </w:p>
    <w:p w14:paraId="4EBF1FC0" w14:textId="77777777" w:rsidR="000B5E2E" w:rsidRDefault="000B5E2E" w:rsidP="000B5E2E">
      <w:r>
        <w:t xml:space="preserve">Moreira-Leite, B., Antunes, R., Cotas, J., Martins, N., Costa, N., Noronha, J. P., ... &amp; Diniz, M. (2023). Modified Atmosphere Packaging (MAP) for Seaweed Conservation: Impact on Physicochemical Characteristics and Microbiological Activity. </w:t>
      </w:r>
      <w:r w:rsidRPr="000B5E2E">
        <w:rPr>
          <w:i/>
          <w:iCs/>
        </w:rPr>
        <w:t>Foods</w:t>
      </w:r>
      <w:r>
        <w:t>, 12(14), 2736.</w:t>
      </w:r>
    </w:p>
    <w:p w14:paraId="1531F314" w14:textId="77777777" w:rsidR="000B5E2E" w:rsidRDefault="000B5E2E" w:rsidP="000B5E2E">
      <w:r>
        <w:t xml:space="preserve">Mustapha, S., Mustapha, E. M., &amp; Nozha, C. (2013). Vibrio alginolyticus: an emerging pathogen of foodborne diseases. International </w:t>
      </w:r>
      <w:r w:rsidRPr="000B5E2E">
        <w:rPr>
          <w:i/>
          <w:iCs/>
        </w:rPr>
        <w:t>Journal of Science and Technology,</w:t>
      </w:r>
      <w:r>
        <w:t xml:space="preserve"> 2(4), 302-309.</w:t>
      </w:r>
    </w:p>
    <w:p w14:paraId="3846F014" w14:textId="77777777" w:rsidR="000B5E2E" w:rsidRDefault="000B5E2E" w:rsidP="000B5E2E">
      <w:r>
        <w:t xml:space="preserve">Nichols, C. (2017, June). Outbreak of salmonellosis associated with seaweed from a local aquaculture farm—Oahu, 2016. In </w:t>
      </w:r>
      <w:r w:rsidRPr="000B5E2E">
        <w:rPr>
          <w:i/>
          <w:iCs/>
        </w:rPr>
        <w:t>2017 CSTE Annual Conference</w:t>
      </w:r>
      <w:r>
        <w:t>. Cste.</w:t>
      </w:r>
    </w:p>
    <w:p w14:paraId="1474F062" w14:textId="77777777" w:rsidR="000B5E2E" w:rsidRDefault="000B5E2E" w:rsidP="000B5E2E">
      <w:r>
        <w:t xml:space="preserve">Noda (2017). Lessons learned from a large and diffuse outbreak of gastroenteritis caused by consumption of Kizami-nori (chopped seaweed) contaminated with norovirus. </w:t>
      </w:r>
      <w:r w:rsidRPr="000B5E2E">
        <w:rPr>
          <w:i/>
          <w:iCs/>
        </w:rPr>
        <w:t>Bulletin of the National Institute of Health Science</w:t>
      </w:r>
      <w:r>
        <w:t xml:space="preserve">, 135, 6 -12. </w:t>
      </w:r>
    </w:p>
    <w:p w14:paraId="65368D28" w14:textId="77777777" w:rsidR="000B5E2E" w:rsidRDefault="000B5E2E" w:rsidP="000B5E2E">
      <w:r>
        <w:t xml:space="preserve">Oliveira, J. M., Pardal, M. A., Pereira, L., Matos, A. M., &amp; Rodrigues, E. T. (2024). Portuguese macroalgae and halophytes for human consumption: minimal risk of norovirus and Salmonella infection. </w:t>
      </w:r>
      <w:r w:rsidRPr="000B5E2E">
        <w:rPr>
          <w:i/>
          <w:iCs/>
        </w:rPr>
        <w:t>Food Control</w:t>
      </w:r>
      <w:r>
        <w:t>, 110600.</w:t>
      </w:r>
    </w:p>
    <w:p w14:paraId="78D22227" w14:textId="77777777" w:rsidR="000B5E2E" w:rsidRDefault="000B5E2E" w:rsidP="000B5E2E">
      <w:r>
        <w:t xml:space="preserve">Oliver, J. D. (2006). Vibrio vulnificus. </w:t>
      </w:r>
      <w:r w:rsidRPr="000B5E2E">
        <w:rPr>
          <w:i/>
          <w:iCs/>
        </w:rPr>
        <w:t>The biology of vibrios</w:t>
      </w:r>
      <w:r>
        <w:t>, 349-366.</w:t>
      </w:r>
    </w:p>
    <w:p w14:paraId="30751E37" w14:textId="77777777" w:rsidR="000B5E2E" w:rsidRDefault="000B5E2E" w:rsidP="000B5E2E">
      <w:r w:rsidRPr="00E125EA">
        <w:rPr>
          <w:lang w:val="es-ES"/>
        </w:rPr>
        <w:t xml:space="preserve">Ortigosa, M., Esteve, C., &amp; Pujalte, M. J. (1989). </w:t>
      </w:r>
      <w:r>
        <w:t xml:space="preserve">Vibrio species in seawater and mussels: abundance and numerical taxonomy. </w:t>
      </w:r>
      <w:r w:rsidRPr="000B5E2E">
        <w:rPr>
          <w:i/>
          <w:iCs/>
        </w:rPr>
        <w:t>Systematic and Applied Microbiology</w:t>
      </w:r>
      <w:r>
        <w:t>, 12(3), 316-325.</w:t>
      </w:r>
    </w:p>
    <w:p w14:paraId="1814FB20" w14:textId="77777777" w:rsidR="000B5E2E" w:rsidRDefault="000B5E2E" w:rsidP="000B5E2E">
      <w:r>
        <w:t xml:space="preserve">Pan-Utai, W., Satmalee, P., Saah, S., Paopun, Y., &amp; Tamtin, M. (2023). Brine-Processed Caulerpa lentillifera Macroalgal Stability: Physicochemical, </w:t>
      </w:r>
      <w:r w:rsidRPr="000B5E2E">
        <w:rPr>
          <w:i/>
          <w:iCs/>
        </w:rPr>
        <w:t>Nutritional and Microbiological Properties</w:t>
      </w:r>
      <w:r>
        <w:t>. Life, 13(11), 2112.</w:t>
      </w:r>
    </w:p>
    <w:p w14:paraId="77F2B79D" w14:textId="77777777" w:rsidR="000B5E2E" w:rsidRDefault="000B5E2E" w:rsidP="000B5E2E">
      <w:r>
        <w:t xml:space="preserve">Pang, S. J., Xiao, T., Shan, T. F., Wang, Z. F., &amp; Gao, S. Q. (2006). Evidences of the intertidal red alga Grateloupia turuturu in turning Vibrio parahaemolyticus into non-culturable state in the presence of light. </w:t>
      </w:r>
      <w:r w:rsidRPr="000B5E2E">
        <w:rPr>
          <w:i/>
          <w:iCs/>
        </w:rPr>
        <w:t>Aquaculture</w:t>
      </w:r>
      <w:r>
        <w:t>, 260(1-4), 369-374.</w:t>
      </w:r>
    </w:p>
    <w:p w14:paraId="357AFCB2" w14:textId="77777777" w:rsidR="000B5E2E" w:rsidRDefault="000B5E2E" w:rsidP="000B5E2E">
      <w:r>
        <w:t xml:space="preserve">Park, J. H., Jeong, H. S., Lee, J. S., Lee, S. W., Choi, Y. H., Choi, S. J., ... &amp; Youn, S. K. (2015). First norovirus outbreaks associated with consumption of green seaweed (Enteromorpha spp.) in South Korea. </w:t>
      </w:r>
      <w:r w:rsidRPr="000B5E2E">
        <w:rPr>
          <w:i/>
          <w:iCs/>
        </w:rPr>
        <w:t>Epidemiology &amp; Infection</w:t>
      </w:r>
      <w:r>
        <w:t>, 143(3), 515-521.</w:t>
      </w:r>
    </w:p>
    <w:p w14:paraId="4A3CF97A" w14:textId="77777777" w:rsidR="000B5E2E" w:rsidRDefault="000B5E2E" w:rsidP="000B5E2E">
      <w:r>
        <w:t xml:space="preserve">Picon, A., Del Olmo, A., &amp; Nuñez, M. (2021). Bacterial diversity in six species of fresh edible seaweeds submitted to high pressure processing and long-term refrigerated storage. </w:t>
      </w:r>
      <w:r w:rsidRPr="000B5E2E">
        <w:rPr>
          <w:i/>
          <w:iCs/>
        </w:rPr>
        <w:t>Food Microbiology</w:t>
      </w:r>
      <w:r>
        <w:t>, 94, 103646.</w:t>
      </w:r>
    </w:p>
    <w:p w14:paraId="203B9BBB" w14:textId="77777777" w:rsidR="000B5E2E" w:rsidRDefault="000B5E2E" w:rsidP="000B5E2E">
      <w:r>
        <w:lastRenderedPageBreak/>
        <w:t xml:space="preserve">Quero, G. M., Fasolato, L., Vignaroli, C., &amp; Luna, G. M. (2015). Understanding the association of Escherichia coli with diverse macroalgae in the lagoon of Venice. </w:t>
      </w:r>
      <w:r w:rsidRPr="000B5E2E">
        <w:rPr>
          <w:i/>
          <w:iCs/>
        </w:rPr>
        <w:t>Scientific reports</w:t>
      </w:r>
      <w:r>
        <w:t>, 5(1), 10969.</w:t>
      </w:r>
    </w:p>
    <w:p w14:paraId="29D229AE" w14:textId="77777777" w:rsidR="000B5E2E" w:rsidRDefault="000B5E2E" w:rsidP="000B5E2E">
      <w:r>
        <w:t xml:space="preserve">Reilly, G. D., Reilly, C. A., Smith, E. G., &amp; Baker-Austin, C. (2011). Vibrio alginolyticus-associated wound infection acquired in British waters, Guernsey, July 2011. </w:t>
      </w:r>
      <w:r w:rsidRPr="000B5E2E">
        <w:rPr>
          <w:i/>
          <w:iCs/>
        </w:rPr>
        <w:t>Eurosurveillance</w:t>
      </w:r>
      <w:r>
        <w:t>, 16(42), 19994.</w:t>
      </w:r>
    </w:p>
    <w:p w14:paraId="7E95BC64" w14:textId="77777777" w:rsidR="000B5E2E" w:rsidRDefault="000B5E2E" w:rsidP="000B5E2E">
      <w:r>
        <w:t xml:space="preserve">Roy, P. K., Roy, A., Jeon, E. B., DeWitt, C. A. M., Park, J. W., &amp; Park, S. Y. (2024). Comprehensive analysis of predominant pathogenic bacteria and viruses in seafood products. </w:t>
      </w:r>
      <w:r w:rsidRPr="000B5E2E">
        <w:rPr>
          <w:i/>
          <w:iCs/>
        </w:rPr>
        <w:t>Comprehensive Reviews in Food Science and Food Safety</w:t>
      </w:r>
      <w:r>
        <w:t>, 23(4), e13410.</w:t>
      </w:r>
    </w:p>
    <w:p w14:paraId="516953C5" w14:textId="77777777" w:rsidR="000B5E2E" w:rsidRDefault="000B5E2E" w:rsidP="000B5E2E">
      <w:r>
        <w:t xml:space="preserve">Rubini, S., Baruffaldi, M., Taddei, R., D’Annunzio, G., Scaltriti, E., Tambassi, M., ... &amp; Giacometti, F. (2023). Loggerhead Sea Turtle as Possible Source of Transmission for Zoonotic Listeriosis in the Marine Environment. </w:t>
      </w:r>
      <w:r w:rsidRPr="000B5E2E">
        <w:rPr>
          <w:i/>
          <w:iCs/>
        </w:rPr>
        <w:t>Veterinary Sciences</w:t>
      </w:r>
      <w:r>
        <w:t>, 10(5), 344.</w:t>
      </w:r>
    </w:p>
    <w:p w14:paraId="50BF87C1" w14:textId="77777777" w:rsidR="000B5E2E" w:rsidRDefault="000B5E2E" w:rsidP="000B5E2E">
      <w:r>
        <w:t xml:space="preserve">Sakon, N., Sadamasu, K., Shinkai, T., Hamajima, Y., Yoshitomi, H., Matsushima, Y., ... &amp; Kimura, H. (2018). Foodborne outbreaks caused by human norovirus GII. P17-GII. 17–contaminated nori, Japan, 2017. </w:t>
      </w:r>
      <w:r w:rsidRPr="000B5E2E">
        <w:rPr>
          <w:i/>
          <w:iCs/>
        </w:rPr>
        <w:t>Emerging infectious diseases</w:t>
      </w:r>
      <w:r>
        <w:t>, 24(5), 920.</w:t>
      </w:r>
    </w:p>
    <w:p w14:paraId="5EC7D320" w14:textId="77777777" w:rsidR="000B5E2E" w:rsidRPr="00E125EA" w:rsidRDefault="000B5E2E" w:rsidP="000B5E2E">
      <w:pPr>
        <w:rPr>
          <w:lang w:val="es-ES"/>
        </w:rPr>
      </w:pPr>
      <w:r>
        <w:t xml:space="preserve">Sanjit Singh, A., Lekshmi, M., Prakasan, S., Nayak, B. B., &amp; Kumar, S. (2017). Multiple antibiotic-resistant, extended spectrum-β-lactamase (ESBL)-producing enterobacteria in fresh seafood. </w:t>
      </w:r>
      <w:r w:rsidRPr="00E125EA">
        <w:rPr>
          <w:i/>
          <w:iCs/>
          <w:lang w:val="es-ES"/>
        </w:rPr>
        <w:t>Microorganisms</w:t>
      </w:r>
      <w:r w:rsidRPr="00E125EA">
        <w:rPr>
          <w:lang w:val="es-ES"/>
        </w:rPr>
        <w:t>, 5(3), 53.</w:t>
      </w:r>
    </w:p>
    <w:p w14:paraId="32FB4E90" w14:textId="77777777" w:rsidR="000B5E2E" w:rsidRDefault="000B5E2E" w:rsidP="000B5E2E">
      <w:r w:rsidRPr="00E125EA">
        <w:rPr>
          <w:lang w:val="es-ES"/>
        </w:rPr>
        <w:t xml:space="preserve">Sévellec, Y., Torresi, M., Félix, B., Palma, F., Centorotola, G., Bilei, S., ... </w:t>
      </w:r>
      <w:r>
        <w:t xml:space="preserve">&amp; Roussel, S. (2020). First report on the finding of Listeria monocytogenes ST121 strain in a dolphin brain. </w:t>
      </w:r>
      <w:r w:rsidRPr="000B5E2E">
        <w:rPr>
          <w:i/>
          <w:iCs/>
        </w:rPr>
        <w:t>Pathogens 9</w:t>
      </w:r>
      <w:r>
        <w:t>: 802.</w:t>
      </w:r>
    </w:p>
    <w:p w14:paraId="6E01BF47" w14:textId="77777777" w:rsidR="000B5E2E" w:rsidRDefault="000B5E2E" w:rsidP="000B5E2E">
      <w:r>
        <w:t xml:space="preserve">Skonberg, D. I., Fader, S., Perkins, L. B., &amp; Perry, J. J. (2021). Lactic acid fermentation in the development of a seaweed sauerkraut‐style product: Microbiological, physicochemical, and sensory evaluation. </w:t>
      </w:r>
      <w:r w:rsidRPr="000B5E2E">
        <w:rPr>
          <w:i/>
          <w:iCs/>
        </w:rPr>
        <w:t>Journal of Food Science</w:t>
      </w:r>
      <w:r>
        <w:t>, 86(2), 334-342.</w:t>
      </w:r>
    </w:p>
    <w:p w14:paraId="5414063F" w14:textId="77777777" w:rsidR="000B5E2E" w:rsidRDefault="000B5E2E" w:rsidP="000B5E2E">
      <w:r>
        <w:t xml:space="preserve">Somura, Y., Kimoto, K., Oda, M., Okutsu, Y., Kato, R., Suzuki, Y., ... &amp; Sadamasu, K. (2017). Serial food poisoning outbreaks caused by norovirus-contaminated shredded dried laver seaweed provided at school lunch, Tokyo, 2017. Shokuhin eiseigaku zasshi. </w:t>
      </w:r>
      <w:r w:rsidRPr="000B5E2E">
        <w:rPr>
          <w:i/>
          <w:iCs/>
        </w:rPr>
        <w:t>Journal of the Food Hygienic Society of Japan</w:t>
      </w:r>
      <w:r>
        <w:t>, 58(6), 260-267.</w:t>
      </w:r>
    </w:p>
    <w:p w14:paraId="1F4077AE" w14:textId="77777777" w:rsidR="000B5E2E" w:rsidRDefault="000B5E2E" w:rsidP="000B5E2E">
      <w:r>
        <w:t xml:space="preserve">Son, K. T., Lach, T., Jung, Y., Kang, S. K., Eom, S. H., Lee, D. S., ... &amp; Kim, Y. M. (2014). Food hazard analysis during dried-laver processing. </w:t>
      </w:r>
      <w:r w:rsidRPr="000B5E2E">
        <w:rPr>
          <w:i/>
          <w:iCs/>
        </w:rPr>
        <w:t>Fisheries and aquatic sciences</w:t>
      </w:r>
      <w:r>
        <w:t>, 17(2), 197-201.</w:t>
      </w:r>
    </w:p>
    <w:p w14:paraId="073C0B0E" w14:textId="77777777" w:rsidR="000B5E2E" w:rsidRDefault="000B5E2E" w:rsidP="000B5E2E">
      <w:r w:rsidRPr="006750D8">
        <w:t xml:space="preserve">Sørensen, J. S., van Reeuwijk, S. R., Bartle, R. S., &amp; Hansen, L. T. (2023). </w:t>
      </w:r>
      <w:r>
        <w:t xml:space="preserve">Inactivation of Salmonella Typhimurium during low heat convection drying of winged kelp (Alaria esculenta). </w:t>
      </w:r>
      <w:r w:rsidRPr="000B5E2E">
        <w:rPr>
          <w:i/>
          <w:iCs/>
        </w:rPr>
        <w:t>LWT, 182</w:t>
      </w:r>
      <w:r>
        <w:t>, 114822.</w:t>
      </w:r>
    </w:p>
    <w:p w14:paraId="2580DE72" w14:textId="77777777" w:rsidR="000B5E2E" w:rsidRDefault="000B5E2E" w:rsidP="000B5E2E">
      <w:r>
        <w:lastRenderedPageBreak/>
        <w:t xml:space="preserve">Su, Y. C., &amp; Liu, C. (2007). Vibrio parahaemolyticus: a concern of seafood safety. </w:t>
      </w:r>
      <w:r w:rsidRPr="000B5E2E">
        <w:rPr>
          <w:i/>
          <w:iCs/>
        </w:rPr>
        <w:t>Food microbiology</w:t>
      </w:r>
      <w:r>
        <w:t>, 24(6), 549-558.</w:t>
      </w:r>
    </w:p>
    <w:p w14:paraId="5BE28465" w14:textId="77777777" w:rsidR="000B5E2E" w:rsidRDefault="000B5E2E" w:rsidP="000B5E2E">
      <w:r>
        <w:t xml:space="preserve">Swinscoe, I., Oliver, D. M., Ørnsrud, R., &amp; Quilliam, R. S. (2020). The microbial safety of seaweed as a feed component for black soldier fly (Hermetia illucens) larvae. </w:t>
      </w:r>
      <w:r w:rsidRPr="000B5E2E">
        <w:rPr>
          <w:i/>
          <w:iCs/>
        </w:rPr>
        <w:t>Food microbiology</w:t>
      </w:r>
      <w:r>
        <w:t>, 91, 103535.</w:t>
      </w:r>
    </w:p>
    <w:p w14:paraId="1BFDED63" w14:textId="77777777" w:rsidR="000B5E2E" w:rsidRDefault="000B5E2E" w:rsidP="000B5E2E">
      <w:r>
        <w:t xml:space="preserve">Teunis, P. F., Moe, C. L., Liu, P., E. Miller, S., Lindesmith, L., Baric, R. S., ... &amp; Calderon, R. L. (2008). Norwalk virus: how infectious is it?. </w:t>
      </w:r>
      <w:r w:rsidRPr="000B5E2E">
        <w:rPr>
          <w:i/>
          <w:iCs/>
        </w:rPr>
        <w:t>Journal of medical virology</w:t>
      </w:r>
      <w:r>
        <w:t>, 80(8), 1468-1476.</w:t>
      </w:r>
    </w:p>
    <w:p w14:paraId="7788A882" w14:textId="77777777" w:rsidR="000B5E2E" w:rsidRDefault="000B5E2E" w:rsidP="000B5E2E">
      <w:r>
        <w:t xml:space="preserve">USFDA, U. S. F. &amp; D. A. (2024, May 30). </w:t>
      </w:r>
      <w:r w:rsidRPr="000B5E2E">
        <w:rPr>
          <w:i/>
          <w:iCs/>
        </w:rPr>
        <w:t>Draft guidance for industry: Hazard analysis and risk-based preventive controls for human food</w:t>
      </w:r>
      <w:r>
        <w:t>. https://www.fda.gov/regulatory-information/search-fda-guidance-documents/draft-guidance-industry-hazard-analysis-and-risk-based-preventive-controls-human-food</w:t>
      </w:r>
    </w:p>
    <w:p w14:paraId="50B5703F" w14:textId="77777777" w:rsidR="000B5E2E" w:rsidRDefault="000B5E2E" w:rsidP="000B5E2E">
      <w:r>
        <w:t xml:space="preserve">Vairappan, C. S., &amp; Suzuki, M. (2000). Dynamics of total surface bacteria and bacterial species counts during desiccation in the Malaysian sea lettuce, Ulva reticulata (Ulvales, Chlorophyta). </w:t>
      </w:r>
      <w:r w:rsidRPr="000B5E2E">
        <w:rPr>
          <w:i/>
          <w:iCs/>
        </w:rPr>
        <w:t>Phycological Research</w:t>
      </w:r>
      <w:r>
        <w:t>, 48(2), 55-61.</w:t>
      </w:r>
    </w:p>
    <w:p w14:paraId="5BA005D0" w14:textId="77777777" w:rsidR="000B5E2E" w:rsidRDefault="000B5E2E" w:rsidP="000B5E2E">
      <w:r>
        <w:t xml:space="preserve">Vatsos, I. N., &amp; Rebours, C. (2015). Seaweed extracts as antimicrobial agents in aquaculture. </w:t>
      </w:r>
      <w:r w:rsidRPr="000B5E2E">
        <w:rPr>
          <w:i/>
          <w:iCs/>
        </w:rPr>
        <w:t>Journal of Applied Phycology</w:t>
      </w:r>
      <w:r>
        <w:t>, 27, 2017-2035.</w:t>
      </w:r>
    </w:p>
    <w:p w14:paraId="250BF01B" w14:textId="77777777" w:rsidR="000B5E2E" w:rsidRDefault="000B5E2E" w:rsidP="000B5E2E">
      <w:r>
        <w:t xml:space="preserve">Vezzulli, L., Colwell, R. R., &amp; Pruzzo, C. (2013). Ocean warming and spread of pathogenic vibrios in the aquatic environment. </w:t>
      </w:r>
      <w:r w:rsidRPr="000B5E2E">
        <w:rPr>
          <w:i/>
          <w:iCs/>
        </w:rPr>
        <w:t>Microbial ecology</w:t>
      </w:r>
      <w:r>
        <w:t>, 65, 817-825.</w:t>
      </w:r>
    </w:p>
    <w:p w14:paraId="5606F2BB" w14:textId="77777777" w:rsidR="000B5E2E" w:rsidRDefault="000B5E2E" w:rsidP="000B5E2E">
      <w:r>
        <w:t xml:space="preserve">Vugia, D. J., Shefer, A. M., Douglas, J., Greene, K. D., Bryant, R. G., &amp; Werner, S. B. (1997). Cholera from raw seaweed transported from the Philippines to California. </w:t>
      </w:r>
      <w:r w:rsidRPr="000B5E2E">
        <w:rPr>
          <w:i/>
          <w:iCs/>
        </w:rPr>
        <w:t>Journal of clinical microbiology</w:t>
      </w:r>
      <w:r>
        <w:t>, 35(1), 284-285.</w:t>
      </w:r>
    </w:p>
    <w:p w14:paraId="639ACF3E" w14:textId="77777777" w:rsidR="000B5E2E" w:rsidRDefault="000B5E2E" w:rsidP="000B5E2E">
      <w:r>
        <w:t>Whitworth, J. (2019). Norway norovirus outbreaks linked to seaweed salad from China. Food Safety News, 2019(September 3).</w:t>
      </w:r>
    </w:p>
    <w:p w14:paraId="5004B62E" w14:textId="450D5929" w:rsidR="00FF5CD0" w:rsidRDefault="000B5E2E" w:rsidP="000B5E2E">
      <w:r>
        <w:t xml:space="preserve">Wiese, J., Thiel, V., Nagel, K., Staufenberger, T., &amp; Imhoff, J. F. (2009). Diversity of antibiotic-active bacteria associated with the brown alga Laminaria saccharina from the Baltic Sea. </w:t>
      </w:r>
      <w:r w:rsidRPr="000B5E2E">
        <w:rPr>
          <w:i/>
          <w:iCs/>
        </w:rPr>
        <w:t>Marine Biotechnology</w:t>
      </w:r>
      <w:r>
        <w:t>, 11, 287-300</w:t>
      </w:r>
    </w:p>
    <w:p w14:paraId="7695EA46" w14:textId="77777777" w:rsidR="00FF5CD0" w:rsidRPr="00FF5CD0" w:rsidRDefault="00FF5CD0" w:rsidP="00FF5CD0"/>
    <w:p w14:paraId="4C27666D" w14:textId="77777777" w:rsidR="00D1716A" w:rsidRDefault="00D1716A" w:rsidP="00D1716A">
      <w:pPr>
        <w:sectPr w:rsidR="00D1716A" w:rsidSect="009036A6">
          <w:pgSz w:w="12240" w:h="15840"/>
          <w:pgMar w:top="1440" w:right="1440" w:bottom="1440" w:left="1440" w:header="720" w:footer="720" w:gutter="0"/>
          <w:pgNumType w:chapStyle="1"/>
          <w:cols w:space="720"/>
          <w:docGrid w:linePitch="360"/>
        </w:sectPr>
      </w:pPr>
    </w:p>
    <w:p w14:paraId="3361DB50" w14:textId="7792CC25" w:rsidR="00D1716A" w:rsidRDefault="00D1716A" w:rsidP="00691E23">
      <w:pPr>
        <w:pStyle w:val="Heading1"/>
      </w:pPr>
      <w:bookmarkStart w:id="113" w:name="_Parasites"/>
      <w:bookmarkStart w:id="114" w:name="_Toc208503201"/>
      <w:bookmarkStart w:id="115" w:name="_Toc210042855"/>
      <w:bookmarkEnd w:id="113"/>
      <w:r>
        <w:lastRenderedPageBreak/>
        <w:t>Parasites</w:t>
      </w:r>
      <w:bookmarkEnd w:id="114"/>
      <w:bookmarkEnd w:id="115"/>
    </w:p>
    <w:p w14:paraId="365A6F7C" w14:textId="77777777" w:rsidR="00D1716A" w:rsidRDefault="00D1716A" w:rsidP="00846B8F">
      <w:pPr>
        <w:pStyle w:val="Heading2"/>
        <w:numPr>
          <w:ilvl w:val="1"/>
          <w:numId w:val="138"/>
        </w:numPr>
      </w:pPr>
      <w:bookmarkStart w:id="116" w:name="_Toc208503202"/>
      <w:r>
        <w:t>General Background: Understanding the Potential Hazard</w:t>
      </w:r>
      <w:bookmarkEnd w:id="116"/>
    </w:p>
    <w:p w14:paraId="27CF9D36" w14:textId="3C1B0405" w:rsidR="00D1716A" w:rsidRDefault="00D1716A" w:rsidP="00CB6D27">
      <w:pPr>
        <w:spacing w:before="240"/>
      </w:pPr>
      <w:r w:rsidRPr="00D1716A">
        <w:t xml:space="preserve">Parasites are organisms that live on or inside a host, relying on </w:t>
      </w:r>
      <w:r w:rsidR="006750D8" w:rsidRPr="00D1716A">
        <w:t>them</w:t>
      </w:r>
      <w:r w:rsidRPr="00D1716A">
        <w:t xml:space="preserve"> for survival. Some parasites can infect humans when ingested, so their presence in food can pose a health risk. This chapter will review common human parasites found in the marine environment and summarizes current knowledge about their presence in seaweed species. However, since there have been no reported cases of parasitic infections from consuming seaweed, this chapter does not include detailed guidance on parasite control for seaweed.</w:t>
      </w:r>
    </w:p>
    <w:p w14:paraId="16D6C50D" w14:textId="77777777" w:rsidR="00D1716A" w:rsidRDefault="00D1716A" w:rsidP="00846B8F">
      <w:pPr>
        <w:pStyle w:val="Heading2"/>
        <w:numPr>
          <w:ilvl w:val="1"/>
          <w:numId w:val="139"/>
        </w:numPr>
      </w:pPr>
      <w:bookmarkStart w:id="117" w:name="_Toc208503203"/>
      <w:r>
        <w:t>Protist Parasites</w:t>
      </w:r>
      <w:bookmarkEnd w:id="117"/>
    </w:p>
    <w:p w14:paraId="485253D2" w14:textId="557E012D" w:rsidR="00D1716A" w:rsidRDefault="00D1716A" w:rsidP="00CB6D27">
      <w:pPr>
        <w:spacing w:before="240"/>
      </w:pPr>
      <w:r>
        <w:t xml:space="preserve">Protists are unicellular organisms, such as microalgae and protozoan parasites, capable of causing disease in humans. Some protists, like certain microalgae, produce toxins that enter the surrounding water and can bioaccumulate (build up) in fish and/or shellfish. More detailed information about these natural toxins produced by microalgae protists and how they affect seaweed safety is covered in </w:t>
      </w:r>
      <w:hyperlink w:anchor="_Natural_Toxins" w:history="1">
        <w:r w:rsidRPr="002033A6">
          <w:rPr>
            <w:rStyle w:val="Hyperlink"/>
          </w:rPr>
          <w:t>Chapter 9</w:t>
        </w:r>
      </w:hyperlink>
      <w:r>
        <w:t xml:space="preserve"> of this guide. Disease causing protozoans enter the body when people accidentally swallow their cysts, which may be present in food or water contaminated with feces. However, processing steps, such as cooking, usually kill these cysts, making the food safe. Some protozoan parasites linked to illnesses from eating fish and shellfish include </w:t>
      </w:r>
      <w:r w:rsidRPr="00D1716A">
        <w:rPr>
          <w:i/>
          <w:iCs/>
        </w:rPr>
        <w:t>Toxoplasma gondii</w:t>
      </w:r>
      <w:r>
        <w:t xml:space="preserve">, </w:t>
      </w:r>
      <w:r w:rsidRPr="00D1716A">
        <w:rPr>
          <w:i/>
          <w:iCs/>
        </w:rPr>
        <w:t>Giardia</w:t>
      </w:r>
      <w:r>
        <w:t xml:space="preserve"> species, </w:t>
      </w:r>
      <w:r w:rsidRPr="00D1716A">
        <w:rPr>
          <w:i/>
          <w:iCs/>
        </w:rPr>
        <w:t>Cryptosporidium</w:t>
      </w:r>
      <w:r>
        <w:t xml:space="preserve"> species, and </w:t>
      </w:r>
      <w:r w:rsidRPr="00D1716A">
        <w:rPr>
          <w:i/>
          <w:iCs/>
        </w:rPr>
        <w:t>Acanthamoeba</w:t>
      </w:r>
      <w:r>
        <w:t xml:space="preserve"> species (Shamsi, 2019). Because </w:t>
      </w:r>
      <w:r w:rsidRPr="00D1716A">
        <w:rPr>
          <w:i/>
          <w:iCs/>
        </w:rPr>
        <w:t>Toxoplasma gondii</w:t>
      </w:r>
      <w:r>
        <w:t xml:space="preserve"> and </w:t>
      </w:r>
      <w:r w:rsidRPr="00D1716A">
        <w:rPr>
          <w:i/>
          <w:iCs/>
        </w:rPr>
        <w:t>Giardia</w:t>
      </w:r>
      <w:r>
        <w:t xml:space="preserve"> are found more often and could pose a higher risk to seaweed consumers, they are explained further below.</w:t>
      </w:r>
    </w:p>
    <w:p w14:paraId="19667FCD" w14:textId="77777777" w:rsidR="00D1716A" w:rsidRDefault="00D1716A" w:rsidP="00846B8F">
      <w:pPr>
        <w:pStyle w:val="Heading2"/>
        <w:numPr>
          <w:ilvl w:val="1"/>
          <w:numId w:val="139"/>
        </w:numPr>
      </w:pPr>
      <w:bookmarkStart w:id="118" w:name="_Toc208503204"/>
      <w:r>
        <w:t>Toxoplasmosis</w:t>
      </w:r>
      <w:bookmarkEnd w:id="118"/>
    </w:p>
    <w:p w14:paraId="0C418D27" w14:textId="77777777" w:rsidR="00D1716A" w:rsidRDefault="00D1716A" w:rsidP="00CB6D27">
      <w:pPr>
        <w:spacing w:before="240"/>
      </w:pPr>
      <w:r>
        <w:t xml:space="preserve">Toxoplasmosis is primarily contracted by ingesting the dormant cyst form of the Toxoplasma gondii parasite through water contaminated with fecal matter. In healthy individuals, the illness usually causes mild symptoms. However, if a person is exposed for the first time during pregnancy, it can lead to miscarriage or birth defects. It can also cause serious brain infections (encephalitis) in people with weakened immune systems. More information can be found on the Center for Disease Control’s website. </w:t>
      </w:r>
    </w:p>
    <w:p w14:paraId="49D0D50D" w14:textId="68D50DF8" w:rsidR="00D1716A" w:rsidRDefault="00D1716A" w:rsidP="00D1716A">
      <w:r>
        <w:t xml:space="preserve">Marine mammals, such as dolphins, seals, and sea otters, can also become infected with </w:t>
      </w:r>
      <w:r w:rsidRPr="00D1716A">
        <w:rPr>
          <w:i/>
          <w:iCs/>
        </w:rPr>
        <w:t>Toxoplasma gondii</w:t>
      </w:r>
      <w:r>
        <w:t xml:space="preserve"> (Dubey et al., 2020). The cysts of </w:t>
      </w:r>
      <w:r w:rsidRPr="00D1716A">
        <w:rPr>
          <w:i/>
          <w:iCs/>
        </w:rPr>
        <w:t>Toxoplasma gondii</w:t>
      </w:r>
      <w:r>
        <w:t xml:space="preserve"> are commonly found in coastal marine environments and can remain infectious in seawater for several months (Lindsay &amp; Dubey, 2009). These cysts can accumulate in shellfish such as oysters, mussels, and clams (Cong et al., 2021). Lab experiments have shown that </w:t>
      </w:r>
      <w:r w:rsidRPr="00D1716A">
        <w:rPr>
          <w:i/>
          <w:iCs/>
        </w:rPr>
        <w:t>Toxoplasma gondii</w:t>
      </w:r>
      <w:r>
        <w:t xml:space="preserve"> cysts can adhere to the </w:t>
      </w:r>
      <w:r>
        <w:lastRenderedPageBreak/>
        <w:t xml:space="preserve">surface of kelp (Shapiro et al., 2014). Although </w:t>
      </w:r>
      <w:r w:rsidRPr="00D1716A">
        <w:rPr>
          <w:i/>
          <w:iCs/>
        </w:rPr>
        <w:t>Toxoplasma gondii</w:t>
      </w:r>
      <w:r>
        <w:t xml:space="preserve"> has not been detected in wild seaweed, and no cases of toxoplasmosis have been linked to eating seaweed, the presence of this parasite in marine mammals and the potential for seaweed to carry </w:t>
      </w:r>
      <w:r w:rsidRPr="00D1716A">
        <w:rPr>
          <w:i/>
          <w:iCs/>
        </w:rPr>
        <w:t>Toxoplasma gondii</w:t>
      </w:r>
      <w:r>
        <w:t xml:space="preserve"> cysts means it should be considered a potential hazard when assessing risk associated with growing or harvesting waters.</w:t>
      </w:r>
    </w:p>
    <w:p w14:paraId="6B8A434A" w14:textId="77777777" w:rsidR="00D1716A" w:rsidRPr="00D1716A" w:rsidRDefault="00D1716A" w:rsidP="00846B8F">
      <w:pPr>
        <w:pStyle w:val="Heading3"/>
        <w:numPr>
          <w:ilvl w:val="2"/>
          <w:numId w:val="139"/>
        </w:numPr>
      </w:pPr>
      <w:bookmarkStart w:id="119" w:name="_Toc208503205"/>
      <w:r w:rsidRPr="00D1716A">
        <w:t>Giardiasis</w:t>
      </w:r>
      <w:bookmarkEnd w:id="119"/>
    </w:p>
    <w:p w14:paraId="3244597B" w14:textId="5085D3DC" w:rsidR="00D1716A" w:rsidRDefault="00D1716A" w:rsidP="00CB6D27">
      <w:pPr>
        <w:spacing w:before="240"/>
      </w:pPr>
      <w:r>
        <w:t xml:space="preserve">Giardiasis is an infection caused by various species of the </w:t>
      </w:r>
      <w:r w:rsidRPr="00D1716A">
        <w:rPr>
          <w:i/>
          <w:iCs/>
        </w:rPr>
        <w:t>Giardia</w:t>
      </w:r>
      <w:r>
        <w:t xml:space="preserve"> parasite (including </w:t>
      </w:r>
      <w:r w:rsidRPr="00D1716A">
        <w:rPr>
          <w:i/>
          <w:iCs/>
        </w:rPr>
        <w:t>Giardia lamblia,</w:t>
      </w:r>
      <w:r>
        <w:t xml:space="preserve"> </w:t>
      </w:r>
      <w:r w:rsidRPr="00D1716A">
        <w:rPr>
          <w:i/>
          <w:iCs/>
        </w:rPr>
        <w:t>Giardia duodenalis</w:t>
      </w:r>
      <w:r>
        <w:t xml:space="preserve">, and </w:t>
      </w:r>
      <w:r w:rsidRPr="00D1716A">
        <w:rPr>
          <w:i/>
          <w:iCs/>
        </w:rPr>
        <w:t>Giardia intestinalis</w:t>
      </w:r>
      <w:r>
        <w:t>) and is the most common cause of intestinal parasite infections in humans worldwide. Symptoms may include nausea, chills, fever, abdominal pain, and foul-smelling diarrhea that can contain mucus and blood.</w:t>
      </w:r>
    </w:p>
    <w:p w14:paraId="0329973C" w14:textId="77777777" w:rsidR="00D1716A" w:rsidRDefault="00D1716A" w:rsidP="00D1716A">
      <w:r>
        <w:t xml:space="preserve">Giardiasis is mainly contracted by ingesting the dormant cyst form of </w:t>
      </w:r>
      <w:r w:rsidRPr="00DE14A9">
        <w:rPr>
          <w:i/>
          <w:iCs/>
        </w:rPr>
        <w:t>Giardia</w:t>
      </w:r>
      <w:r>
        <w:t xml:space="preserve"> through freshwater contaminated with fecal matter. However, </w:t>
      </w:r>
      <w:r w:rsidRPr="00D1716A">
        <w:rPr>
          <w:i/>
          <w:iCs/>
        </w:rPr>
        <w:t>Giardia duodenalis</w:t>
      </w:r>
      <w:r>
        <w:t xml:space="preserve"> has also been found in dolphins, sharks, farmed fish, and wild fish, which can introduce </w:t>
      </w:r>
      <w:r w:rsidRPr="00DE14A9">
        <w:rPr>
          <w:i/>
          <w:iCs/>
        </w:rPr>
        <w:t>Giardia</w:t>
      </w:r>
      <w:r>
        <w:t xml:space="preserve"> cysts into marine environments where seaweed grows (Yang et al., 2010). One documented case linked </w:t>
      </w:r>
      <w:r w:rsidRPr="00D1716A">
        <w:rPr>
          <w:i/>
          <w:iCs/>
        </w:rPr>
        <w:t>Giardia lamblia</w:t>
      </w:r>
      <w:r>
        <w:t xml:space="preserve"> transmission to canned salmon (Osterholm et al., 1981).</w:t>
      </w:r>
    </w:p>
    <w:p w14:paraId="6D9B7A36" w14:textId="77777777" w:rsidR="00D1716A" w:rsidRDefault="00D1716A" w:rsidP="00D1716A">
      <w:r>
        <w:t xml:space="preserve">To date, </w:t>
      </w:r>
      <w:r w:rsidRPr="00DE14A9">
        <w:rPr>
          <w:i/>
          <w:iCs/>
        </w:rPr>
        <w:t>Giardia</w:t>
      </w:r>
      <w:r>
        <w:t xml:space="preserve"> species have not been detected in wild seaweed, and there are no reports of giardiasis resulting from seaweed consumption. Nonetheless, similar to toxoplasmosis, the presence of giardiasis in marine mammals indicates that </w:t>
      </w:r>
      <w:r w:rsidRPr="00DE14A9">
        <w:rPr>
          <w:i/>
          <w:iCs/>
        </w:rPr>
        <w:t>Giardia</w:t>
      </w:r>
      <w:r>
        <w:t xml:space="preserve"> should be considered a potential hazard when assessing risk associated with growing or harvesting waters.</w:t>
      </w:r>
    </w:p>
    <w:p w14:paraId="00AC6A47" w14:textId="77777777" w:rsidR="00D1716A" w:rsidRDefault="00D1716A" w:rsidP="00846B8F">
      <w:pPr>
        <w:pStyle w:val="Heading2"/>
        <w:numPr>
          <w:ilvl w:val="1"/>
          <w:numId w:val="139"/>
        </w:numPr>
      </w:pPr>
      <w:bookmarkStart w:id="120" w:name="_Toc208503206"/>
      <w:r>
        <w:t>Helminth Parasites</w:t>
      </w:r>
      <w:bookmarkEnd w:id="120"/>
    </w:p>
    <w:p w14:paraId="7175C52F" w14:textId="2F979EB6" w:rsidR="00D1716A" w:rsidRDefault="00D1716A" w:rsidP="00CB6D27">
      <w:pPr>
        <w:spacing w:before="240"/>
      </w:pPr>
      <w:r>
        <w:t xml:space="preserve">Helminth parasites, commonly known as worms, fall into three main groups: nematodes (or roundworms), trematodes (or flukes), and cestodes (or flatworms). There are no helminth parasites that infect seaweeds </w:t>
      </w:r>
      <w:r w:rsidR="00DE14A9">
        <w:t xml:space="preserve">and </w:t>
      </w:r>
      <w:r>
        <w:t xml:space="preserve">also infect humans. However, several helminth parasites are associated with the consumption of raw fish and shellfish. Seafood-related roundworms include (but are not limited to) the following species </w:t>
      </w:r>
      <w:r w:rsidRPr="00DE14A9">
        <w:rPr>
          <w:i/>
          <w:iCs/>
        </w:rPr>
        <w:t>Anisakis simplex</w:t>
      </w:r>
      <w:r>
        <w:t xml:space="preserve"> and </w:t>
      </w:r>
      <w:r w:rsidRPr="00DE14A9">
        <w:rPr>
          <w:i/>
          <w:iCs/>
        </w:rPr>
        <w:t>Pseudoterranova decipiens</w:t>
      </w:r>
      <w:r>
        <w:t xml:space="preserve">, both of which can cause the disease anisakiasis), as well as </w:t>
      </w:r>
      <w:r w:rsidRPr="00DE14A9">
        <w:rPr>
          <w:i/>
          <w:iCs/>
        </w:rPr>
        <w:t>Eustrongylides</w:t>
      </w:r>
      <w:r>
        <w:t xml:space="preserve"> sp</w:t>
      </w:r>
      <w:r w:rsidR="00DE14A9">
        <w:t>ecies</w:t>
      </w:r>
      <w:r>
        <w:t xml:space="preserve"> and </w:t>
      </w:r>
      <w:r w:rsidRPr="00DE14A9">
        <w:rPr>
          <w:i/>
          <w:iCs/>
        </w:rPr>
        <w:t>Gnathosoma</w:t>
      </w:r>
      <w:r>
        <w:t xml:space="preserve"> species (Sakanari et al., 1995; Shamsi 2019). Tapeworms linked to seafood include </w:t>
      </w:r>
      <w:r w:rsidRPr="00DE14A9">
        <w:rPr>
          <w:i/>
          <w:iCs/>
        </w:rPr>
        <w:t>Diphyllobothrium</w:t>
      </w:r>
      <w:r>
        <w:t xml:space="preserve"> species (Sakanari et al., 1995; Shamsi 2019). Finally, seafood-associated flukes include </w:t>
      </w:r>
      <w:r w:rsidRPr="00DE14A9">
        <w:rPr>
          <w:i/>
          <w:iCs/>
        </w:rPr>
        <w:t>Clonorchis sinensis</w:t>
      </w:r>
      <w:r>
        <w:t xml:space="preserve">, </w:t>
      </w:r>
      <w:r w:rsidRPr="00DE14A9">
        <w:rPr>
          <w:i/>
          <w:iCs/>
        </w:rPr>
        <w:t>Opisthorchis</w:t>
      </w:r>
      <w:r>
        <w:t xml:space="preserve"> species, </w:t>
      </w:r>
      <w:r w:rsidRPr="00DE14A9">
        <w:rPr>
          <w:i/>
          <w:iCs/>
        </w:rPr>
        <w:t>Heterophyes</w:t>
      </w:r>
      <w:r>
        <w:t xml:space="preserve"> species, </w:t>
      </w:r>
      <w:r w:rsidRPr="00DE14A9">
        <w:rPr>
          <w:i/>
          <w:iCs/>
        </w:rPr>
        <w:t>Metagonimus</w:t>
      </w:r>
      <w:r>
        <w:t xml:space="preserve"> species, </w:t>
      </w:r>
      <w:r w:rsidRPr="00DE14A9">
        <w:rPr>
          <w:i/>
          <w:iCs/>
        </w:rPr>
        <w:t>Nanophyet</w:t>
      </w:r>
      <w:r w:rsidR="006D17D6">
        <w:rPr>
          <w:i/>
          <w:iCs/>
        </w:rPr>
        <w:t>u</w:t>
      </w:r>
      <w:r w:rsidRPr="00DE14A9">
        <w:rPr>
          <w:i/>
          <w:iCs/>
        </w:rPr>
        <w:t>s salmonicola</w:t>
      </w:r>
      <w:r>
        <w:t xml:space="preserve">, </w:t>
      </w:r>
      <w:r w:rsidRPr="00DE14A9">
        <w:rPr>
          <w:i/>
          <w:iCs/>
        </w:rPr>
        <w:t>Paragonimus</w:t>
      </w:r>
      <w:r>
        <w:t xml:space="preserve"> species, and </w:t>
      </w:r>
      <w:r w:rsidRPr="00DE14A9">
        <w:rPr>
          <w:i/>
          <w:iCs/>
        </w:rPr>
        <w:t>Phagicola</w:t>
      </w:r>
      <w:r>
        <w:t xml:space="preserve"> species (Sakanari et al., 1995; Shamsi 2019).</w:t>
      </w:r>
    </w:p>
    <w:p w14:paraId="4E1AA066" w14:textId="77777777" w:rsidR="00D1716A" w:rsidRDefault="00D1716A" w:rsidP="00D1716A">
      <w:r>
        <w:t xml:space="preserve">These helminth parasites live in the tissues of fish and shellfish, and processing steps, such as cooking, effectively kill their eggs and larvae in seafood products. No cases of these parasites have been documented in relation to seaweed consumption. However, since eggs or larvae of </w:t>
      </w:r>
      <w:r>
        <w:lastRenderedPageBreak/>
        <w:t>these parasites can be temporarily free-living in the water column, these parasites may pose a potential biological hazard for the consumption of raw or unprocessed seaweed if present at high levels in the growing or harvest waters.</w:t>
      </w:r>
    </w:p>
    <w:p w14:paraId="6E8845E3" w14:textId="77777777" w:rsidR="00D1716A" w:rsidRDefault="00D1716A" w:rsidP="00846B8F">
      <w:pPr>
        <w:pStyle w:val="Heading2"/>
        <w:numPr>
          <w:ilvl w:val="1"/>
          <w:numId w:val="139"/>
        </w:numPr>
      </w:pPr>
      <w:bookmarkStart w:id="121" w:name="_Toc208503207"/>
      <w:r>
        <w:t>Controlling Parasites</w:t>
      </w:r>
      <w:bookmarkEnd w:id="121"/>
    </w:p>
    <w:p w14:paraId="7CEE17B0" w14:textId="77777777" w:rsidR="00D1716A" w:rsidRDefault="00D1716A" w:rsidP="00CB6D27">
      <w:pPr>
        <w:spacing w:before="240"/>
      </w:pPr>
      <w:r>
        <w:t xml:space="preserve">When growing and harvesting seaweed from new areas, it is important to learn about the waterbody and nearby environment to assess if parasites need to be monitored or tested for. However, this may be difficult. For example, there is currently no USDA or FDA approved method for testing for </w:t>
      </w:r>
      <w:r w:rsidRPr="00DE14A9">
        <w:rPr>
          <w:i/>
          <w:iCs/>
        </w:rPr>
        <w:t>Toxoplasma gondii</w:t>
      </w:r>
      <w:r>
        <w:t xml:space="preserve"> in water or food samples. Therefore, when selecting a cultivation or harvest site, consider whether there are large populations of marine mammals nearby and check if any marine mammal strandings in the area have been linked to parasite infections. If growing seaweed under floating structures, monitor for the presence of birds or marine mammals that may be attracted to those structures. In addition, regularly monitoring consumer complaints and documented cases of parasitic infection linked to your products or other products sourced from your growing or harvest waters can be a good indicator of this hazard. </w:t>
      </w:r>
    </w:p>
    <w:p w14:paraId="771130CA" w14:textId="6729D9FF" w:rsidR="000776DB" w:rsidRDefault="00D1716A" w:rsidP="00D1716A">
      <w:pPr>
        <w:sectPr w:rsidR="000776DB" w:rsidSect="00DE14A9">
          <w:pgSz w:w="12240" w:h="15840"/>
          <w:pgMar w:top="1440" w:right="1440" w:bottom="1440" w:left="1440" w:header="720" w:footer="720" w:gutter="0"/>
          <w:pgNumType w:start="1" w:chapStyle="1"/>
          <w:cols w:space="720"/>
          <w:docGrid w:linePitch="360"/>
        </w:sectPr>
      </w:pPr>
      <w:r>
        <w:t>If you know or reasonably suspect that parasites may be present in the water where seaweed is grown or harvested, appropriate controls should be implemented to reduce the risk of parasitic infection. Parasites can be controlled through processes such as heat treatment and freezing. For more information on controlling parasites see Chapter 5 of the</w:t>
      </w:r>
      <w:r w:rsidR="0096771E">
        <w:t xml:space="preserve"> FDA</w:t>
      </w:r>
      <w:r w:rsidR="00D31328">
        <w:t>’s</w:t>
      </w:r>
      <w:r>
        <w:t xml:space="preserve"> </w:t>
      </w:r>
      <w:r w:rsidRPr="00DE14A9">
        <w:rPr>
          <w:i/>
          <w:iCs/>
        </w:rPr>
        <w:t>Fish and Fishery Products Hazards and Controls Guide</w:t>
      </w:r>
      <w:r>
        <w:t xml:space="preserve"> (USFDA, 2022).</w:t>
      </w:r>
    </w:p>
    <w:p w14:paraId="52B685B1" w14:textId="0865C029" w:rsidR="006C5221" w:rsidRDefault="006C5221" w:rsidP="000776DB">
      <w:pPr>
        <w:pStyle w:val="Heading2"/>
      </w:pPr>
      <w:bookmarkStart w:id="122" w:name="_Toc208503208"/>
      <w:r>
        <w:lastRenderedPageBreak/>
        <w:t>References</w:t>
      </w:r>
      <w:bookmarkEnd w:id="122"/>
    </w:p>
    <w:p w14:paraId="5CDE3347" w14:textId="77777777" w:rsidR="000B5E2E" w:rsidRPr="000B5E2E" w:rsidRDefault="000B5E2E" w:rsidP="000B5E2E">
      <w:r w:rsidRPr="000B5E2E">
        <w:t>Cong, W., Li, M. Y., Zou, Y., Ma, J. Y., Wang, B., Jiang, Z. Y., &amp; Elsheikha, H. M. (2021). Prevalence, genotypes and risk factors for Toxoplasma gondii contamination in marine bivalve shellfish in offshore waters in eastern China. Ecotoxicology and Environmental Safety, 213, 112048.</w:t>
      </w:r>
    </w:p>
    <w:p w14:paraId="53621112" w14:textId="77777777" w:rsidR="000B5E2E" w:rsidRPr="000B5E2E" w:rsidRDefault="000B5E2E" w:rsidP="000B5E2E">
      <w:r w:rsidRPr="000B5E2E">
        <w:t xml:space="preserve">Dubey, J. P., Murata, F. H., Cerqueira-Cézar, C. K., Kwok, O. C., &amp; Grigg, M. E. (2020). Recent epidemiologic and clinical importance of Toxoplasma gondii infections in marine mammals: 2009–2020. </w:t>
      </w:r>
      <w:r w:rsidRPr="000B5E2E">
        <w:rPr>
          <w:i/>
          <w:iCs/>
        </w:rPr>
        <w:t>Veterinary parasitology</w:t>
      </w:r>
      <w:r w:rsidRPr="000B5E2E">
        <w:t xml:space="preserve">, </w:t>
      </w:r>
      <w:r w:rsidRPr="000B5E2E">
        <w:rPr>
          <w:i/>
          <w:iCs/>
        </w:rPr>
        <w:t>288</w:t>
      </w:r>
      <w:r w:rsidRPr="000B5E2E">
        <w:t>, 109296.</w:t>
      </w:r>
    </w:p>
    <w:p w14:paraId="7435B70D" w14:textId="77777777" w:rsidR="000B5E2E" w:rsidRPr="000B5E2E" w:rsidRDefault="000B5E2E" w:rsidP="000B5E2E">
      <w:r w:rsidRPr="000B5E2E">
        <w:t xml:space="preserve">Lindsay, D. S., &amp; Dubey, J. (2009). Long-term survival of Toxoplasma gondii sporulated oocysts in seawater. </w:t>
      </w:r>
      <w:r w:rsidRPr="000B5E2E">
        <w:rPr>
          <w:i/>
          <w:iCs/>
        </w:rPr>
        <w:t>Journal of Parasitology</w:t>
      </w:r>
      <w:r w:rsidRPr="000B5E2E">
        <w:t xml:space="preserve">, </w:t>
      </w:r>
      <w:r w:rsidRPr="000B5E2E">
        <w:rPr>
          <w:i/>
          <w:iCs/>
        </w:rPr>
        <w:t>95</w:t>
      </w:r>
      <w:r w:rsidRPr="000B5E2E">
        <w:t>(4), 1019-1020.</w:t>
      </w:r>
    </w:p>
    <w:p w14:paraId="4BBC73EB" w14:textId="77777777" w:rsidR="000B5E2E" w:rsidRPr="000B5E2E" w:rsidRDefault="000B5E2E" w:rsidP="000B5E2E">
      <w:r w:rsidRPr="000B5E2E">
        <w:t>Osterholm MT, Forfang JC, Ristinen TL, et al. An outbreak of foodborne giardiasis. N Engl J Med 1981; 304: 24–28.</w:t>
      </w:r>
    </w:p>
    <w:p w14:paraId="17B7E480" w14:textId="77777777" w:rsidR="000B5E2E" w:rsidRPr="000B5E2E" w:rsidRDefault="000B5E2E" w:rsidP="000B5E2E">
      <w:r w:rsidRPr="000B5E2E">
        <w:t xml:space="preserve">Sakanari, J. A., Moser, M., &amp; Deardorff, T. L. (1995). Fish parasites and human health. </w:t>
      </w:r>
      <w:r w:rsidRPr="000B5E2E">
        <w:rPr>
          <w:i/>
          <w:iCs/>
        </w:rPr>
        <w:t>no. T-CSGCP-034, Report by California Sea Grant College, 27</w:t>
      </w:r>
      <w:r w:rsidRPr="000B5E2E">
        <w:t>.</w:t>
      </w:r>
    </w:p>
    <w:p w14:paraId="04C5CC15" w14:textId="77777777" w:rsidR="000B5E2E" w:rsidRPr="000B5E2E" w:rsidRDefault="000B5E2E" w:rsidP="000B5E2E">
      <w:r w:rsidRPr="000B5E2E">
        <w:t xml:space="preserve">Shamsi, S. (2019). Seafood-borne parasitic diseases: A “one-health” approach is needed. </w:t>
      </w:r>
      <w:r w:rsidRPr="000B5E2E">
        <w:rPr>
          <w:i/>
          <w:iCs/>
        </w:rPr>
        <w:t>Fishes</w:t>
      </w:r>
      <w:r w:rsidRPr="000B5E2E">
        <w:t xml:space="preserve">, </w:t>
      </w:r>
      <w:r w:rsidRPr="000B5E2E">
        <w:rPr>
          <w:i/>
          <w:iCs/>
        </w:rPr>
        <w:t>4</w:t>
      </w:r>
      <w:r w:rsidRPr="000B5E2E">
        <w:t>(1), 9.</w:t>
      </w:r>
    </w:p>
    <w:p w14:paraId="33330358" w14:textId="77777777" w:rsidR="000B5E2E" w:rsidRPr="000B5E2E" w:rsidRDefault="000B5E2E" w:rsidP="000B5E2E">
      <w:r w:rsidRPr="000B5E2E">
        <w:t xml:space="preserve">Shapiro, K., Krusor, C., Mazzillo, F. F., Conrad, P. A., Largier, J. L., Mazet, J. A., &amp; Silver, M. W. (2014). Aquatic polymers can drive pathogen transmission in coastal ecosystems. </w:t>
      </w:r>
      <w:r w:rsidRPr="000B5E2E">
        <w:rPr>
          <w:i/>
          <w:iCs/>
        </w:rPr>
        <w:t>Proceedings of the Royal Society B: Biological Sciences</w:t>
      </w:r>
      <w:r w:rsidRPr="000B5E2E">
        <w:t xml:space="preserve">, </w:t>
      </w:r>
      <w:r w:rsidRPr="000B5E2E">
        <w:rPr>
          <w:i/>
          <w:iCs/>
        </w:rPr>
        <w:t>281</w:t>
      </w:r>
      <w:r w:rsidRPr="000B5E2E">
        <w:t>(1795), 20141287.</w:t>
      </w:r>
    </w:p>
    <w:p w14:paraId="471405E9" w14:textId="77777777" w:rsidR="000B5E2E" w:rsidRPr="000B5E2E" w:rsidRDefault="000B5E2E" w:rsidP="000B5E2E">
      <w:r w:rsidRPr="000B5E2E">
        <w:t>USFDA. (2022). Chapter 5: Parasites. In Fish and Fishery Products Hazards and Controls Guidance (pp. 91–98). United States Food and Drug Administration.</w:t>
      </w:r>
    </w:p>
    <w:p w14:paraId="5657DF01" w14:textId="70B87C11" w:rsidR="006C5221" w:rsidRDefault="000B5E2E" w:rsidP="006C5221">
      <w:r w:rsidRPr="000B5E2E">
        <w:t>Yang, R.C.; Reid, A.; Lymbery, A.; Ryan, U. Identification of zoonotic Giardia genotypes in fish. Int. J. Parasitol. 2010, 40, 779–785.</w:t>
      </w:r>
    </w:p>
    <w:p w14:paraId="78978D35" w14:textId="77777777" w:rsidR="000B5E2E" w:rsidRDefault="000B5E2E" w:rsidP="006C5221">
      <w:pPr>
        <w:sectPr w:rsidR="000B5E2E" w:rsidSect="000776DB">
          <w:pgSz w:w="12240" w:h="15840"/>
          <w:pgMar w:top="1440" w:right="1440" w:bottom="1440" w:left="1440" w:header="720" w:footer="720" w:gutter="0"/>
          <w:pgNumType w:chapStyle="1"/>
          <w:cols w:space="720"/>
          <w:docGrid w:linePitch="360"/>
        </w:sectPr>
      </w:pPr>
    </w:p>
    <w:p w14:paraId="6E4F7064" w14:textId="3A289C55" w:rsidR="006C5221" w:rsidRDefault="006C5221" w:rsidP="00691E23">
      <w:pPr>
        <w:pStyle w:val="Heading1"/>
      </w:pPr>
      <w:bookmarkStart w:id="123" w:name="_Toc208503209"/>
      <w:bookmarkStart w:id="124" w:name="_Toc210042856"/>
      <w:r>
        <w:lastRenderedPageBreak/>
        <w:t>Environmental Chemical Hazards</w:t>
      </w:r>
      <w:bookmarkEnd w:id="123"/>
      <w:bookmarkEnd w:id="124"/>
    </w:p>
    <w:p w14:paraId="496A3725" w14:textId="0AFD478D" w:rsidR="006C5221" w:rsidRDefault="006C5221" w:rsidP="00441BE0">
      <w:pPr>
        <w:pStyle w:val="Heading2"/>
      </w:pPr>
      <w:bookmarkStart w:id="125" w:name="_Toc208503210"/>
      <w:r>
        <w:t>General Background: Understanding the Potential Hazard</w:t>
      </w:r>
      <w:bookmarkEnd w:id="125"/>
    </w:p>
    <w:p w14:paraId="726E9DE2" w14:textId="54A75713" w:rsidR="006C5221" w:rsidRDefault="006C5221" w:rsidP="00CB6D27">
      <w:pPr>
        <w:spacing w:before="240"/>
      </w:pPr>
      <w:r>
        <w:t>Seaweeds, like other foods, can absorb and store contaminants from the waters where they grow (Mohammed &amp; Khaled, 2005). They can bioaccumulate environmental chemicals such as heavy metals to hazardous concentrations, potentially posing a food safety risk. The overall food safety risk associated with seaweed is influenced by both consumption patterns and the wide variability in contaminant levels, which depend on the seaweed species and the environmental conditions in which the seaweed is grown.</w:t>
      </w:r>
    </w:p>
    <w:p w14:paraId="15C689F5" w14:textId="1F87192B" w:rsidR="006C5221" w:rsidRDefault="006C5221" w:rsidP="006C5221">
      <w:r>
        <w:t>The extent of bioaccumulation of environmental chemical hazards varies. Factors that can influence contaminant concentrations include the type of seaweed (e.g., brown, red, or green), environmental conditions (e.g., salinity, sunlight, water current, temperature, and pH), seasonal variation, and the depth at which the seaweed grows (Sharma et al., 2018). Studies have also found that contaminant concentrations, such as heavy metals, can vary significantly depending on which part of the seaweed is analyzed (Burger et al., 2006; Shaughnessy et al., 2023). Figure 7</w:t>
      </w:r>
      <w:r w:rsidRPr="006C5221">
        <w:t>–</w:t>
      </w:r>
      <w:r>
        <w:t>1 shows the anatomy of different seaweed species and can be used as a reference to understand where heavy metals may build up.</w:t>
      </w:r>
    </w:p>
    <w:p w14:paraId="655A590E" w14:textId="77777777" w:rsidR="006C5221" w:rsidRDefault="006C5221" w:rsidP="00CB6D27">
      <w:pPr>
        <w:keepNext/>
        <w:jc w:val="center"/>
      </w:pPr>
      <w:r>
        <w:rPr>
          <w:noProof/>
        </w:rPr>
        <w:drawing>
          <wp:inline distT="0" distB="0" distL="0" distR="0" wp14:anchorId="5FF54AC2" wp14:editId="259AA6AF">
            <wp:extent cx="4474028" cy="3158108"/>
            <wp:effectExtent l="0" t="0" r="0" b="4445"/>
            <wp:docPr id="1668290043" name="Picture 1" descr="Illustration titled 'Anatomy of Seaweed' showing three types of seaweed: giant kelp, sea lettuce, and red laver. The giant kelp has a holdfast at the bottom, a long stipe, fronds with blades, and gas bladders. Sea lettuce is bright green with a leafy blade structure and a small holdfast. Red laver is red and leafy with a holdfast. Labels point out key structures including blade, stipe, frond, gas bladder, and hold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90043" name="Picture 1" descr="Illustration titled 'Anatomy of Seaweed' showing three types of seaweed: giant kelp, sea lettuce, and red laver. The giant kelp has a holdfast at the bottom, a long stipe, fronds with blades, and gas bladders. Sea lettuce is bright green with a leafy blade structure and a small holdfast. Red laver is red and leafy with a holdfast. Labels point out key structures including blade, stipe, frond, gas bladder, and holdfas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98281" cy="3175228"/>
                    </a:xfrm>
                    <a:prstGeom prst="rect">
                      <a:avLst/>
                    </a:prstGeom>
                  </pic:spPr>
                </pic:pic>
              </a:graphicData>
            </a:graphic>
          </wp:inline>
        </w:drawing>
      </w:r>
    </w:p>
    <w:p w14:paraId="6EEAD8AA" w14:textId="6C851BF0" w:rsidR="006C5221" w:rsidRPr="00433C8E" w:rsidRDefault="006C5221" w:rsidP="00C54E07">
      <w:pPr>
        <w:pStyle w:val="Caption"/>
      </w:pPr>
      <w:r w:rsidRPr="00433C8E">
        <w:t xml:space="preserve">Figure </w:t>
      </w:r>
      <w:fldSimple w:instr=" STYLEREF 1 \s ">
        <w:r w:rsidR="00A042AD">
          <w:rPr>
            <w:noProof/>
          </w:rPr>
          <w:t>7</w:t>
        </w:r>
      </w:fldSimple>
      <w:r w:rsidR="00045395">
        <w:noBreakHyphen/>
      </w:r>
      <w:fldSimple w:instr=" SEQ Figure \* ARABIC \s 1 ">
        <w:r w:rsidR="00A042AD">
          <w:rPr>
            <w:noProof/>
          </w:rPr>
          <w:t>1</w:t>
        </w:r>
      </w:fldSimple>
      <w:r w:rsidRPr="00433C8E">
        <w:t xml:space="preserve"> Anatomy of Seaweed</w:t>
      </w:r>
    </w:p>
    <w:p w14:paraId="567D29B7" w14:textId="499B0DB8" w:rsidR="006C5221" w:rsidRDefault="006C5221" w:rsidP="006C5221">
      <w:r w:rsidRPr="006C5221">
        <w:t xml:space="preserve">Monitoring is especially important near urbanized estuaries, where industrial activity and urban runoff can elevate environmental contaminant levels. For example, metal concentrations in </w:t>
      </w:r>
      <w:r w:rsidRPr="006C5221">
        <w:lastRenderedPageBreak/>
        <w:t>seaweed grown near urban areas such as the Bronx River Estuary can approach regulatory limits for certain metals like lead, demonstrating the importance of site-specific hazard assessment (Kim et al., 2019). With nearly 40% of the U.S. population living in coastal zones (NOAA, 2014)—and the majority of marine pollution originating from land-based sources—seaweed processors must be especially cautious when sourcing from areas affected by urban or industrial discharge.</w:t>
      </w:r>
    </w:p>
    <w:p w14:paraId="73002A97" w14:textId="244D721D" w:rsidR="006C5221" w:rsidRDefault="006C5221" w:rsidP="006C5221">
      <w:r>
        <w:t xml:space="preserve">This chapter provides an overview of environmental chemical hazards relevant to edible seaweed production and processing, both domestic and imported. Although the U.S. seaweed industry is growing, imports dominate the market (Cai et al., 2021; </w:t>
      </w:r>
      <w:r w:rsidRPr="006C5221">
        <w:t>Kotowicz et al., 2024</w:t>
      </w:r>
      <w:r>
        <w:t>). It is essential for processors to ensure compliance with U.S. food safety regulations regardless of origin, as importers are required to ensure that products are processed in compliance with U.S. food safety regulations. For this reason, background information relevant to both domestic and international seaweed products will be provided in this chapter.</w:t>
      </w:r>
    </w:p>
    <w:p w14:paraId="686EEA53" w14:textId="504176AB" w:rsidR="006C5221" w:rsidRDefault="006C5221" w:rsidP="006C5221">
      <w:r>
        <w:t xml:space="preserve">This chapter is meant to serve as a general guideline for processors of both wild-harvested and farmed seaweed. The origin of the seaweed—whether farmed or wild—may influence the types and levels of environmental chemical hazards present. Therefore, processors must assess and manage these hazards based on the specific conditions under which their seaweed was harvested or cultivated. Additionally, current food safety standards do not fully account for the unique characteristics of seaweed consumption, such as product form, </w:t>
      </w:r>
      <w:hyperlink w:anchor="ServingSize" w:tooltip="The standard portion typically consumed in one sitting, defined by regulatory agencies or nutritional guidelines. Serving sizes can vary based on the type of food product (e.g., dried, fresh, or processed) and cultural or dietary norms. " w:history="1">
        <w:r w:rsidRPr="003E23E8">
          <w:rPr>
            <w:rStyle w:val="Hyperlink"/>
          </w:rPr>
          <w:t>serving size</w:t>
        </w:r>
      </w:hyperlink>
      <w:r>
        <w:t>, and how the body absorbs nutrients and contaminants (bioavailability). Because seaweed-specific regulatory thresholds are still limited, the</w:t>
      </w:r>
      <w:r w:rsidR="00C54E8C">
        <w:t xml:space="preserve"> most practical</w:t>
      </w:r>
      <w:r>
        <w:t xml:space="preserve"> approach for now is to rely on existing data and general food safety guidelines to inform preliminary recommendations. As the domestic seaweed industry expands and more research becomes available, these guidelines will be updated and refined to better reflect real-world consumption patterns and product use in the U.S.</w:t>
      </w:r>
    </w:p>
    <w:p w14:paraId="7111A6C6" w14:textId="615928F0" w:rsidR="006C5221" w:rsidRDefault="006C5221" w:rsidP="006C5221">
      <w:r>
        <w:t>This chapter also includes multiple tables (Tables 7</w:t>
      </w:r>
      <w:r w:rsidR="002D13BE">
        <w:t>-</w:t>
      </w:r>
      <w:r>
        <w:t>1 through 7</w:t>
      </w:r>
      <w:r w:rsidR="002D13BE">
        <w:t>-</w:t>
      </w:r>
      <w:r>
        <w:t>5) to support food safety decision-making for processors of wild-caught and farm-raised seaweeds. These tables summarize key information, including heavy metal hazard rankings, known toxicological effects, regulatory thresholds, global monitoring data, and hazard control strategies.</w:t>
      </w:r>
    </w:p>
    <w:p w14:paraId="376BDB51" w14:textId="6B676211" w:rsidR="006C5221" w:rsidRDefault="006C5221" w:rsidP="00846B8F">
      <w:pPr>
        <w:pStyle w:val="Heading2"/>
        <w:numPr>
          <w:ilvl w:val="1"/>
          <w:numId w:val="140"/>
        </w:numPr>
      </w:pPr>
      <w:bookmarkStart w:id="126" w:name="_Toc208503211"/>
      <w:r>
        <w:t>Heavy Metals and Health Risks</w:t>
      </w:r>
      <w:bookmarkEnd w:id="126"/>
    </w:p>
    <w:p w14:paraId="32CA9C74" w14:textId="77777777" w:rsidR="006C5221" w:rsidRDefault="006C5221" w:rsidP="00CB6D27">
      <w:pPr>
        <w:spacing w:before="240"/>
      </w:pPr>
      <w:r>
        <w:t>Heavy metals are naturally occurring elements of 5.0 g/cm</w:t>
      </w:r>
      <w:r w:rsidRPr="006C5221">
        <w:rPr>
          <w:vertAlign w:val="superscript"/>
        </w:rPr>
        <w:t>3</w:t>
      </w:r>
      <w:r>
        <w:t xml:space="preserve"> or greater (Duffus, 2002). While some heavy metals are essential for biological processes in trace amounts, others are toxic even at low concentrations (Dufus, 2002). Seaweed can accumulate heavy metals to levels several orders of magnitude higher than the surrounding seawater, making them not only a highly effective indicator of marine pollution (called biomonitors)—but also a potential food safety concern (Morrison et al., 2008). If seaweed products intended for human consumption or </w:t>
      </w:r>
      <w:r>
        <w:lastRenderedPageBreak/>
        <w:t>animal feed contain toxic levels of contaminants, this can pose a risk to consumer health, especially with frequent consumption.</w:t>
      </w:r>
    </w:p>
    <w:p w14:paraId="21E0CAD6" w14:textId="56A85893" w:rsidR="006C5221" w:rsidRDefault="006C5221" w:rsidP="006C5221">
      <w:r>
        <w:t>Among heavy metals, arsenic (As), cadmium (Cd), lead (Pb), and mercury (Hg) are particularly concerning due to their well-documented health risks (Choi et al., 2021; Chowdhury et al., 2018; Ding et al., 2005; Halabisky et al., 2000; Huang et al., 2025; Kim et al., 2014; Peng et al., 2020; Tellez-Plaza et al., 2013; Wang et al., 2022; Wang &amp; Du, 2013; WHO, 2022; Yu et al., 2024). Chronic exposure to these elements can cause serious conditions, including cancer, neurological damage, kidney disease, and cardiovascular problems. Table 7</w:t>
      </w:r>
      <w:r w:rsidR="002D13BE">
        <w:t>-</w:t>
      </w:r>
      <w:r>
        <w:t>1 provides a summary of negative health effects from these toxic heavy metals.</w:t>
      </w:r>
    </w:p>
    <w:p w14:paraId="47D22C2A" w14:textId="77777777" w:rsidR="006C5221" w:rsidRDefault="006C5221" w:rsidP="006C5221">
      <w:r>
        <w:t>Heavy metals toxicity depends on several factors, including the chemical species (i.e., organic versus inorganic forms), dose, route of exposure, and frequency of consumption, as well as individual characteristics such as age, gender, genetics, and nutritional status (Tchounwou et al., 2012). Evaluating potential dietary exposure to these toxic elements through seaweed consumption remains challenging in the U.S. and globally, due to limited data on seaweed consumption patterns.</w:t>
      </w:r>
    </w:p>
    <w:p w14:paraId="64F5187A" w14:textId="77777777" w:rsidR="006C5221" w:rsidRDefault="006C5221" w:rsidP="006C5221">
      <w:r>
        <w:t>Given the recognized negative health effects of As, Hg, Cd, and Pb, several national and international authorities have identified these four heavy metals as priority contaminants. The European Food Safety Authority (EFSA) identified them as major contaminants in seaweed (Sá Monteiro et al., 2019), and the World Health Organization (WHO) includes them among the “ten chemicals of public health concern” (WHO, 2022). The U.S. Food and Drug Administration (FDA) also lists these elements as toxic environmental contaminants in the food supply (USFDA, n.d.). The following section provides an overview of the levels, sources, and implications of these metals in seaweed intended for human consumption.</w:t>
      </w:r>
    </w:p>
    <w:p w14:paraId="2022FD64" w14:textId="1585699E" w:rsidR="00DF49CA" w:rsidRDefault="006C5221" w:rsidP="00045395">
      <w:r w:rsidRPr="008A0286">
        <w:rPr>
          <w:b/>
          <w:bCs/>
        </w:rPr>
        <w:t>Note:</w:t>
      </w:r>
      <w:r>
        <w:t xml:space="preserve"> While these four contaminants are highlighted due to their prevalence and potential health risks, seaweed processors should also consider the potential presence of other heavy metals and/or metals that may pose a risk in their specific products. If such contaminants are suspected or identified, it is the responsibility of the processors to conduct appropriate testing and provide evidence that their products are safe for consumption.</w:t>
      </w:r>
    </w:p>
    <w:p w14:paraId="3A31A0ED" w14:textId="77777777" w:rsidR="00DF49CA" w:rsidRDefault="00DF49CA">
      <w:r>
        <w:br w:type="page"/>
      </w:r>
    </w:p>
    <w:p w14:paraId="5361F421" w14:textId="46EAE230" w:rsidR="00045395" w:rsidRDefault="00045395" w:rsidP="00C54E07">
      <w:pPr>
        <w:pStyle w:val="Caption"/>
      </w:pPr>
      <w:r w:rsidRPr="00867E19">
        <w:lastRenderedPageBreak/>
        <w:t xml:space="preserve">Table </w:t>
      </w:r>
      <w:fldSimple w:instr=" STYLEREF 1 \s ">
        <w:r w:rsidR="00A042AD">
          <w:rPr>
            <w:noProof/>
          </w:rPr>
          <w:t>7</w:t>
        </w:r>
      </w:fldSimple>
      <w:r w:rsidR="00896F22" w:rsidRPr="00867E19">
        <w:noBreakHyphen/>
      </w:r>
      <w:fldSimple w:instr=" SEQ Table \* ARABIC \s 1 ">
        <w:r w:rsidR="00A042AD">
          <w:rPr>
            <w:noProof/>
          </w:rPr>
          <w:t>1</w:t>
        </w:r>
      </w:fldSimple>
      <w:r w:rsidRPr="00867E19">
        <w:t>:</w:t>
      </w:r>
      <w:r>
        <w:t xml:space="preserve"> Summary of n</w:t>
      </w:r>
      <w:r w:rsidRPr="00632C13">
        <w:t>egative health effects of heavy metals.</w:t>
      </w:r>
    </w:p>
    <w:tbl>
      <w:tblPr>
        <w:tblStyle w:val="TableGrid"/>
        <w:tblW w:w="0" w:type="auto"/>
        <w:tblCellMar>
          <w:top w:w="86" w:type="dxa"/>
          <w:left w:w="86" w:type="dxa"/>
          <w:bottom w:w="86" w:type="dxa"/>
          <w:right w:w="86" w:type="dxa"/>
        </w:tblCellMar>
        <w:tblLook w:val="04A0" w:firstRow="1" w:lastRow="0" w:firstColumn="1" w:lastColumn="0" w:noHBand="0" w:noVBand="1"/>
      </w:tblPr>
      <w:tblGrid>
        <w:gridCol w:w="1614"/>
        <w:gridCol w:w="4764"/>
        <w:gridCol w:w="2962"/>
      </w:tblGrid>
      <w:tr w:rsidR="00433C8E" w14:paraId="687EBB6B" w14:textId="77777777" w:rsidTr="00DF519F">
        <w:trPr>
          <w:tblHeader/>
        </w:trPr>
        <w:tc>
          <w:tcPr>
            <w:tcW w:w="1615" w:type="dxa"/>
            <w:tcBorders>
              <w:top w:val="single" w:sz="8" w:space="0" w:color="0D0D0D" w:themeColor="text1" w:themeTint="F2"/>
              <w:left w:val="single" w:sz="8" w:space="0" w:color="0D0D0D" w:themeColor="text1" w:themeTint="F2"/>
              <w:bottom w:val="single" w:sz="8" w:space="0" w:color="0D0D0D" w:themeColor="text1" w:themeTint="F2"/>
            </w:tcBorders>
            <w:shd w:val="clear" w:color="auto" w:fill="28666E"/>
            <w:vAlign w:val="center"/>
          </w:tcPr>
          <w:p w14:paraId="785E097D" w14:textId="3936FB41" w:rsidR="00433C8E" w:rsidRPr="000E2B0C" w:rsidRDefault="00433C8E" w:rsidP="0054509C">
            <w:pPr>
              <w:rPr>
                <w:b/>
                <w:bCs/>
                <w:color w:val="FFFFFF" w:themeColor="background1"/>
              </w:rPr>
            </w:pPr>
            <w:r w:rsidRPr="000E2B0C">
              <w:rPr>
                <w:b/>
                <w:bCs/>
                <w:color w:val="FFFFFF" w:themeColor="background1"/>
              </w:rPr>
              <w:t>Heavy Metal</w:t>
            </w:r>
          </w:p>
        </w:tc>
        <w:tc>
          <w:tcPr>
            <w:tcW w:w="4770" w:type="dxa"/>
            <w:tcBorders>
              <w:top w:val="single" w:sz="8" w:space="0" w:color="0D0D0D" w:themeColor="text1" w:themeTint="F2"/>
              <w:bottom w:val="single" w:sz="8" w:space="0" w:color="0D0D0D" w:themeColor="text1" w:themeTint="F2"/>
            </w:tcBorders>
            <w:shd w:val="clear" w:color="auto" w:fill="28666E"/>
            <w:vAlign w:val="center"/>
          </w:tcPr>
          <w:p w14:paraId="4A9EED0E" w14:textId="61476776" w:rsidR="00433C8E" w:rsidRPr="000E2B0C" w:rsidRDefault="00433C8E" w:rsidP="0054509C">
            <w:pPr>
              <w:rPr>
                <w:b/>
                <w:bCs/>
                <w:color w:val="FFFFFF" w:themeColor="background1"/>
              </w:rPr>
            </w:pPr>
            <w:r w:rsidRPr="000E2B0C">
              <w:rPr>
                <w:b/>
                <w:bCs/>
                <w:color w:val="FFFFFF" w:themeColor="background1"/>
              </w:rPr>
              <w:t>Health Effects</w:t>
            </w:r>
          </w:p>
        </w:tc>
        <w:tc>
          <w:tcPr>
            <w:tcW w:w="2965" w:type="dxa"/>
            <w:tcBorders>
              <w:top w:val="single" w:sz="8" w:space="0" w:color="0D0D0D" w:themeColor="text1" w:themeTint="F2"/>
              <w:bottom w:val="single" w:sz="8" w:space="0" w:color="0D0D0D" w:themeColor="text1" w:themeTint="F2"/>
              <w:right w:val="single" w:sz="8" w:space="0" w:color="0D0D0D" w:themeColor="text1" w:themeTint="F2"/>
            </w:tcBorders>
            <w:shd w:val="clear" w:color="auto" w:fill="28666E"/>
            <w:vAlign w:val="center"/>
          </w:tcPr>
          <w:p w14:paraId="4DF91A9C" w14:textId="0328CC67" w:rsidR="00433C8E" w:rsidRPr="000E2B0C" w:rsidRDefault="00433C8E" w:rsidP="0054509C">
            <w:pPr>
              <w:rPr>
                <w:b/>
                <w:bCs/>
                <w:color w:val="FFFFFF" w:themeColor="background1"/>
              </w:rPr>
            </w:pPr>
            <w:r w:rsidRPr="000E2B0C">
              <w:rPr>
                <w:b/>
                <w:bCs/>
                <w:color w:val="FFFFFF" w:themeColor="background1"/>
              </w:rPr>
              <w:t>References</w:t>
            </w:r>
          </w:p>
        </w:tc>
      </w:tr>
      <w:tr w:rsidR="00433C8E" w14:paraId="280F4514" w14:textId="77777777" w:rsidTr="00DF519F">
        <w:tc>
          <w:tcPr>
            <w:tcW w:w="1615" w:type="dxa"/>
            <w:tcBorders>
              <w:top w:val="single" w:sz="8" w:space="0" w:color="0D0D0D" w:themeColor="text1" w:themeTint="F2"/>
              <w:left w:val="single" w:sz="8" w:space="0" w:color="0D0D0D" w:themeColor="text1" w:themeTint="F2"/>
            </w:tcBorders>
          </w:tcPr>
          <w:p w14:paraId="60E8F586" w14:textId="30BE3111" w:rsidR="00433C8E" w:rsidRDefault="00433C8E" w:rsidP="006C5221">
            <w:r>
              <w:t>Arsenic (As)</w:t>
            </w:r>
          </w:p>
        </w:tc>
        <w:tc>
          <w:tcPr>
            <w:tcW w:w="4770" w:type="dxa"/>
            <w:tcBorders>
              <w:top w:val="single" w:sz="8" w:space="0" w:color="0D0D0D" w:themeColor="text1" w:themeTint="F2"/>
            </w:tcBorders>
          </w:tcPr>
          <w:p w14:paraId="642006F8" w14:textId="7CEC9E75" w:rsidR="00433C8E" w:rsidRDefault="00433C8E" w:rsidP="006C5221">
            <w:r w:rsidRPr="00433C8E">
              <w:t>Carcinogenicity (skin, lung), cardiovascular disease, anemia, oxidative stress, damage to erythrocytes and DNA</w:t>
            </w:r>
          </w:p>
        </w:tc>
        <w:tc>
          <w:tcPr>
            <w:tcW w:w="2965" w:type="dxa"/>
            <w:tcBorders>
              <w:top w:val="single" w:sz="8" w:space="0" w:color="0D0D0D" w:themeColor="text1" w:themeTint="F2"/>
              <w:right w:val="single" w:sz="8" w:space="0" w:color="0D0D0D" w:themeColor="text1" w:themeTint="F2"/>
            </w:tcBorders>
          </w:tcPr>
          <w:p w14:paraId="3BB84A83" w14:textId="6DC7979E" w:rsidR="00433C8E" w:rsidRDefault="00204442" w:rsidP="006C5221">
            <w:r w:rsidRPr="00433C8E">
              <w:t>Ding et al., 2005</w:t>
            </w:r>
            <w:r>
              <w:t xml:space="preserve">; </w:t>
            </w:r>
            <w:r w:rsidR="00433C8E" w:rsidRPr="00433C8E">
              <w:t>Huang et al., 2025; WHO, 2022</w:t>
            </w:r>
            <w:r>
              <w:t xml:space="preserve">; </w:t>
            </w:r>
            <w:r w:rsidRPr="00433C8E">
              <w:t>Yu et al., 2024</w:t>
            </w:r>
          </w:p>
        </w:tc>
      </w:tr>
      <w:tr w:rsidR="00433C8E" w:rsidRPr="00F85DE5" w14:paraId="4E056CA7" w14:textId="77777777" w:rsidTr="00DF519F">
        <w:tc>
          <w:tcPr>
            <w:tcW w:w="1615" w:type="dxa"/>
            <w:tcBorders>
              <w:left w:val="single" w:sz="8" w:space="0" w:color="0D0D0D" w:themeColor="text1" w:themeTint="F2"/>
            </w:tcBorders>
          </w:tcPr>
          <w:p w14:paraId="6CD9E0A9" w14:textId="10C16290" w:rsidR="00433C8E" w:rsidRDefault="00433C8E" w:rsidP="006C5221">
            <w:r>
              <w:t>Cadmium (Cd)</w:t>
            </w:r>
          </w:p>
        </w:tc>
        <w:tc>
          <w:tcPr>
            <w:tcW w:w="4770" w:type="dxa"/>
          </w:tcPr>
          <w:p w14:paraId="7D8CAFC6" w14:textId="431CDD4F" w:rsidR="00433C8E" w:rsidRDefault="00433C8E" w:rsidP="006C5221">
            <w:r w:rsidRPr="00433C8E">
              <w:t>Carcinogenicity (bladder, kidney, liver), neurotoxicity (cognitive impairment, calcium signaling disruption), cardiovascular disease</w:t>
            </w:r>
          </w:p>
        </w:tc>
        <w:tc>
          <w:tcPr>
            <w:tcW w:w="2965" w:type="dxa"/>
            <w:tcBorders>
              <w:right w:val="single" w:sz="8" w:space="0" w:color="0D0D0D" w:themeColor="text1" w:themeTint="F2"/>
            </w:tcBorders>
          </w:tcPr>
          <w:p w14:paraId="19402CDA" w14:textId="6D43AF40" w:rsidR="00433C8E" w:rsidRPr="00173FBA" w:rsidRDefault="00204442" w:rsidP="006C5221">
            <w:pPr>
              <w:rPr>
                <w:lang w:val="es-ES"/>
              </w:rPr>
            </w:pPr>
            <w:r w:rsidRPr="00173FBA">
              <w:rPr>
                <w:lang w:val="es-ES"/>
              </w:rPr>
              <w:t xml:space="preserve">Halabisky et al., 2000; </w:t>
            </w:r>
            <w:r w:rsidR="00433C8E" w:rsidRPr="00173FBA">
              <w:rPr>
                <w:lang w:val="es-ES"/>
              </w:rPr>
              <w:t xml:space="preserve">Peng et al., 2020; </w:t>
            </w:r>
            <w:r w:rsidRPr="00173FBA">
              <w:rPr>
                <w:lang w:val="es-ES"/>
              </w:rPr>
              <w:t xml:space="preserve">Tellez-Plaza et al., 2013; </w:t>
            </w:r>
            <w:r w:rsidR="00433C8E" w:rsidRPr="00173FBA">
              <w:rPr>
                <w:lang w:val="es-ES"/>
              </w:rPr>
              <w:t>Wang &amp; Du, 2013</w:t>
            </w:r>
          </w:p>
        </w:tc>
      </w:tr>
      <w:tr w:rsidR="00433C8E" w14:paraId="7C7871AD" w14:textId="77777777" w:rsidTr="00DF519F">
        <w:tc>
          <w:tcPr>
            <w:tcW w:w="1615" w:type="dxa"/>
            <w:tcBorders>
              <w:left w:val="single" w:sz="8" w:space="0" w:color="0D0D0D" w:themeColor="text1" w:themeTint="F2"/>
            </w:tcBorders>
          </w:tcPr>
          <w:p w14:paraId="41262B1E" w14:textId="582CF247" w:rsidR="00433C8E" w:rsidRDefault="00433C8E" w:rsidP="006C5221">
            <w:r>
              <w:t>Lead (Pb)</w:t>
            </w:r>
          </w:p>
        </w:tc>
        <w:tc>
          <w:tcPr>
            <w:tcW w:w="4770" w:type="dxa"/>
          </w:tcPr>
          <w:p w14:paraId="7050FFAD" w14:textId="47F2CEF5" w:rsidR="00433C8E" w:rsidRDefault="00433C8E" w:rsidP="006C5221">
            <w:r w:rsidRPr="00433C8E">
              <w:t>Neurotoxicity (cognitive decline, behavioral problems), cardiovascular disease (coronary heart disease, stroke), irreversible developmental damage in children</w:t>
            </w:r>
          </w:p>
        </w:tc>
        <w:tc>
          <w:tcPr>
            <w:tcW w:w="2965" w:type="dxa"/>
            <w:tcBorders>
              <w:right w:val="single" w:sz="8" w:space="0" w:color="0D0D0D" w:themeColor="text1" w:themeTint="F2"/>
            </w:tcBorders>
          </w:tcPr>
          <w:p w14:paraId="6E6D919F" w14:textId="1F2D5BFF" w:rsidR="00433C8E" w:rsidRDefault="00204442" w:rsidP="006C5221">
            <w:r w:rsidRPr="00433C8E">
              <w:t>Chowdhury et al., 2018</w:t>
            </w:r>
            <w:r>
              <w:t xml:space="preserve">; </w:t>
            </w:r>
            <w:r w:rsidR="00433C8E" w:rsidRPr="00433C8E">
              <w:t>Wang et al., 2022</w:t>
            </w:r>
          </w:p>
        </w:tc>
      </w:tr>
      <w:tr w:rsidR="00433C8E" w14:paraId="2660142C" w14:textId="77777777" w:rsidTr="00DF519F">
        <w:tc>
          <w:tcPr>
            <w:tcW w:w="1615" w:type="dxa"/>
            <w:tcBorders>
              <w:left w:val="single" w:sz="8" w:space="0" w:color="0D0D0D" w:themeColor="text1" w:themeTint="F2"/>
              <w:bottom w:val="single" w:sz="8" w:space="0" w:color="0D0D0D" w:themeColor="text1" w:themeTint="F2"/>
            </w:tcBorders>
          </w:tcPr>
          <w:p w14:paraId="33ADEFDC" w14:textId="0DA1DC27" w:rsidR="00433C8E" w:rsidRDefault="00433C8E" w:rsidP="006C5221">
            <w:r>
              <w:t>Mercury (Hg)</w:t>
            </w:r>
          </w:p>
        </w:tc>
        <w:tc>
          <w:tcPr>
            <w:tcW w:w="4770" w:type="dxa"/>
            <w:tcBorders>
              <w:bottom w:val="single" w:sz="8" w:space="0" w:color="0D0D0D" w:themeColor="text1" w:themeTint="F2"/>
            </w:tcBorders>
          </w:tcPr>
          <w:p w14:paraId="32D7A80F" w14:textId="1C261505" w:rsidR="00433C8E" w:rsidRDefault="00433C8E" w:rsidP="006C5221">
            <w:r w:rsidRPr="00433C8E">
              <w:t>Neurotoxicity (vision loss, seizures, intellectual disability), hepatotoxicity (liver dysfunction), developmental delays in children</w:t>
            </w:r>
          </w:p>
        </w:tc>
        <w:tc>
          <w:tcPr>
            <w:tcW w:w="2965" w:type="dxa"/>
            <w:tcBorders>
              <w:bottom w:val="single" w:sz="8" w:space="0" w:color="0D0D0D" w:themeColor="text1" w:themeTint="F2"/>
              <w:right w:val="single" w:sz="8" w:space="0" w:color="0D0D0D" w:themeColor="text1" w:themeTint="F2"/>
            </w:tcBorders>
          </w:tcPr>
          <w:p w14:paraId="165718D3" w14:textId="15C32198" w:rsidR="00433C8E" w:rsidRDefault="00433C8E" w:rsidP="006C5221">
            <w:r w:rsidRPr="00433C8E">
              <w:t xml:space="preserve">Choi et al., 2021; </w:t>
            </w:r>
            <w:r w:rsidR="00204442" w:rsidRPr="00433C8E">
              <w:t xml:space="preserve">Huang et al., 2025; </w:t>
            </w:r>
            <w:r w:rsidRPr="00433C8E">
              <w:t>Kim et al., 2014</w:t>
            </w:r>
          </w:p>
        </w:tc>
      </w:tr>
    </w:tbl>
    <w:p w14:paraId="6133903A" w14:textId="20AD831D" w:rsidR="008A0286" w:rsidRDefault="00433C8E" w:rsidP="00691E23">
      <w:pPr>
        <w:pStyle w:val="Heading3"/>
      </w:pPr>
      <w:bookmarkStart w:id="127" w:name="_Toc208503212"/>
      <w:r>
        <w:t>Arsenic</w:t>
      </w:r>
      <w:r w:rsidR="004932C9">
        <w:t xml:space="preserve"> (As)</w:t>
      </w:r>
      <w:bookmarkEnd w:id="127"/>
    </w:p>
    <w:p w14:paraId="356B27AD" w14:textId="0AD1A3DD" w:rsidR="00433C8E" w:rsidRDefault="00433C8E" w:rsidP="00CB6D27">
      <w:pPr>
        <w:spacing w:before="240"/>
      </w:pPr>
      <w:r>
        <w:t>Arsenic (As) exists in both organic and inorganic (iAs) forms. Of the two types, iAs is far more toxic, with chronic exposure linked to serious health risks such as cancer, skin lesions, developmental defects, and cardiovascular diseases (see Table 7-1). Brown seaweeds, such as kombu (</w:t>
      </w:r>
      <w:r w:rsidRPr="00433C8E">
        <w:rPr>
          <w:i/>
          <w:iCs/>
        </w:rPr>
        <w:t>Laminaria</w:t>
      </w:r>
      <w:r>
        <w:t xml:space="preserve"> species) and hijiki (</w:t>
      </w:r>
      <w:r w:rsidRPr="00433C8E">
        <w:rPr>
          <w:i/>
          <w:iCs/>
        </w:rPr>
        <w:t>Sargassum</w:t>
      </w:r>
      <w:r>
        <w:t xml:space="preserve"> </w:t>
      </w:r>
      <w:r w:rsidRPr="00433C8E">
        <w:rPr>
          <w:i/>
          <w:iCs/>
        </w:rPr>
        <w:t>fusiforme</w:t>
      </w:r>
      <w:r>
        <w:t xml:space="preserve">), can contain elevated levels of As (EFSA, 2023). Hijiki, in particular, has raised concerns due to its high iAs concentrations—ranging from 32.1 to 69.5 mg/kg—prompting some health agencies to advise against its consumption (Besada et al., 2009). Certain samples of </w:t>
      </w:r>
      <w:r w:rsidRPr="00433C8E">
        <w:rPr>
          <w:i/>
          <w:iCs/>
        </w:rPr>
        <w:t>Laminaria</w:t>
      </w:r>
      <w:r>
        <w:t xml:space="preserve"> </w:t>
      </w:r>
      <w:r w:rsidRPr="00433C8E">
        <w:rPr>
          <w:i/>
          <w:iCs/>
        </w:rPr>
        <w:t>digitata</w:t>
      </w:r>
      <w:r>
        <w:t xml:space="preserve"> from Maine contained iAs levels of 2.8–20.4 mg/kg, which could pose a health risk if consumed in large quantities (Taylor &amp; Jackson, 2016).</w:t>
      </w:r>
    </w:p>
    <w:p w14:paraId="6ADDECBD" w14:textId="2787FD60" w:rsidR="00433C8E" w:rsidRDefault="00433C8E" w:rsidP="00433C8E">
      <w:r>
        <w:t xml:space="preserve">Total arsenic (AsT) concentrations in brown seaweeds can exceed 100 mg/kg, with significant variability depending on environmental conditions and farming practices, even within the same species (Desideri et al., 2016). A study of seaweed harvested in New England found that </w:t>
      </w:r>
      <w:r w:rsidRPr="00433C8E">
        <w:rPr>
          <w:i/>
          <w:iCs/>
        </w:rPr>
        <w:t>Laminaria</w:t>
      </w:r>
      <w:r>
        <w:t xml:space="preserve"> </w:t>
      </w:r>
      <w:r w:rsidRPr="00433C8E">
        <w:rPr>
          <w:i/>
          <w:iCs/>
        </w:rPr>
        <w:t>digitata</w:t>
      </w:r>
      <w:r>
        <w:t xml:space="preserve"> contained AsT concentrations as high as 106 mg/kg, of which more than 85% of the As was present as arsenosugars. The toxicity of arsenosugars is still under investigation; they are generally considered to have low cytotoxicity and limited intestinal absorption compared to iAs. Nevertheless, arsenosugars are metabolized in the human body and are therefore considered bioavailable to humans. Additionally, some of their metabolites—such as thio-DMA—exhibit cytotoxic effects (Leffer et al., 2013a).</w:t>
      </w:r>
    </w:p>
    <w:p w14:paraId="5ED00725" w14:textId="3EFAEBAC" w:rsidR="00433C8E" w:rsidRDefault="00433C8E" w:rsidP="00433C8E">
      <w:r>
        <w:lastRenderedPageBreak/>
        <w:t xml:space="preserve">A recent study on farmed and wild-harvested </w:t>
      </w:r>
      <w:r w:rsidRPr="00433C8E">
        <w:rPr>
          <w:i/>
          <w:iCs/>
        </w:rPr>
        <w:t>Saccharina</w:t>
      </w:r>
      <w:r>
        <w:t xml:space="preserve"> </w:t>
      </w:r>
      <w:r w:rsidRPr="00433C8E">
        <w:rPr>
          <w:i/>
          <w:iCs/>
        </w:rPr>
        <w:t>latissima</w:t>
      </w:r>
      <w:r>
        <w:t xml:space="preserve"> in New England found AsT concentrations frequently exceeded European Union limits for animal feed, especially in samples from the base of the kelp blades (Shaughnessy et al., 2023). However, when speciated, the more toxic iAs levels remained low—less than 1% of AsT in most samples—and were below levels of regulatory concern, including California's Proposition 65 Safe Harbor limits (Safe Drinking Water and Toxic Enforcement Act of 1986). Notably, samples from areas near known contamination sources, such as Gallops Island in Boston Harbor, had higher iAs levels, with some exceeding 2% of AsT.</w:t>
      </w:r>
    </w:p>
    <w:p w14:paraId="6DAEF346" w14:textId="77777777" w:rsidR="00433C8E" w:rsidRDefault="00433C8E" w:rsidP="00433C8E">
      <w:r>
        <w:t xml:space="preserve">Kim et al. (2019) found similar results when analyzing </w:t>
      </w:r>
      <w:r w:rsidRPr="004932C9">
        <w:rPr>
          <w:i/>
          <w:iCs/>
        </w:rPr>
        <w:t>Saccharina</w:t>
      </w:r>
      <w:r>
        <w:t xml:space="preserve"> </w:t>
      </w:r>
      <w:r w:rsidRPr="004932C9">
        <w:rPr>
          <w:i/>
          <w:iCs/>
        </w:rPr>
        <w:t>latissima</w:t>
      </w:r>
      <w:r>
        <w:t xml:space="preserve"> and Gracilaria tikvahiae grown in urbanized estuaries in Long Island Sound and New York coastal waters. Both species had AsT concentrations below international regulatory limits, though Saccharina latissima showed higher AsT than </w:t>
      </w:r>
      <w:r w:rsidRPr="004932C9">
        <w:rPr>
          <w:i/>
          <w:iCs/>
        </w:rPr>
        <w:t>Gracilaria</w:t>
      </w:r>
      <w:r>
        <w:t xml:space="preserve"> </w:t>
      </w:r>
      <w:r w:rsidRPr="004932C9">
        <w:rPr>
          <w:i/>
          <w:iCs/>
        </w:rPr>
        <w:t>tikvahiae</w:t>
      </w:r>
      <w:r>
        <w:t>. Limited As speciation data makes it difficult to fully assess health risks, since AsT levels alone don’t indicate toxicity. Therefore, more focus on As speciation analysis is essential to accurately assess the potential health risks of seaweed consumption. Given the elevated iAs levels reported in Laminaria species in the literature, testing this genus for arsenic speciation is strongly recommended to ensure the safety of food and feed products (Taylor &amp; Jackson, 2016).</w:t>
      </w:r>
    </w:p>
    <w:p w14:paraId="6BB7C6A7" w14:textId="77777777" w:rsidR="00433C8E" w:rsidRDefault="00433C8E" w:rsidP="00691E23">
      <w:pPr>
        <w:pStyle w:val="Heading3"/>
      </w:pPr>
      <w:bookmarkStart w:id="128" w:name="_Toc208503213"/>
      <w:r>
        <w:t>Cadmium (Cd)</w:t>
      </w:r>
      <w:bookmarkEnd w:id="128"/>
    </w:p>
    <w:p w14:paraId="044CE92F" w14:textId="0F73D371" w:rsidR="00433C8E" w:rsidRDefault="00433C8E" w:rsidP="00CB6D27">
      <w:pPr>
        <w:spacing w:before="240"/>
      </w:pPr>
      <w:r>
        <w:t xml:space="preserve">Cadmium (Cd) is a toxic heavy metal often found in red and brown seaweeds and is a contaminant of potential health concern, primarily affecting the kidneys (EFSA 2009a). Analysis of more than 2,000 seaweed samples revealed that red algae, such as dried laver, had the highest average Cd concentration with levels reaching 1,675 µg/kg (EFSA, 2023). Brown algae, including wakame, also contained high Cd levels (~1,276 µg/kg), while green algae generally had lower levels </w:t>
      </w:r>
    </w:p>
    <w:p w14:paraId="159A74F0" w14:textId="410A6392" w:rsidR="00433C8E" w:rsidRDefault="00433C8E" w:rsidP="00433C8E">
      <w:r>
        <w:t xml:space="preserve">The maximum allowable level of Cd in edible seaweed varies globally. For example, France recommends a limit of 0.5 mg/kg (CSHPF), while the European Commission sets a limit of 0.3 mg/kg for food supplements containing at least 80% dried seaweed. Taiwan’s limit is 1.0 mg/kg for Cd in seaweed. In the U.S., the FDA applies a toxicological reference value (TRV) of 0.21–0.36 µg/kg body weight per day to assess health risks and determine </w:t>
      </w:r>
      <w:hyperlink w:anchor="ActionLevel" w:tooltip="A threshold established by regulatory bodies, such as the U.S. Food and Drug Administration (FDA), indicating the maximum concentration of a contaminant (e.g., arsenic, cadmium, lead, or mercury) in food or feed. " w:history="1">
        <w:r w:rsidRPr="009B4748">
          <w:rPr>
            <w:rStyle w:val="Hyperlink"/>
          </w:rPr>
          <w:t>action levels</w:t>
        </w:r>
      </w:hyperlink>
      <w:r>
        <w:t xml:space="preserve"> when contaminants exceed safe thresholds.</w:t>
      </w:r>
    </w:p>
    <w:p w14:paraId="6184CBE4" w14:textId="30F0C167" w:rsidR="00433C8E" w:rsidRDefault="00433C8E" w:rsidP="00433C8E">
      <w:r>
        <w:t>A study conducted by Kim et al. (2019) measured Cd concentrations in two seaweed species—</w:t>
      </w:r>
      <w:r w:rsidRPr="004932C9">
        <w:rPr>
          <w:i/>
          <w:iCs/>
        </w:rPr>
        <w:t>Gracilaria</w:t>
      </w:r>
      <w:r>
        <w:t xml:space="preserve"> </w:t>
      </w:r>
      <w:r w:rsidRPr="004932C9">
        <w:rPr>
          <w:i/>
          <w:iCs/>
        </w:rPr>
        <w:t>tikvahiae</w:t>
      </w:r>
      <w:r>
        <w:t xml:space="preserve"> (a red alga) and </w:t>
      </w:r>
      <w:r w:rsidRPr="004932C9">
        <w:rPr>
          <w:i/>
          <w:iCs/>
        </w:rPr>
        <w:t>Saccharina</w:t>
      </w:r>
      <w:r>
        <w:t xml:space="preserve"> </w:t>
      </w:r>
      <w:r w:rsidRPr="004932C9">
        <w:rPr>
          <w:i/>
          <w:iCs/>
        </w:rPr>
        <w:t>latissima</w:t>
      </w:r>
      <w:r>
        <w:t xml:space="preserve"> (a brown alga)—cultivated in urbanized estuaries in the Northeastern U</w:t>
      </w:r>
      <w:r w:rsidR="004932C9">
        <w:t>nited States.</w:t>
      </w:r>
      <w:r>
        <w:t xml:space="preserve"> Cd concentrations were 0.072 mg/kg in Gracilaria and 0.118 mg/kg in Saccharina, both well below France’s regulatory limit of 0.5 mg/kg. However, Cd levels were significantly higher in samples from the Western Long Island </w:t>
      </w:r>
      <w:r>
        <w:lastRenderedPageBreak/>
        <w:t xml:space="preserve">Sound and Bronx River Estuary compared to laboratory-grown controls. This suggests that while Cd levels in U.S.-cultivated seaweed were generally low, local environmental factors—such as proximity to industrial activity or wastewater discharge—can increase Cd concentrations. In contrast, analysis of wild and farmed </w:t>
      </w:r>
      <w:r w:rsidRPr="004932C9">
        <w:rPr>
          <w:i/>
          <w:iCs/>
        </w:rPr>
        <w:t>Saccharina</w:t>
      </w:r>
      <w:r>
        <w:t xml:space="preserve"> </w:t>
      </w:r>
      <w:r w:rsidRPr="004932C9">
        <w:rPr>
          <w:i/>
          <w:iCs/>
        </w:rPr>
        <w:t>latissima</w:t>
      </w:r>
      <w:r>
        <w:t xml:space="preserve"> in New England found that Cd concentrates at higher levels at the base of </w:t>
      </w:r>
      <w:r w:rsidR="004932C9" w:rsidRPr="004932C9">
        <w:rPr>
          <w:i/>
          <w:iCs/>
        </w:rPr>
        <w:t>Saccharina</w:t>
      </w:r>
      <w:r w:rsidR="004932C9">
        <w:t xml:space="preserve"> </w:t>
      </w:r>
      <w:r w:rsidR="004932C9" w:rsidRPr="004932C9">
        <w:rPr>
          <w:i/>
          <w:iCs/>
        </w:rPr>
        <w:t>latissima</w:t>
      </w:r>
      <w:r w:rsidR="004932C9">
        <w:t xml:space="preserve"> </w:t>
      </w:r>
      <w:r>
        <w:t>blades, and those concentrations frequently exceed levels of regulatory concern, regardless of proximity to sources of contamination (Shaughnessy et al., 2023).Ongoing monitoring is therefore essential, especially for seaweed harvested from or near urban coasts.</w:t>
      </w:r>
    </w:p>
    <w:p w14:paraId="3E8EC637" w14:textId="77777777" w:rsidR="00433C8E" w:rsidRDefault="00433C8E" w:rsidP="00691E23">
      <w:pPr>
        <w:pStyle w:val="Heading3"/>
      </w:pPr>
      <w:bookmarkStart w:id="129" w:name="_Toc208503214"/>
      <w:r>
        <w:t>Lead (Pb)</w:t>
      </w:r>
      <w:bookmarkEnd w:id="129"/>
    </w:p>
    <w:p w14:paraId="06570466" w14:textId="77777777" w:rsidR="00433C8E" w:rsidRDefault="00433C8E" w:rsidP="00CB6D27">
      <w:pPr>
        <w:spacing w:before="240"/>
      </w:pPr>
      <w:r>
        <w:t xml:space="preserve">Lead (Pb) exposure is especially harmful to vulnerable groups, such as children, due to its neurotoxic effects, including impaired cognitive development (Roleda et al., 2019). Data from nearly 2,000 samples analyzed by the European Union show that Pb concentrations in seaweed can contribute 10–30% of total dietary Pb exposure (EFSA, 2023). This does not mean that seaweed alone causes Pb toxicity, but rather that it can make a measurable contribution to overall exposure. </w:t>
      </w:r>
    </w:p>
    <w:p w14:paraId="53507D6B" w14:textId="469AB972" w:rsidR="00433C8E" w:rsidRDefault="00433C8E" w:rsidP="00433C8E">
      <w:r>
        <w:t>Brown seaweeds such as kombu (</w:t>
      </w:r>
      <w:r w:rsidRPr="004932C9">
        <w:rPr>
          <w:i/>
          <w:iCs/>
        </w:rPr>
        <w:t>Laminaria</w:t>
      </w:r>
      <w:r>
        <w:t xml:space="preserve"> species), tend to have higher Pb concentrations compared to red and green seaweeds. For example, Pb levels in sea lettuce (</w:t>
      </w:r>
      <w:r w:rsidRPr="004932C9">
        <w:rPr>
          <w:i/>
          <w:iCs/>
        </w:rPr>
        <w:t>Ulva</w:t>
      </w:r>
      <w:r>
        <w:t xml:space="preserve"> </w:t>
      </w:r>
      <w:r w:rsidRPr="004932C9">
        <w:rPr>
          <w:i/>
          <w:iCs/>
        </w:rPr>
        <w:t>lactuca</w:t>
      </w:r>
      <w:r>
        <w:t xml:space="preserve">) have been measured at 6.7 mg/kg, exceeding permissible limits in some regions (Martín-León et al., 2021). Shaughnessy et al. (2023) reported Pb concentrations in </w:t>
      </w:r>
      <w:r w:rsidRPr="004932C9">
        <w:rPr>
          <w:i/>
          <w:iCs/>
        </w:rPr>
        <w:t>Saccharina</w:t>
      </w:r>
      <w:r>
        <w:t xml:space="preserve"> </w:t>
      </w:r>
      <w:r w:rsidRPr="004932C9">
        <w:rPr>
          <w:i/>
          <w:iCs/>
        </w:rPr>
        <w:t>latissima</w:t>
      </w:r>
      <w:r>
        <w:t xml:space="preserve"> from New England ranging from 0.024 to 0.066 mg/kg dry weight. Similar to Cd, Pb accumulation varied by site and tissue type, with slightly higher concentrations in tissue from younger blade sections. While these values remain below international safety thresholds, the findings highlight the need for monitoring—especially in seaweeds grown near contaminated or urbanized areas—since they can reflect localized environmental contamination.</w:t>
      </w:r>
    </w:p>
    <w:p w14:paraId="51E84CD5" w14:textId="77777777" w:rsidR="00433C8E" w:rsidRDefault="00433C8E" w:rsidP="00691E23">
      <w:pPr>
        <w:pStyle w:val="Heading3"/>
      </w:pPr>
      <w:bookmarkStart w:id="130" w:name="_Toc208503215"/>
      <w:r>
        <w:t>Mercury (Hg)</w:t>
      </w:r>
      <w:bookmarkEnd w:id="130"/>
    </w:p>
    <w:p w14:paraId="57D874D9" w14:textId="759DABB4" w:rsidR="00433C8E" w:rsidRDefault="00433C8E" w:rsidP="00CB6D27">
      <w:pPr>
        <w:spacing w:before="240"/>
      </w:pPr>
      <w:r>
        <w:t xml:space="preserve">Mercury (Hg) exists in several forms: elemental, inorganic, and organic. The most toxic form, the organic form methylmercury, is a potent neurotoxin that poses risks to fetal brain development and adult cardiovascular health. In seaweed, Hg is typically measured as total Hg and is generally present at lower levels than other heavy metals, though concentrations vary by species and origin (Banach et al., 2020a). Reported Hg concentrations range from as low as 0.002 mg/kg in </w:t>
      </w:r>
      <w:r w:rsidRPr="004932C9">
        <w:rPr>
          <w:i/>
          <w:iCs/>
        </w:rPr>
        <w:t>Saccharina</w:t>
      </w:r>
      <w:r>
        <w:t xml:space="preserve"> </w:t>
      </w:r>
      <w:r w:rsidRPr="004932C9">
        <w:rPr>
          <w:i/>
          <w:iCs/>
        </w:rPr>
        <w:t>latissima</w:t>
      </w:r>
      <w:r>
        <w:t xml:space="preserve"> to as high as 0.055 mg/kg in </w:t>
      </w:r>
      <w:r w:rsidRPr="004932C9">
        <w:rPr>
          <w:i/>
          <w:iCs/>
        </w:rPr>
        <w:t>Eisenia</w:t>
      </w:r>
      <w:r>
        <w:t xml:space="preserve"> </w:t>
      </w:r>
      <w:r w:rsidRPr="004932C9">
        <w:rPr>
          <w:i/>
          <w:iCs/>
        </w:rPr>
        <w:t>bicyclis</w:t>
      </w:r>
      <w:r>
        <w:t xml:space="preserve"> (Desideri et al., 2016).</w:t>
      </w:r>
    </w:p>
    <w:p w14:paraId="26079122" w14:textId="538173E1" w:rsidR="00433C8E" w:rsidRDefault="00433C8E" w:rsidP="00433C8E">
      <w:r>
        <w:t xml:space="preserve">Shaughnessy et al. (2023) reported that Hg concentrations in wild and cultivated Saccharina latissima from New England ranged from 0.005 to 0.021 mg/kg dry weight, consistent with earlier studies suggesting that Hg—particularly methylmercury—is present at very low </w:t>
      </w:r>
      <w:r>
        <w:lastRenderedPageBreak/>
        <w:t xml:space="preserve">concentrations in this seaweed species. Similarly, Kim et al. (2019) measured total Hg in farmed </w:t>
      </w:r>
      <w:r w:rsidRPr="004932C9">
        <w:rPr>
          <w:i/>
          <w:iCs/>
        </w:rPr>
        <w:t>Gracilaria</w:t>
      </w:r>
      <w:r>
        <w:t xml:space="preserve"> </w:t>
      </w:r>
      <w:r w:rsidRPr="004932C9">
        <w:rPr>
          <w:i/>
          <w:iCs/>
        </w:rPr>
        <w:t>tikvahiae</w:t>
      </w:r>
      <w:r>
        <w:t xml:space="preserve"> and </w:t>
      </w:r>
      <w:r w:rsidRPr="004932C9">
        <w:rPr>
          <w:i/>
          <w:iCs/>
        </w:rPr>
        <w:t>Saccharina</w:t>
      </w:r>
      <w:r>
        <w:t xml:space="preserve"> </w:t>
      </w:r>
      <w:r w:rsidRPr="004932C9">
        <w:rPr>
          <w:i/>
          <w:iCs/>
        </w:rPr>
        <w:t>latissima</w:t>
      </w:r>
      <w:r>
        <w:t xml:space="preserve"> from Long Island Sound and New York City Estuaries. The highest concentrations in both species were 88–93% below the FDA's allowable limit for seafood, suggesting very low concern. Notably, Hg in </w:t>
      </w:r>
      <w:r w:rsidRPr="004932C9">
        <w:rPr>
          <w:i/>
          <w:iCs/>
        </w:rPr>
        <w:t>Gracilaria</w:t>
      </w:r>
      <w:r>
        <w:t xml:space="preserve"> was higher at the Western Long Island Sound site compared to the Bronx River Estuary and lab-grown controls, whereas </w:t>
      </w:r>
      <w:r w:rsidRPr="004932C9">
        <w:rPr>
          <w:i/>
          <w:iCs/>
        </w:rPr>
        <w:t>Saccharina</w:t>
      </w:r>
      <w:r>
        <w:t xml:space="preserve"> </w:t>
      </w:r>
      <w:r w:rsidRPr="004932C9">
        <w:rPr>
          <w:i/>
          <w:iCs/>
        </w:rPr>
        <w:t>latissima</w:t>
      </w:r>
      <w:r>
        <w:t xml:space="preserve"> showed the opposite pattern, with higher levels toward eastern sites. These variations reflect local environmental influences and underscore the importance of site-specific monitoring.</w:t>
      </w:r>
    </w:p>
    <w:p w14:paraId="0B579933" w14:textId="77777777" w:rsidR="00433C8E" w:rsidRDefault="00433C8E" w:rsidP="00433C8E">
      <w:r>
        <w:t>Data on mercury speciation (proportions of total, organic, and inorganic mercury) in seaweed remain limited, making it difficult to fully assess health risks. Current evidence suggests that methylmercury is present at minimal levels in seaweed (EFSA, 2023), but more research is needed to confirm this.</w:t>
      </w:r>
    </w:p>
    <w:p w14:paraId="3A9CF6D2" w14:textId="77777777" w:rsidR="00433C8E" w:rsidRDefault="00433C8E" w:rsidP="00691E23">
      <w:pPr>
        <w:pStyle w:val="Heading3"/>
      </w:pPr>
      <w:bookmarkStart w:id="131" w:name="_Toc208503216"/>
      <w:r>
        <w:t>Heavy Metals Hazards Ranking in Seaweed</w:t>
      </w:r>
      <w:bookmarkEnd w:id="131"/>
    </w:p>
    <w:p w14:paraId="1A1EA09B" w14:textId="32B5A018" w:rsidR="00433C8E" w:rsidRDefault="00433C8E" w:rsidP="00CB6D27">
      <w:pPr>
        <w:spacing w:before="240"/>
      </w:pPr>
      <w:r>
        <w:t>Table 7-2 summarizes the hazards ranking for heavy metals in edible seaweeds, based on the comprehensive food safety hazards report by Banach et al. (2020). The ranking is qualitative and considers four factors: (a) potential health effects on humans, (b) potential health effects on animals, (c) frequency of reporting in the EU Rapid Alert System for Food and Feed (RASFF), and (d) stakeholder concerns from survey data.</w:t>
      </w:r>
    </w:p>
    <w:p w14:paraId="14691CB2" w14:textId="4D2CE7E0" w:rsidR="004932C9" w:rsidRDefault="004932C9" w:rsidP="004932C9">
      <w:r>
        <w:t>Hazards were scored and classified as follows:</w:t>
      </w:r>
    </w:p>
    <w:p w14:paraId="1F7E9DC0" w14:textId="0353BD38" w:rsidR="004932C9" w:rsidRDefault="004932C9" w:rsidP="00846B8F">
      <w:pPr>
        <w:pStyle w:val="ListParagraph"/>
        <w:numPr>
          <w:ilvl w:val="0"/>
          <w:numId w:val="30"/>
        </w:numPr>
        <w:spacing w:before="240"/>
      </w:pPr>
      <w:r w:rsidRPr="004932C9">
        <w:rPr>
          <w:b/>
          <w:bCs/>
        </w:rPr>
        <w:t xml:space="preserve">Major </w:t>
      </w:r>
      <w:r>
        <w:rPr>
          <w:b/>
          <w:bCs/>
        </w:rPr>
        <w:t>H</w:t>
      </w:r>
      <w:r w:rsidRPr="004932C9">
        <w:rPr>
          <w:b/>
          <w:bCs/>
        </w:rPr>
        <w:t>azard:</w:t>
      </w:r>
      <w:r>
        <w:t xml:space="preserve"> Score 1.75–1.50</w:t>
      </w:r>
    </w:p>
    <w:p w14:paraId="5776945B" w14:textId="58421FAE" w:rsidR="004932C9" w:rsidRDefault="004932C9" w:rsidP="00846B8F">
      <w:pPr>
        <w:pStyle w:val="ListParagraph"/>
        <w:numPr>
          <w:ilvl w:val="0"/>
          <w:numId w:val="30"/>
        </w:numPr>
        <w:spacing w:before="240"/>
      </w:pPr>
      <w:r w:rsidRPr="004932C9">
        <w:rPr>
          <w:b/>
          <w:bCs/>
        </w:rPr>
        <w:t xml:space="preserve">Moderate </w:t>
      </w:r>
      <w:r>
        <w:rPr>
          <w:b/>
          <w:bCs/>
        </w:rPr>
        <w:t>H</w:t>
      </w:r>
      <w:r w:rsidRPr="004932C9">
        <w:rPr>
          <w:b/>
          <w:bCs/>
        </w:rPr>
        <w:t>azard:</w:t>
      </w:r>
      <w:r>
        <w:t xml:space="preserve"> Score 1.49–1.25</w:t>
      </w:r>
    </w:p>
    <w:p w14:paraId="7B265D71" w14:textId="7E08AA90" w:rsidR="004932C9" w:rsidRDefault="004932C9" w:rsidP="00846B8F">
      <w:pPr>
        <w:pStyle w:val="ListParagraph"/>
        <w:numPr>
          <w:ilvl w:val="0"/>
          <w:numId w:val="30"/>
        </w:numPr>
        <w:spacing w:before="240"/>
      </w:pPr>
      <w:r w:rsidRPr="004932C9">
        <w:rPr>
          <w:b/>
          <w:bCs/>
        </w:rPr>
        <w:t xml:space="preserve">Minor </w:t>
      </w:r>
      <w:r>
        <w:rPr>
          <w:b/>
          <w:bCs/>
        </w:rPr>
        <w:t>H</w:t>
      </w:r>
      <w:r w:rsidRPr="004932C9">
        <w:rPr>
          <w:b/>
          <w:bCs/>
        </w:rPr>
        <w:t>azard:</w:t>
      </w:r>
      <w:r>
        <w:t xml:space="preserve"> Score 1.24–0.75</w:t>
      </w:r>
    </w:p>
    <w:p w14:paraId="69F6BC5F" w14:textId="39907331" w:rsidR="00DF49CA" w:rsidRDefault="004932C9" w:rsidP="00045395">
      <w:r>
        <w:t>According to this ranking, methylmercury and Pb are considered major hazards, while Cd and iAs are considered moderate hazards.</w:t>
      </w:r>
    </w:p>
    <w:p w14:paraId="759FE41B" w14:textId="77777777" w:rsidR="00DF49CA" w:rsidRDefault="00DF49CA">
      <w:r>
        <w:br w:type="page"/>
      </w:r>
    </w:p>
    <w:p w14:paraId="469EE905" w14:textId="5A8F1889" w:rsidR="00045395" w:rsidRDefault="00045395" w:rsidP="00C54E07">
      <w:pPr>
        <w:pStyle w:val="Caption"/>
      </w:pPr>
      <w:r w:rsidRPr="00045395">
        <w:rPr>
          <w:b/>
          <w:bCs/>
        </w:rPr>
        <w:lastRenderedPageBreak/>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7</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2</w:t>
      </w:r>
      <w:r w:rsidR="00896F22">
        <w:rPr>
          <w:b/>
          <w:bCs/>
        </w:rPr>
        <w:fldChar w:fldCharType="end"/>
      </w:r>
      <w:r w:rsidRPr="00045395">
        <w:rPr>
          <w:b/>
          <w:bCs/>
        </w:rPr>
        <w:t>:</w:t>
      </w:r>
      <w:r>
        <w:t xml:space="preserve"> </w:t>
      </w:r>
      <w:r w:rsidRPr="007C6FD4">
        <w:t>Heavy metals sources and associated hazards rankings</w:t>
      </w:r>
      <w:r>
        <w:t>,</w:t>
      </w:r>
      <w:r w:rsidRPr="007C6FD4">
        <w:t xml:space="preserve"> </w:t>
      </w:r>
      <w:r>
        <w:t xml:space="preserve">as described by </w:t>
      </w:r>
      <w:r w:rsidRPr="007C6FD4">
        <w:t>Banach et al., 2020</w:t>
      </w:r>
      <w:r>
        <w:t>.</w:t>
      </w:r>
    </w:p>
    <w:tbl>
      <w:tblPr>
        <w:tblStyle w:val="TableGrid"/>
        <w:tblW w:w="9805" w:type="dxa"/>
        <w:tblCellMar>
          <w:top w:w="86" w:type="dxa"/>
          <w:left w:w="86" w:type="dxa"/>
          <w:bottom w:w="86" w:type="dxa"/>
          <w:right w:w="86" w:type="dxa"/>
        </w:tblCellMar>
        <w:tblLook w:val="04A0" w:firstRow="1" w:lastRow="0" w:firstColumn="1" w:lastColumn="0" w:noHBand="0" w:noVBand="1"/>
      </w:tblPr>
      <w:tblGrid>
        <w:gridCol w:w="1615"/>
        <w:gridCol w:w="1890"/>
        <w:gridCol w:w="2105"/>
        <w:gridCol w:w="2485"/>
        <w:gridCol w:w="1710"/>
      </w:tblGrid>
      <w:tr w:rsidR="009B73BE" w14:paraId="558495AB" w14:textId="77777777" w:rsidTr="00DF519F">
        <w:trPr>
          <w:tblHeader/>
        </w:trPr>
        <w:tc>
          <w:tcPr>
            <w:tcW w:w="1615" w:type="dxa"/>
            <w:tcBorders>
              <w:top w:val="single" w:sz="8" w:space="0" w:color="0D0D0D" w:themeColor="text1" w:themeTint="F2"/>
              <w:left w:val="single" w:sz="8" w:space="0" w:color="0D0D0D" w:themeColor="text1" w:themeTint="F2"/>
              <w:bottom w:val="single" w:sz="8" w:space="0" w:color="0D0D0D" w:themeColor="text1" w:themeTint="F2"/>
            </w:tcBorders>
            <w:shd w:val="clear" w:color="auto" w:fill="28666E"/>
            <w:vAlign w:val="center"/>
          </w:tcPr>
          <w:p w14:paraId="037BA15D" w14:textId="02248C1D" w:rsidR="004932C9" w:rsidRPr="004A0675" w:rsidRDefault="004932C9" w:rsidP="0054509C">
            <w:pPr>
              <w:rPr>
                <w:b/>
                <w:bCs/>
                <w:color w:val="FFFFFF" w:themeColor="background1"/>
              </w:rPr>
            </w:pPr>
            <w:r w:rsidRPr="004A0675">
              <w:rPr>
                <w:b/>
                <w:bCs/>
                <w:color w:val="FFFFFF" w:themeColor="background1"/>
              </w:rPr>
              <w:t>Heavy Metal</w:t>
            </w:r>
          </w:p>
        </w:tc>
        <w:tc>
          <w:tcPr>
            <w:tcW w:w="1890" w:type="dxa"/>
            <w:tcBorders>
              <w:top w:val="single" w:sz="8" w:space="0" w:color="0D0D0D" w:themeColor="text1" w:themeTint="F2"/>
              <w:bottom w:val="single" w:sz="8" w:space="0" w:color="0D0D0D" w:themeColor="text1" w:themeTint="F2"/>
            </w:tcBorders>
            <w:shd w:val="clear" w:color="auto" w:fill="28666E"/>
            <w:vAlign w:val="center"/>
          </w:tcPr>
          <w:p w14:paraId="38EA1386" w14:textId="44A51E9D" w:rsidR="004932C9" w:rsidRPr="004A0675" w:rsidRDefault="004932C9" w:rsidP="0054509C">
            <w:pPr>
              <w:rPr>
                <w:b/>
                <w:bCs/>
                <w:color w:val="FFFFFF" w:themeColor="background1"/>
              </w:rPr>
            </w:pPr>
            <w:r w:rsidRPr="004A0675">
              <w:rPr>
                <w:b/>
                <w:bCs/>
                <w:color w:val="FFFFFF" w:themeColor="background1"/>
              </w:rPr>
              <w:t>Main Form of Concern</w:t>
            </w:r>
          </w:p>
        </w:tc>
        <w:tc>
          <w:tcPr>
            <w:tcW w:w="2105" w:type="dxa"/>
            <w:tcBorders>
              <w:top w:val="single" w:sz="8" w:space="0" w:color="0D0D0D" w:themeColor="text1" w:themeTint="F2"/>
              <w:bottom w:val="single" w:sz="8" w:space="0" w:color="0D0D0D" w:themeColor="text1" w:themeTint="F2"/>
            </w:tcBorders>
            <w:shd w:val="clear" w:color="auto" w:fill="28666E"/>
            <w:vAlign w:val="center"/>
          </w:tcPr>
          <w:p w14:paraId="06FBD200" w14:textId="2F83D1C0" w:rsidR="004932C9" w:rsidRPr="004A0675" w:rsidRDefault="004932C9" w:rsidP="0054509C">
            <w:pPr>
              <w:rPr>
                <w:b/>
                <w:bCs/>
                <w:color w:val="FFFFFF" w:themeColor="background1"/>
              </w:rPr>
            </w:pPr>
            <w:r w:rsidRPr="004A0675">
              <w:rPr>
                <w:b/>
                <w:bCs/>
                <w:color w:val="FFFFFF" w:themeColor="background1"/>
              </w:rPr>
              <w:t>Typical Sources</w:t>
            </w:r>
          </w:p>
        </w:tc>
        <w:tc>
          <w:tcPr>
            <w:tcW w:w="2485" w:type="dxa"/>
            <w:tcBorders>
              <w:top w:val="single" w:sz="8" w:space="0" w:color="0D0D0D" w:themeColor="text1" w:themeTint="F2"/>
              <w:bottom w:val="single" w:sz="8" w:space="0" w:color="0D0D0D" w:themeColor="text1" w:themeTint="F2"/>
            </w:tcBorders>
            <w:shd w:val="clear" w:color="auto" w:fill="28666E"/>
            <w:vAlign w:val="center"/>
          </w:tcPr>
          <w:p w14:paraId="05B40712" w14:textId="620B345F" w:rsidR="004932C9" w:rsidRPr="004A0675" w:rsidRDefault="004932C9" w:rsidP="0054509C">
            <w:pPr>
              <w:rPr>
                <w:b/>
                <w:bCs/>
                <w:color w:val="FFFFFF" w:themeColor="background1"/>
              </w:rPr>
            </w:pPr>
            <w:r w:rsidRPr="004A0675">
              <w:rPr>
                <w:b/>
                <w:bCs/>
                <w:color w:val="FFFFFF" w:themeColor="background1"/>
              </w:rPr>
              <w:t>Seaweed Accumulation</w:t>
            </w:r>
          </w:p>
        </w:tc>
        <w:tc>
          <w:tcPr>
            <w:tcW w:w="1710" w:type="dxa"/>
            <w:tcBorders>
              <w:top w:val="single" w:sz="8" w:space="0" w:color="0D0D0D" w:themeColor="text1" w:themeTint="F2"/>
              <w:bottom w:val="single" w:sz="8" w:space="0" w:color="0D0D0D" w:themeColor="text1" w:themeTint="F2"/>
              <w:right w:val="single" w:sz="8" w:space="0" w:color="0D0D0D" w:themeColor="text1" w:themeTint="F2"/>
            </w:tcBorders>
            <w:shd w:val="clear" w:color="auto" w:fill="28666E"/>
            <w:vAlign w:val="center"/>
          </w:tcPr>
          <w:p w14:paraId="667FF270" w14:textId="53472ACC" w:rsidR="004932C9" w:rsidRPr="004A0675" w:rsidRDefault="004932C9" w:rsidP="0054509C">
            <w:pPr>
              <w:rPr>
                <w:b/>
                <w:bCs/>
                <w:color w:val="FFFFFF" w:themeColor="background1"/>
              </w:rPr>
            </w:pPr>
            <w:r w:rsidRPr="004A0675">
              <w:rPr>
                <w:b/>
                <w:bCs/>
                <w:color w:val="FFFFFF" w:themeColor="background1"/>
              </w:rPr>
              <w:t>Hazard Ranking</w:t>
            </w:r>
          </w:p>
        </w:tc>
      </w:tr>
      <w:tr w:rsidR="004932C9" w14:paraId="75F90445" w14:textId="77777777" w:rsidTr="00DF519F">
        <w:tc>
          <w:tcPr>
            <w:tcW w:w="1615" w:type="dxa"/>
            <w:tcBorders>
              <w:top w:val="single" w:sz="8" w:space="0" w:color="0D0D0D" w:themeColor="text1" w:themeTint="F2"/>
              <w:left w:val="single" w:sz="8" w:space="0" w:color="0D0D0D" w:themeColor="text1" w:themeTint="F2"/>
            </w:tcBorders>
          </w:tcPr>
          <w:p w14:paraId="5A6E98F0" w14:textId="557865DC" w:rsidR="004932C9" w:rsidRDefault="004932C9" w:rsidP="004932C9">
            <w:r>
              <w:t>Arsenic (As)</w:t>
            </w:r>
          </w:p>
        </w:tc>
        <w:tc>
          <w:tcPr>
            <w:tcW w:w="1890" w:type="dxa"/>
            <w:tcBorders>
              <w:top w:val="single" w:sz="8" w:space="0" w:color="0D0D0D" w:themeColor="text1" w:themeTint="F2"/>
            </w:tcBorders>
          </w:tcPr>
          <w:p w14:paraId="5FEE0487" w14:textId="5B21746E" w:rsidR="004932C9" w:rsidRDefault="004E61EF" w:rsidP="004932C9">
            <w:r>
              <w:t>Inorganic Arsenic (iAs)</w:t>
            </w:r>
          </w:p>
        </w:tc>
        <w:tc>
          <w:tcPr>
            <w:tcW w:w="2105" w:type="dxa"/>
            <w:tcBorders>
              <w:top w:val="single" w:sz="8" w:space="0" w:color="0D0D0D" w:themeColor="text1" w:themeTint="F2"/>
            </w:tcBorders>
          </w:tcPr>
          <w:p w14:paraId="4930AAF9" w14:textId="67C30087" w:rsidR="004932C9" w:rsidRPr="004932C9" w:rsidRDefault="004E61EF" w:rsidP="004932C9">
            <w:r>
              <w:t>Soil, water, fertilizers, industrial emissions</w:t>
            </w:r>
          </w:p>
        </w:tc>
        <w:tc>
          <w:tcPr>
            <w:tcW w:w="2485" w:type="dxa"/>
            <w:tcBorders>
              <w:top w:val="single" w:sz="8" w:space="0" w:color="0D0D0D" w:themeColor="text1" w:themeTint="F2"/>
            </w:tcBorders>
          </w:tcPr>
          <w:p w14:paraId="6B1BFCEE" w14:textId="2BA4F506" w:rsidR="004932C9" w:rsidRDefault="004932C9" w:rsidP="004932C9">
            <w:r>
              <w:t>Very high in hijiki (</w:t>
            </w:r>
            <w:r>
              <w:rPr>
                <w:i/>
                <w:iCs/>
              </w:rPr>
              <w:t>Sargassum fusiforme</w:t>
            </w:r>
            <w:r>
              <w:t>); brown seaweeds most affected</w:t>
            </w:r>
          </w:p>
        </w:tc>
        <w:tc>
          <w:tcPr>
            <w:tcW w:w="1710" w:type="dxa"/>
            <w:tcBorders>
              <w:top w:val="single" w:sz="8" w:space="0" w:color="0D0D0D" w:themeColor="text1" w:themeTint="F2"/>
              <w:right w:val="single" w:sz="8" w:space="0" w:color="0D0D0D" w:themeColor="text1" w:themeTint="F2"/>
            </w:tcBorders>
          </w:tcPr>
          <w:p w14:paraId="2BC31493" w14:textId="6168A1B5" w:rsidR="004932C9" w:rsidRDefault="004932C9" w:rsidP="004932C9">
            <w:r>
              <w:t>Major</w:t>
            </w:r>
          </w:p>
        </w:tc>
      </w:tr>
      <w:tr w:rsidR="004932C9" w14:paraId="6583C647" w14:textId="77777777" w:rsidTr="00DF519F">
        <w:tc>
          <w:tcPr>
            <w:tcW w:w="1615" w:type="dxa"/>
            <w:tcBorders>
              <w:left w:val="single" w:sz="8" w:space="0" w:color="0D0D0D" w:themeColor="text1" w:themeTint="F2"/>
            </w:tcBorders>
          </w:tcPr>
          <w:p w14:paraId="6D25C619" w14:textId="57F944E6" w:rsidR="004932C9" w:rsidRDefault="004932C9" w:rsidP="004932C9">
            <w:r>
              <w:t>Cadmium (Cd)</w:t>
            </w:r>
          </w:p>
        </w:tc>
        <w:tc>
          <w:tcPr>
            <w:tcW w:w="1890" w:type="dxa"/>
          </w:tcPr>
          <w:p w14:paraId="5D2D90CF" w14:textId="2963351E" w:rsidR="004932C9" w:rsidRDefault="004932C9" w:rsidP="004932C9">
            <w:r>
              <w:t>Cd</w:t>
            </w:r>
          </w:p>
        </w:tc>
        <w:tc>
          <w:tcPr>
            <w:tcW w:w="2105" w:type="dxa"/>
          </w:tcPr>
          <w:p w14:paraId="38194C69" w14:textId="5279935B" w:rsidR="004932C9" w:rsidRDefault="004E61EF" w:rsidP="004932C9">
            <w:r>
              <w:t>Industrial runoff</w:t>
            </w:r>
          </w:p>
        </w:tc>
        <w:tc>
          <w:tcPr>
            <w:tcW w:w="2485" w:type="dxa"/>
          </w:tcPr>
          <w:p w14:paraId="3D95319C" w14:textId="7258A48B" w:rsidR="004932C9" w:rsidRDefault="004932C9" w:rsidP="004932C9">
            <w:r>
              <w:t>Often higher in red seaweeds; seasonal and geographic variation</w:t>
            </w:r>
          </w:p>
        </w:tc>
        <w:tc>
          <w:tcPr>
            <w:tcW w:w="1710" w:type="dxa"/>
            <w:tcBorders>
              <w:right w:val="single" w:sz="8" w:space="0" w:color="0D0D0D" w:themeColor="text1" w:themeTint="F2"/>
            </w:tcBorders>
          </w:tcPr>
          <w:p w14:paraId="1F9D02DE" w14:textId="4581FEC3" w:rsidR="004932C9" w:rsidRDefault="004932C9" w:rsidP="004932C9">
            <w:r>
              <w:t>Major</w:t>
            </w:r>
          </w:p>
        </w:tc>
      </w:tr>
      <w:tr w:rsidR="004932C9" w14:paraId="75D756EB" w14:textId="77777777" w:rsidTr="00DF519F">
        <w:tc>
          <w:tcPr>
            <w:tcW w:w="1615" w:type="dxa"/>
            <w:tcBorders>
              <w:left w:val="single" w:sz="8" w:space="0" w:color="0D0D0D" w:themeColor="text1" w:themeTint="F2"/>
            </w:tcBorders>
          </w:tcPr>
          <w:p w14:paraId="0B5A8483" w14:textId="3E43C6EA" w:rsidR="004932C9" w:rsidRDefault="004932C9" w:rsidP="004932C9">
            <w:r>
              <w:t>Lead (Pb)</w:t>
            </w:r>
          </w:p>
        </w:tc>
        <w:tc>
          <w:tcPr>
            <w:tcW w:w="1890" w:type="dxa"/>
          </w:tcPr>
          <w:p w14:paraId="2A9A4C97" w14:textId="48E557DA" w:rsidR="004932C9" w:rsidRDefault="004932C9" w:rsidP="004932C9">
            <w:r>
              <w:t>Pb</w:t>
            </w:r>
          </w:p>
        </w:tc>
        <w:tc>
          <w:tcPr>
            <w:tcW w:w="2105" w:type="dxa"/>
          </w:tcPr>
          <w:p w14:paraId="7C78FCC4" w14:textId="52B94373" w:rsidR="004932C9" w:rsidRDefault="004E61EF" w:rsidP="004932C9">
            <w:r>
              <w:t>Historical use in paint, petrol, and industry</w:t>
            </w:r>
          </w:p>
        </w:tc>
        <w:tc>
          <w:tcPr>
            <w:tcW w:w="2485" w:type="dxa"/>
          </w:tcPr>
          <w:p w14:paraId="4885E915" w14:textId="4DAD5FA2" w:rsidR="004932C9" w:rsidRDefault="004932C9" w:rsidP="004932C9">
            <w:r>
              <w:t>Varies by species, site, and season; higher near industrial areas</w:t>
            </w:r>
          </w:p>
        </w:tc>
        <w:tc>
          <w:tcPr>
            <w:tcW w:w="1710" w:type="dxa"/>
            <w:tcBorders>
              <w:right w:val="single" w:sz="8" w:space="0" w:color="0D0D0D" w:themeColor="text1" w:themeTint="F2"/>
            </w:tcBorders>
          </w:tcPr>
          <w:p w14:paraId="544BAA76" w14:textId="023ABEA6" w:rsidR="004932C9" w:rsidRDefault="004932C9" w:rsidP="004932C9">
            <w:r>
              <w:t>Moderate</w:t>
            </w:r>
          </w:p>
        </w:tc>
      </w:tr>
      <w:tr w:rsidR="004932C9" w14:paraId="0B6F7457" w14:textId="77777777" w:rsidTr="00DF519F">
        <w:tc>
          <w:tcPr>
            <w:tcW w:w="1615" w:type="dxa"/>
            <w:tcBorders>
              <w:left w:val="single" w:sz="8" w:space="0" w:color="0D0D0D" w:themeColor="text1" w:themeTint="F2"/>
              <w:bottom w:val="single" w:sz="8" w:space="0" w:color="0D0D0D" w:themeColor="text1" w:themeTint="F2"/>
            </w:tcBorders>
          </w:tcPr>
          <w:p w14:paraId="612E5E58" w14:textId="22E5F5D7" w:rsidR="004932C9" w:rsidRDefault="004932C9" w:rsidP="004932C9">
            <w:r>
              <w:t>Mercury (Hg)</w:t>
            </w:r>
          </w:p>
        </w:tc>
        <w:tc>
          <w:tcPr>
            <w:tcW w:w="1890" w:type="dxa"/>
            <w:tcBorders>
              <w:bottom w:val="single" w:sz="8" w:space="0" w:color="0D0D0D" w:themeColor="text1" w:themeTint="F2"/>
            </w:tcBorders>
          </w:tcPr>
          <w:p w14:paraId="4AE6423D" w14:textId="39F41E52" w:rsidR="004932C9" w:rsidRDefault="004932C9" w:rsidP="004932C9">
            <w:r>
              <w:t>Methylmercury</w:t>
            </w:r>
          </w:p>
        </w:tc>
        <w:tc>
          <w:tcPr>
            <w:tcW w:w="2105" w:type="dxa"/>
            <w:tcBorders>
              <w:bottom w:val="single" w:sz="8" w:space="0" w:color="0D0D0D" w:themeColor="text1" w:themeTint="F2"/>
            </w:tcBorders>
          </w:tcPr>
          <w:p w14:paraId="7E880A0E" w14:textId="11A62B2C" w:rsidR="004932C9" w:rsidRDefault="004E61EF" w:rsidP="004932C9">
            <w:r>
              <w:t>Natural and industrial sources, found in seafood</w:t>
            </w:r>
          </w:p>
        </w:tc>
        <w:tc>
          <w:tcPr>
            <w:tcW w:w="2485" w:type="dxa"/>
            <w:tcBorders>
              <w:bottom w:val="single" w:sz="8" w:space="0" w:color="0D0D0D" w:themeColor="text1" w:themeTint="F2"/>
            </w:tcBorders>
          </w:tcPr>
          <w:p w14:paraId="43F6AA81" w14:textId="0F3A9C80" w:rsidR="004932C9" w:rsidRDefault="004932C9" w:rsidP="004932C9">
            <w:r>
              <w:t>Higher in brown seaweeds; varies by region</w:t>
            </w:r>
          </w:p>
        </w:tc>
        <w:tc>
          <w:tcPr>
            <w:tcW w:w="1710" w:type="dxa"/>
            <w:tcBorders>
              <w:bottom w:val="single" w:sz="8" w:space="0" w:color="0D0D0D" w:themeColor="text1" w:themeTint="F2"/>
              <w:right w:val="single" w:sz="8" w:space="0" w:color="0D0D0D" w:themeColor="text1" w:themeTint="F2"/>
            </w:tcBorders>
          </w:tcPr>
          <w:p w14:paraId="68F7F499" w14:textId="57FAB920" w:rsidR="004932C9" w:rsidRDefault="004932C9" w:rsidP="004932C9">
            <w:r>
              <w:t>Moderate</w:t>
            </w:r>
          </w:p>
        </w:tc>
      </w:tr>
    </w:tbl>
    <w:p w14:paraId="47FAE315" w14:textId="013C2455" w:rsidR="004932C9" w:rsidRDefault="004E61EF" w:rsidP="00691E23">
      <w:pPr>
        <w:pStyle w:val="Heading3"/>
      </w:pPr>
      <w:bookmarkStart w:id="132" w:name="_Toc208503217"/>
      <w:r>
        <w:t>Safe Level of Heavy Metal Intake and Regulatory Threshold Criteria</w:t>
      </w:r>
      <w:bookmarkEnd w:id="132"/>
    </w:p>
    <w:p w14:paraId="5DA2BD74" w14:textId="3E8EB0B6" w:rsidR="004E61EF" w:rsidRDefault="004E61EF" w:rsidP="00CB6D27">
      <w:pPr>
        <w:spacing w:before="240"/>
      </w:pPr>
      <w:r>
        <w:t>Safe intake levels for heavy metals in food are typically established by regulatory agencies such as the WHO, EFSA, FDA, and national food safety authorities in individual countries. Table 7-3 provides an overview of regulatory action limits for heavy metals in seaweed available at the time of publication.</w:t>
      </w:r>
    </w:p>
    <w:p w14:paraId="474AE368" w14:textId="031E05C6" w:rsidR="004E61EF" w:rsidRDefault="004E61EF" w:rsidP="004E61EF">
      <w:r>
        <w:t>Because there are relatively few regulations specifically targeting individual seaweed species, Table 7-3 combines general limits set for seaweed with broader regulations that apply to similar food categories (e.g., fruits and vegetables). In the U.S., seaweed food safety planning often references seaweed-specific legislation developed by the European Union (Shaughnessy et al., 2023).</w:t>
      </w:r>
    </w:p>
    <w:p w14:paraId="19F1262C" w14:textId="62001C6D" w:rsidR="00D56467" w:rsidRDefault="004E61EF" w:rsidP="004E61EF">
      <w:pPr>
        <w:sectPr w:rsidR="00D56467" w:rsidSect="00B82556">
          <w:pgSz w:w="12240" w:h="15840"/>
          <w:pgMar w:top="1440" w:right="1440" w:bottom="1440" w:left="1440" w:header="720" w:footer="720" w:gutter="0"/>
          <w:pgNumType w:chapStyle="1"/>
          <w:cols w:space="720"/>
          <w:docGrid w:linePitch="360"/>
        </w:sectPr>
      </w:pPr>
      <w:r>
        <w:t xml:space="preserve">Additional </w:t>
      </w:r>
      <w:r w:rsidRPr="002D13BE">
        <w:t xml:space="preserve">Information on heavy metals detected in seaweed worldwide can be found in Table </w:t>
      </w:r>
      <w:r w:rsidR="002D13BE" w:rsidRPr="002D13BE">
        <w:t>B</w:t>
      </w:r>
      <w:r w:rsidRPr="002D13BE">
        <w:t xml:space="preserve">-1 in Appendix </w:t>
      </w:r>
      <w:r w:rsidR="00691E23" w:rsidRPr="002D13BE">
        <w:t>B</w:t>
      </w:r>
      <w:r w:rsidRPr="002D13BE">
        <w:t xml:space="preserve"> of this guidance</w:t>
      </w:r>
      <w:r w:rsidR="00045395">
        <w:t>.</w:t>
      </w:r>
    </w:p>
    <w:p w14:paraId="47D71854" w14:textId="45E8EB32" w:rsidR="00045395" w:rsidRDefault="00045395" w:rsidP="00C54E07">
      <w:pPr>
        <w:pStyle w:val="Caption"/>
      </w:pPr>
      <w:r w:rsidRPr="00045395">
        <w:rPr>
          <w:b/>
          <w:bCs/>
        </w:rPr>
        <w:lastRenderedPageBreak/>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7</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3</w:t>
      </w:r>
      <w:r w:rsidR="00896F22">
        <w:rPr>
          <w:b/>
          <w:bCs/>
        </w:rPr>
        <w:fldChar w:fldCharType="end"/>
      </w:r>
      <w:r w:rsidRPr="00045395">
        <w:rPr>
          <w:b/>
          <w:bCs/>
        </w:rPr>
        <w:t>:</w:t>
      </w:r>
      <w:r>
        <w:t xml:space="preserve"> </w:t>
      </w:r>
      <w:r w:rsidRPr="00B137AA">
        <w:t>Available regulatory standards on the allowable maximum level of heavy metals in seaweed (if available) and other food categories.</w:t>
      </w:r>
    </w:p>
    <w:tbl>
      <w:tblPr>
        <w:tblStyle w:val="TableGrid"/>
        <w:tblW w:w="14310" w:type="dxa"/>
        <w:tblInd w:w="-635" w:type="dxa"/>
        <w:tblCellMar>
          <w:top w:w="86" w:type="dxa"/>
          <w:left w:w="86" w:type="dxa"/>
          <w:bottom w:w="86" w:type="dxa"/>
          <w:right w:w="86" w:type="dxa"/>
        </w:tblCellMar>
        <w:tblLook w:val="04A0" w:firstRow="1" w:lastRow="0" w:firstColumn="1" w:lastColumn="0" w:noHBand="0" w:noVBand="1"/>
      </w:tblPr>
      <w:tblGrid>
        <w:gridCol w:w="1710"/>
        <w:gridCol w:w="1800"/>
        <w:gridCol w:w="2790"/>
        <w:gridCol w:w="1530"/>
        <w:gridCol w:w="1530"/>
        <w:gridCol w:w="2700"/>
        <w:gridCol w:w="2250"/>
      </w:tblGrid>
      <w:tr w:rsidR="000F6DC1" w14:paraId="01BA164F" w14:textId="77777777" w:rsidTr="00DF519F">
        <w:trPr>
          <w:tblHeader/>
        </w:trPr>
        <w:tc>
          <w:tcPr>
            <w:tcW w:w="1710" w:type="dxa"/>
            <w:tcBorders>
              <w:top w:val="single" w:sz="8" w:space="0" w:color="0D0D0D" w:themeColor="text1" w:themeTint="F2"/>
              <w:left w:val="single" w:sz="8" w:space="0" w:color="0D0D0D" w:themeColor="text1" w:themeTint="F2"/>
              <w:bottom w:val="single" w:sz="8" w:space="0" w:color="0D0D0D" w:themeColor="text1" w:themeTint="F2"/>
            </w:tcBorders>
            <w:shd w:val="clear" w:color="auto" w:fill="28666E"/>
            <w:vAlign w:val="center"/>
          </w:tcPr>
          <w:p w14:paraId="4CDBB07F" w14:textId="09C821C6" w:rsidR="00096105" w:rsidRPr="00893C28" w:rsidRDefault="00096105" w:rsidP="0054509C">
            <w:pPr>
              <w:rPr>
                <w:b/>
                <w:bCs/>
                <w:color w:val="FFFFFF" w:themeColor="background1"/>
              </w:rPr>
            </w:pPr>
            <w:r w:rsidRPr="00893C28">
              <w:rPr>
                <w:b/>
                <w:bCs/>
                <w:color w:val="FFFFFF" w:themeColor="background1"/>
              </w:rPr>
              <w:t>Heavy Metal</w:t>
            </w:r>
          </w:p>
        </w:tc>
        <w:tc>
          <w:tcPr>
            <w:tcW w:w="1800" w:type="dxa"/>
            <w:tcBorders>
              <w:top w:val="single" w:sz="8" w:space="0" w:color="0D0D0D" w:themeColor="text1" w:themeTint="F2"/>
              <w:bottom w:val="single" w:sz="8" w:space="0" w:color="0D0D0D" w:themeColor="text1" w:themeTint="F2"/>
            </w:tcBorders>
            <w:shd w:val="clear" w:color="auto" w:fill="28666E"/>
            <w:vAlign w:val="center"/>
          </w:tcPr>
          <w:p w14:paraId="230EC3D1" w14:textId="7D989A12" w:rsidR="000F6DC1" w:rsidRPr="00893C28" w:rsidRDefault="00096105" w:rsidP="0054509C">
            <w:pPr>
              <w:rPr>
                <w:b/>
                <w:bCs/>
                <w:color w:val="FFFFFF" w:themeColor="background1"/>
              </w:rPr>
            </w:pPr>
            <w:r w:rsidRPr="00893C28">
              <w:rPr>
                <w:b/>
                <w:bCs/>
                <w:color w:val="FFFFFF" w:themeColor="background1"/>
              </w:rPr>
              <w:t>United States</w:t>
            </w:r>
            <w:r w:rsidR="000F6DC1" w:rsidRPr="00893C28">
              <w:rPr>
                <w:b/>
                <w:bCs/>
                <w:color w:val="FFFFFF" w:themeColor="background1"/>
              </w:rPr>
              <w:t xml:space="preserve"> Standards</w:t>
            </w:r>
          </w:p>
        </w:tc>
        <w:tc>
          <w:tcPr>
            <w:tcW w:w="2790" w:type="dxa"/>
            <w:tcBorders>
              <w:top w:val="single" w:sz="8" w:space="0" w:color="0D0D0D" w:themeColor="text1" w:themeTint="F2"/>
              <w:bottom w:val="single" w:sz="8" w:space="0" w:color="0D0D0D" w:themeColor="text1" w:themeTint="F2"/>
            </w:tcBorders>
            <w:shd w:val="clear" w:color="auto" w:fill="28666E"/>
            <w:vAlign w:val="center"/>
          </w:tcPr>
          <w:p w14:paraId="087AEDF0" w14:textId="4360AB7E" w:rsidR="000F6DC1" w:rsidRPr="00893C28" w:rsidRDefault="00096105" w:rsidP="0054509C">
            <w:pPr>
              <w:rPr>
                <w:b/>
                <w:bCs/>
                <w:color w:val="FFFFFF" w:themeColor="background1"/>
              </w:rPr>
            </w:pPr>
            <w:r w:rsidRPr="00893C28">
              <w:rPr>
                <w:b/>
                <w:bCs/>
                <w:color w:val="FFFFFF" w:themeColor="background1"/>
              </w:rPr>
              <w:t>European Union</w:t>
            </w:r>
            <w:r w:rsidR="000F6DC1" w:rsidRPr="00893C28">
              <w:rPr>
                <w:b/>
                <w:bCs/>
                <w:color w:val="FFFFFF" w:themeColor="background1"/>
              </w:rPr>
              <w:t xml:space="preserve"> Standards</w:t>
            </w:r>
          </w:p>
        </w:tc>
        <w:tc>
          <w:tcPr>
            <w:tcW w:w="1530" w:type="dxa"/>
            <w:tcBorders>
              <w:top w:val="single" w:sz="8" w:space="0" w:color="0D0D0D" w:themeColor="text1" w:themeTint="F2"/>
              <w:bottom w:val="single" w:sz="8" w:space="0" w:color="0D0D0D" w:themeColor="text1" w:themeTint="F2"/>
            </w:tcBorders>
            <w:shd w:val="clear" w:color="auto" w:fill="28666E"/>
            <w:vAlign w:val="center"/>
          </w:tcPr>
          <w:p w14:paraId="6F06CED3" w14:textId="53250727" w:rsidR="00096105" w:rsidRPr="00893C28" w:rsidRDefault="00096105" w:rsidP="0054509C">
            <w:pPr>
              <w:rPr>
                <w:b/>
                <w:bCs/>
                <w:color w:val="FFFFFF" w:themeColor="background1"/>
              </w:rPr>
            </w:pPr>
            <w:r w:rsidRPr="00893C28">
              <w:rPr>
                <w:b/>
                <w:bCs/>
                <w:color w:val="FFFFFF" w:themeColor="background1"/>
              </w:rPr>
              <w:t>France</w:t>
            </w:r>
            <w:r w:rsidR="000F6DC1" w:rsidRPr="00893C28">
              <w:rPr>
                <w:b/>
                <w:bCs/>
                <w:color w:val="FFFFFF" w:themeColor="background1"/>
              </w:rPr>
              <w:t xml:space="preserve"> Standards</w:t>
            </w:r>
          </w:p>
        </w:tc>
        <w:tc>
          <w:tcPr>
            <w:tcW w:w="1530" w:type="dxa"/>
            <w:tcBorders>
              <w:top w:val="single" w:sz="8" w:space="0" w:color="0D0D0D" w:themeColor="text1" w:themeTint="F2"/>
              <w:bottom w:val="single" w:sz="8" w:space="0" w:color="0D0D0D" w:themeColor="text1" w:themeTint="F2"/>
            </w:tcBorders>
            <w:shd w:val="clear" w:color="auto" w:fill="28666E"/>
            <w:vAlign w:val="center"/>
          </w:tcPr>
          <w:p w14:paraId="73396F28" w14:textId="32CA6D7D" w:rsidR="00096105" w:rsidRPr="00893C28" w:rsidRDefault="00096105" w:rsidP="0054509C">
            <w:pPr>
              <w:rPr>
                <w:b/>
                <w:bCs/>
                <w:color w:val="FFFFFF" w:themeColor="background1"/>
              </w:rPr>
            </w:pPr>
            <w:r w:rsidRPr="00893C28">
              <w:rPr>
                <w:b/>
                <w:bCs/>
                <w:color w:val="FFFFFF" w:themeColor="background1"/>
              </w:rPr>
              <w:t>Taiwan</w:t>
            </w:r>
            <w:r w:rsidR="000F6DC1" w:rsidRPr="00893C28">
              <w:rPr>
                <w:b/>
                <w:bCs/>
                <w:color w:val="FFFFFF" w:themeColor="background1"/>
              </w:rPr>
              <w:t xml:space="preserve"> Standards</w:t>
            </w:r>
          </w:p>
        </w:tc>
        <w:tc>
          <w:tcPr>
            <w:tcW w:w="2700" w:type="dxa"/>
            <w:tcBorders>
              <w:top w:val="single" w:sz="8" w:space="0" w:color="0D0D0D" w:themeColor="text1" w:themeTint="F2"/>
              <w:bottom w:val="single" w:sz="8" w:space="0" w:color="0D0D0D" w:themeColor="text1" w:themeTint="F2"/>
            </w:tcBorders>
            <w:shd w:val="clear" w:color="auto" w:fill="28666E"/>
            <w:vAlign w:val="center"/>
          </w:tcPr>
          <w:p w14:paraId="7D6A5121" w14:textId="27B37FA2" w:rsidR="00096105" w:rsidRPr="00893C28" w:rsidRDefault="00096105" w:rsidP="0054509C">
            <w:pPr>
              <w:rPr>
                <w:b/>
                <w:bCs/>
                <w:color w:val="FFFFFF" w:themeColor="background1"/>
              </w:rPr>
            </w:pPr>
            <w:r w:rsidRPr="00893C28">
              <w:rPr>
                <w:b/>
                <w:bCs/>
                <w:color w:val="FFFFFF" w:themeColor="background1"/>
              </w:rPr>
              <w:t>China</w:t>
            </w:r>
            <w:r w:rsidR="000F6DC1" w:rsidRPr="00893C28">
              <w:rPr>
                <w:b/>
                <w:bCs/>
                <w:color w:val="FFFFFF" w:themeColor="background1"/>
              </w:rPr>
              <w:t xml:space="preserve"> Standards</w:t>
            </w:r>
          </w:p>
        </w:tc>
        <w:tc>
          <w:tcPr>
            <w:tcW w:w="2250" w:type="dxa"/>
            <w:tcBorders>
              <w:top w:val="single" w:sz="8" w:space="0" w:color="0D0D0D" w:themeColor="text1" w:themeTint="F2"/>
              <w:bottom w:val="single" w:sz="8" w:space="0" w:color="0D0D0D" w:themeColor="text1" w:themeTint="F2"/>
              <w:right w:val="single" w:sz="8" w:space="0" w:color="0D0D0D" w:themeColor="text1" w:themeTint="F2"/>
            </w:tcBorders>
            <w:shd w:val="clear" w:color="auto" w:fill="28666E"/>
          </w:tcPr>
          <w:p w14:paraId="72B76C13" w14:textId="1EDED761" w:rsidR="00096105" w:rsidRPr="00893C28" w:rsidRDefault="00096105" w:rsidP="004E61EF">
            <w:pPr>
              <w:rPr>
                <w:b/>
                <w:bCs/>
                <w:color w:val="FFFFFF" w:themeColor="background1"/>
              </w:rPr>
            </w:pPr>
            <w:r w:rsidRPr="00893C28">
              <w:rPr>
                <w:b/>
                <w:bCs/>
                <w:color w:val="FFFFFF" w:themeColor="background1"/>
              </w:rPr>
              <w:t>World Health Organization PTWI</w:t>
            </w:r>
            <w:r w:rsidR="00893C28">
              <w:rPr>
                <w:rStyle w:val="FootnoteReference"/>
                <w:b/>
                <w:bCs/>
                <w:color w:val="FFFFFF" w:themeColor="background1"/>
              </w:rPr>
              <w:footnoteReference w:customMarkFollows="1" w:id="26"/>
              <w:t>2</w:t>
            </w:r>
          </w:p>
        </w:tc>
      </w:tr>
      <w:tr w:rsidR="00096105" w14:paraId="44C4185F" w14:textId="77777777" w:rsidTr="00DF519F">
        <w:tc>
          <w:tcPr>
            <w:tcW w:w="1710" w:type="dxa"/>
            <w:tcBorders>
              <w:top w:val="single" w:sz="8" w:space="0" w:color="0D0D0D" w:themeColor="text1" w:themeTint="F2"/>
              <w:left w:val="single" w:sz="8" w:space="0" w:color="0D0D0D" w:themeColor="text1" w:themeTint="F2"/>
            </w:tcBorders>
          </w:tcPr>
          <w:p w14:paraId="5AF67C7C" w14:textId="4B391A3D" w:rsidR="00096105" w:rsidRDefault="00096105" w:rsidP="00893C28">
            <w:pPr>
              <w:spacing w:before="240"/>
            </w:pPr>
            <w:r>
              <w:t>Total Arsenic (AsT)</w:t>
            </w:r>
          </w:p>
        </w:tc>
        <w:tc>
          <w:tcPr>
            <w:tcW w:w="1800" w:type="dxa"/>
            <w:tcBorders>
              <w:top w:val="single" w:sz="8" w:space="0" w:color="0D0D0D" w:themeColor="text1" w:themeTint="F2"/>
            </w:tcBorders>
          </w:tcPr>
          <w:p w14:paraId="3D128C32" w14:textId="77340B43" w:rsidR="00096105" w:rsidRDefault="00096105" w:rsidP="00893C28">
            <w:pPr>
              <w:spacing w:before="240"/>
            </w:pPr>
            <w:r>
              <w:t>0.01 mg/kg for fruit and vegetables</w:t>
            </w:r>
            <w:r w:rsidR="00893C28">
              <w:rPr>
                <w:rStyle w:val="FootnoteReference"/>
              </w:rPr>
              <w:footnoteReference w:customMarkFollows="1" w:id="27"/>
              <w:t>1</w:t>
            </w:r>
          </w:p>
        </w:tc>
        <w:tc>
          <w:tcPr>
            <w:tcW w:w="2790" w:type="dxa"/>
            <w:tcBorders>
              <w:top w:val="single" w:sz="8" w:space="0" w:color="0D0D0D" w:themeColor="text1" w:themeTint="F2"/>
            </w:tcBorders>
          </w:tcPr>
          <w:p w14:paraId="0B994145" w14:textId="5452A25A" w:rsidR="00096105" w:rsidRPr="00096105" w:rsidRDefault="00096105" w:rsidP="00893C28">
            <w:pPr>
              <w:spacing w:before="240"/>
              <w:rPr>
                <w:i/>
                <w:iCs/>
              </w:rPr>
            </w:pPr>
            <w:r>
              <w:rPr>
                <w:i/>
                <w:iCs/>
              </w:rPr>
              <w:t>No Standard</w:t>
            </w:r>
          </w:p>
        </w:tc>
        <w:tc>
          <w:tcPr>
            <w:tcW w:w="1530" w:type="dxa"/>
            <w:tcBorders>
              <w:top w:val="single" w:sz="8" w:space="0" w:color="0D0D0D" w:themeColor="text1" w:themeTint="F2"/>
            </w:tcBorders>
          </w:tcPr>
          <w:p w14:paraId="1169A526" w14:textId="0A2C6DA3" w:rsidR="00096105" w:rsidRDefault="00096105" w:rsidP="00893C28">
            <w:pPr>
              <w:spacing w:before="240"/>
            </w:pPr>
            <w:r>
              <w:t>3.0 mg/kg</w:t>
            </w:r>
          </w:p>
        </w:tc>
        <w:tc>
          <w:tcPr>
            <w:tcW w:w="1530" w:type="dxa"/>
            <w:tcBorders>
              <w:top w:val="single" w:sz="8" w:space="0" w:color="0D0D0D" w:themeColor="text1" w:themeTint="F2"/>
            </w:tcBorders>
          </w:tcPr>
          <w:p w14:paraId="1CF1554F" w14:textId="715C30AA" w:rsidR="00096105" w:rsidRDefault="00096105" w:rsidP="00893C28">
            <w:pPr>
              <w:spacing w:before="240"/>
            </w:pPr>
            <w:r>
              <w:t>1.0 mg/kg</w:t>
            </w:r>
          </w:p>
        </w:tc>
        <w:tc>
          <w:tcPr>
            <w:tcW w:w="2700" w:type="dxa"/>
            <w:tcBorders>
              <w:top w:val="single" w:sz="8" w:space="0" w:color="0D0D0D" w:themeColor="text1" w:themeTint="F2"/>
            </w:tcBorders>
          </w:tcPr>
          <w:p w14:paraId="4758862B" w14:textId="77777777" w:rsidR="00096105" w:rsidRDefault="00096105" w:rsidP="00893C28">
            <w:pPr>
              <w:spacing w:before="240"/>
            </w:pPr>
            <w:r>
              <w:t>0.3 mg/kg dry weight for seaweed additive or supplements for infants</w:t>
            </w:r>
          </w:p>
          <w:p w14:paraId="71627B82" w14:textId="12216E5B" w:rsidR="00096105" w:rsidRDefault="00096105" w:rsidP="00893C28">
            <w:pPr>
              <w:spacing w:before="240"/>
            </w:pPr>
            <w:r>
              <w:t>0.5 mg/kg dry weight for aquatic seasoning containing seaweed</w:t>
            </w:r>
          </w:p>
        </w:tc>
        <w:tc>
          <w:tcPr>
            <w:tcW w:w="2250" w:type="dxa"/>
            <w:tcBorders>
              <w:top w:val="single" w:sz="8" w:space="0" w:color="0D0D0D" w:themeColor="text1" w:themeTint="F2"/>
              <w:right w:val="single" w:sz="8" w:space="0" w:color="0D0D0D" w:themeColor="text1" w:themeTint="F2"/>
            </w:tcBorders>
          </w:tcPr>
          <w:p w14:paraId="6A2912D3" w14:textId="726B6FDA" w:rsidR="00096105" w:rsidRPr="00096105" w:rsidRDefault="00096105" w:rsidP="00893C28">
            <w:pPr>
              <w:spacing w:before="240"/>
              <w:rPr>
                <w:i/>
                <w:iCs/>
              </w:rPr>
            </w:pPr>
            <w:r>
              <w:rPr>
                <w:i/>
                <w:iCs/>
              </w:rPr>
              <w:t>No Standard</w:t>
            </w:r>
          </w:p>
        </w:tc>
      </w:tr>
      <w:tr w:rsidR="00096105" w14:paraId="792EC2A1" w14:textId="77777777" w:rsidTr="00DF519F">
        <w:tc>
          <w:tcPr>
            <w:tcW w:w="1710" w:type="dxa"/>
            <w:tcBorders>
              <w:left w:val="single" w:sz="8" w:space="0" w:color="0D0D0D" w:themeColor="text1" w:themeTint="F2"/>
            </w:tcBorders>
          </w:tcPr>
          <w:p w14:paraId="31E7C7AF" w14:textId="49671B57" w:rsidR="00096105" w:rsidRDefault="00096105" w:rsidP="00893C28">
            <w:pPr>
              <w:spacing w:before="240"/>
            </w:pPr>
            <w:r>
              <w:t>Inorganic Arsenic (iAs)</w:t>
            </w:r>
          </w:p>
        </w:tc>
        <w:tc>
          <w:tcPr>
            <w:tcW w:w="1800" w:type="dxa"/>
          </w:tcPr>
          <w:p w14:paraId="23E44FE1" w14:textId="36124942" w:rsidR="00096105" w:rsidRPr="00096105" w:rsidRDefault="00096105" w:rsidP="00893C28">
            <w:pPr>
              <w:spacing w:before="240"/>
              <w:rPr>
                <w:i/>
                <w:iCs/>
              </w:rPr>
            </w:pPr>
            <w:r>
              <w:rPr>
                <w:i/>
                <w:iCs/>
              </w:rPr>
              <w:t>No Standard</w:t>
            </w:r>
          </w:p>
        </w:tc>
        <w:tc>
          <w:tcPr>
            <w:tcW w:w="2790" w:type="dxa"/>
          </w:tcPr>
          <w:p w14:paraId="46F4C0BD" w14:textId="1ADE3E59" w:rsidR="00096105" w:rsidRDefault="00096105" w:rsidP="00893C28">
            <w:pPr>
              <w:spacing w:before="240"/>
            </w:pPr>
            <w:r>
              <w:t>0.3 mg/kg dry matter (ANSES, 2020)</w:t>
            </w:r>
          </w:p>
          <w:p w14:paraId="7FCB135E" w14:textId="77777777" w:rsidR="00096105" w:rsidRDefault="00096105" w:rsidP="00893C28">
            <w:pPr>
              <w:spacing w:before="240"/>
            </w:pPr>
            <w:r>
              <w:t>0.2 mg/kg for rice (JECFA, 2017)</w:t>
            </w:r>
          </w:p>
          <w:p w14:paraId="08D93346" w14:textId="4F080B64" w:rsidR="00096105" w:rsidRDefault="00096105" w:rsidP="00893C28">
            <w:pPr>
              <w:spacing w:before="240"/>
            </w:pPr>
            <w:r>
              <w:t>0.5 mg/kg for aquatic food containing seaweed seasoning</w:t>
            </w:r>
          </w:p>
        </w:tc>
        <w:tc>
          <w:tcPr>
            <w:tcW w:w="1530" w:type="dxa"/>
          </w:tcPr>
          <w:p w14:paraId="0F90B151" w14:textId="2AA091D8" w:rsidR="00096105" w:rsidRDefault="00096105" w:rsidP="00893C28">
            <w:pPr>
              <w:spacing w:before="240"/>
            </w:pPr>
            <w:r>
              <w:t>1 mg/kg (FSANZ, 2004)</w:t>
            </w:r>
          </w:p>
        </w:tc>
        <w:tc>
          <w:tcPr>
            <w:tcW w:w="1530" w:type="dxa"/>
          </w:tcPr>
          <w:p w14:paraId="3CEF1C56" w14:textId="44C91586" w:rsidR="00096105" w:rsidRPr="00096105" w:rsidRDefault="00096105" w:rsidP="00893C28">
            <w:pPr>
              <w:spacing w:before="240"/>
              <w:rPr>
                <w:i/>
                <w:iCs/>
              </w:rPr>
            </w:pPr>
            <w:r>
              <w:rPr>
                <w:i/>
                <w:iCs/>
              </w:rPr>
              <w:t>No Standard</w:t>
            </w:r>
          </w:p>
        </w:tc>
        <w:tc>
          <w:tcPr>
            <w:tcW w:w="2700" w:type="dxa"/>
          </w:tcPr>
          <w:p w14:paraId="3C1ED3A7" w14:textId="666DB05A" w:rsidR="00096105" w:rsidRPr="00096105" w:rsidRDefault="00096105" w:rsidP="00893C28">
            <w:pPr>
              <w:spacing w:before="240"/>
              <w:rPr>
                <w:i/>
                <w:iCs/>
              </w:rPr>
            </w:pPr>
            <w:r>
              <w:rPr>
                <w:i/>
                <w:iCs/>
              </w:rPr>
              <w:t>No Standard</w:t>
            </w:r>
          </w:p>
        </w:tc>
        <w:tc>
          <w:tcPr>
            <w:tcW w:w="2250" w:type="dxa"/>
            <w:tcBorders>
              <w:right w:val="single" w:sz="8" w:space="0" w:color="0D0D0D" w:themeColor="text1" w:themeTint="F2"/>
            </w:tcBorders>
          </w:tcPr>
          <w:p w14:paraId="05AA814B" w14:textId="0382C839" w:rsidR="00096105" w:rsidRDefault="000D5A8C" w:rsidP="00893C28">
            <w:pPr>
              <w:spacing w:before="240"/>
            </w:pPr>
            <w:r>
              <w:t>0.015 mg/kg of body weight</w:t>
            </w:r>
          </w:p>
        </w:tc>
      </w:tr>
      <w:tr w:rsidR="00096105" w14:paraId="6ED3E400" w14:textId="77777777" w:rsidTr="00DF519F">
        <w:tc>
          <w:tcPr>
            <w:tcW w:w="1710" w:type="dxa"/>
            <w:tcBorders>
              <w:left w:val="single" w:sz="8" w:space="0" w:color="0D0D0D" w:themeColor="text1" w:themeTint="F2"/>
            </w:tcBorders>
          </w:tcPr>
          <w:p w14:paraId="11ED9706" w14:textId="7CFFC9BA" w:rsidR="00096105" w:rsidRDefault="00096105" w:rsidP="00893C28">
            <w:pPr>
              <w:spacing w:before="240"/>
            </w:pPr>
            <w:r>
              <w:lastRenderedPageBreak/>
              <w:t>Cadmium (Cd)</w:t>
            </w:r>
          </w:p>
        </w:tc>
        <w:tc>
          <w:tcPr>
            <w:tcW w:w="1800" w:type="dxa"/>
          </w:tcPr>
          <w:p w14:paraId="62C77075" w14:textId="3DF31FFA" w:rsidR="00096105" w:rsidRPr="00096105" w:rsidRDefault="00096105" w:rsidP="00893C28">
            <w:pPr>
              <w:spacing w:before="240"/>
              <w:rPr>
                <w:i/>
                <w:iCs/>
              </w:rPr>
            </w:pPr>
            <w:r>
              <w:rPr>
                <w:i/>
                <w:iCs/>
              </w:rPr>
              <w:t>No Standard</w:t>
            </w:r>
          </w:p>
        </w:tc>
        <w:tc>
          <w:tcPr>
            <w:tcW w:w="2790" w:type="dxa"/>
          </w:tcPr>
          <w:p w14:paraId="183229F3" w14:textId="58BB14DF" w:rsidR="00096105" w:rsidRDefault="00096105" w:rsidP="00893C28">
            <w:pPr>
              <w:spacing w:before="240"/>
            </w:pPr>
            <w:r>
              <w:t>0.5 mg/kg dry matter (ANSES, 2020)</w:t>
            </w:r>
          </w:p>
        </w:tc>
        <w:tc>
          <w:tcPr>
            <w:tcW w:w="1530" w:type="dxa"/>
          </w:tcPr>
          <w:p w14:paraId="578002E7" w14:textId="695C703D" w:rsidR="00096105" w:rsidRPr="00096105" w:rsidRDefault="00096105" w:rsidP="00893C28">
            <w:pPr>
              <w:spacing w:before="240"/>
              <w:rPr>
                <w:i/>
                <w:iCs/>
              </w:rPr>
            </w:pPr>
            <w:r>
              <w:rPr>
                <w:i/>
                <w:iCs/>
              </w:rPr>
              <w:t>No Standard</w:t>
            </w:r>
          </w:p>
        </w:tc>
        <w:tc>
          <w:tcPr>
            <w:tcW w:w="1530" w:type="dxa"/>
          </w:tcPr>
          <w:p w14:paraId="64FC3786" w14:textId="2D4ECAA1" w:rsidR="00096105" w:rsidRPr="00096105" w:rsidRDefault="00096105" w:rsidP="00893C28">
            <w:pPr>
              <w:spacing w:before="240"/>
            </w:pPr>
            <w:r w:rsidRPr="00096105">
              <w:t>1.0 mg/kg</w:t>
            </w:r>
          </w:p>
        </w:tc>
        <w:tc>
          <w:tcPr>
            <w:tcW w:w="2700" w:type="dxa"/>
          </w:tcPr>
          <w:p w14:paraId="3AEB0731" w14:textId="67978C23" w:rsidR="00096105" w:rsidRPr="00096105" w:rsidRDefault="00096105" w:rsidP="00893C28">
            <w:pPr>
              <w:spacing w:before="240"/>
              <w:rPr>
                <w:i/>
                <w:iCs/>
              </w:rPr>
            </w:pPr>
            <w:r>
              <w:rPr>
                <w:i/>
                <w:iCs/>
              </w:rPr>
              <w:t>No Standard</w:t>
            </w:r>
          </w:p>
        </w:tc>
        <w:tc>
          <w:tcPr>
            <w:tcW w:w="2250" w:type="dxa"/>
            <w:tcBorders>
              <w:right w:val="single" w:sz="8" w:space="0" w:color="0D0D0D" w:themeColor="text1" w:themeTint="F2"/>
            </w:tcBorders>
          </w:tcPr>
          <w:p w14:paraId="657FB1C6" w14:textId="124A2EB2" w:rsidR="00096105" w:rsidRDefault="00096105" w:rsidP="00893C28">
            <w:pPr>
              <w:spacing w:before="240"/>
            </w:pPr>
            <w:r>
              <w:t>0.007</w:t>
            </w:r>
            <w:r w:rsidR="000D5A8C">
              <w:t xml:space="preserve"> mg/kg of body weight</w:t>
            </w:r>
          </w:p>
        </w:tc>
      </w:tr>
      <w:tr w:rsidR="00096105" w14:paraId="600BFFD1" w14:textId="77777777" w:rsidTr="00DF519F">
        <w:tc>
          <w:tcPr>
            <w:tcW w:w="1710" w:type="dxa"/>
            <w:tcBorders>
              <w:left w:val="single" w:sz="8" w:space="0" w:color="0D0D0D" w:themeColor="text1" w:themeTint="F2"/>
            </w:tcBorders>
          </w:tcPr>
          <w:p w14:paraId="51DEC37E" w14:textId="254B7A56" w:rsidR="00096105" w:rsidRDefault="00096105" w:rsidP="00893C28">
            <w:pPr>
              <w:spacing w:before="240"/>
            </w:pPr>
            <w:r>
              <w:t>Total Mercury</w:t>
            </w:r>
          </w:p>
        </w:tc>
        <w:tc>
          <w:tcPr>
            <w:tcW w:w="1800" w:type="dxa"/>
          </w:tcPr>
          <w:p w14:paraId="69FE9D66" w14:textId="4BB7B1DB" w:rsidR="00096105" w:rsidRDefault="00096105" w:rsidP="00893C28">
            <w:pPr>
              <w:spacing w:before="240"/>
            </w:pPr>
            <w:r>
              <w:t>1.0 mg/kg (USFDA; EPA)</w:t>
            </w:r>
          </w:p>
        </w:tc>
        <w:tc>
          <w:tcPr>
            <w:tcW w:w="2790" w:type="dxa"/>
          </w:tcPr>
          <w:p w14:paraId="73F3287F" w14:textId="572D5E01" w:rsidR="00096105" w:rsidRDefault="00096105" w:rsidP="00893C28">
            <w:pPr>
              <w:spacing w:before="240"/>
            </w:pPr>
            <w:r>
              <w:t>0.1 mg/kg dry matter (ANSES, 2020)</w:t>
            </w:r>
          </w:p>
          <w:p w14:paraId="67E95015" w14:textId="2AB1D984" w:rsidR="00096105" w:rsidRPr="00096105" w:rsidRDefault="00096105" w:rsidP="00893C28">
            <w:pPr>
              <w:spacing w:before="240"/>
            </w:pPr>
            <w:r>
              <w:t>No more than 0.10 mg/kg wet weight for seaweed derived for supplements (Commission Regulation (EC) 1881/2006).</w:t>
            </w:r>
          </w:p>
        </w:tc>
        <w:tc>
          <w:tcPr>
            <w:tcW w:w="1530" w:type="dxa"/>
          </w:tcPr>
          <w:p w14:paraId="7CB22365" w14:textId="000D5BC4" w:rsidR="00096105" w:rsidRPr="00096105" w:rsidRDefault="00096105" w:rsidP="00893C28">
            <w:pPr>
              <w:spacing w:before="240"/>
              <w:rPr>
                <w:i/>
                <w:iCs/>
              </w:rPr>
            </w:pPr>
            <w:r>
              <w:rPr>
                <w:i/>
                <w:iCs/>
              </w:rPr>
              <w:t>No Standard</w:t>
            </w:r>
          </w:p>
        </w:tc>
        <w:tc>
          <w:tcPr>
            <w:tcW w:w="1530" w:type="dxa"/>
          </w:tcPr>
          <w:p w14:paraId="5904DDDD" w14:textId="2B188851" w:rsidR="00096105" w:rsidRPr="00096105" w:rsidRDefault="00096105" w:rsidP="00893C28">
            <w:pPr>
              <w:spacing w:before="240"/>
              <w:rPr>
                <w:i/>
                <w:iCs/>
              </w:rPr>
            </w:pPr>
            <w:r>
              <w:rPr>
                <w:i/>
                <w:iCs/>
              </w:rPr>
              <w:t>No Standard</w:t>
            </w:r>
          </w:p>
        </w:tc>
        <w:tc>
          <w:tcPr>
            <w:tcW w:w="2700" w:type="dxa"/>
          </w:tcPr>
          <w:p w14:paraId="2AC05103" w14:textId="77777777" w:rsidR="00096105" w:rsidRDefault="00096105" w:rsidP="00893C28">
            <w:pPr>
              <w:spacing w:before="240"/>
            </w:pPr>
          </w:p>
        </w:tc>
        <w:tc>
          <w:tcPr>
            <w:tcW w:w="2250" w:type="dxa"/>
            <w:tcBorders>
              <w:right w:val="single" w:sz="8" w:space="0" w:color="0D0D0D" w:themeColor="text1" w:themeTint="F2"/>
            </w:tcBorders>
          </w:tcPr>
          <w:p w14:paraId="2EF09EE2" w14:textId="3B73FBAE" w:rsidR="00096105" w:rsidRDefault="00096105" w:rsidP="00893C28">
            <w:pPr>
              <w:spacing w:before="240"/>
            </w:pPr>
            <w:r>
              <w:t>0.0016 mg/kg of body weight</w:t>
            </w:r>
          </w:p>
        </w:tc>
      </w:tr>
      <w:tr w:rsidR="00096105" w14:paraId="68216677" w14:textId="77777777" w:rsidTr="00DF519F">
        <w:tc>
          <w:tcPr>
            <w:tcW w:w="1710" w:type="dxa"/>
            <w:tcBorders>
              <w:left w:val="single" w:sz="8" w:space="0" w:color="0D0D0D" w:themeColor="text1" w:themeTint="F2"/>
            </w:tcBorders>
          </w:tcPr>
          <w:p w14:paraId="4761EC36" w14:textId="40CBF3BD" w:rsidR="00096105" w:rsidRDefault="00096105" w:rsidP="00893C28">
            <w:pPr>
              <w:spacing w:before="240"/>
            </w:pPr>
            <w:r>
              <w:t>Methylmercury</w:t>
            </w:r>
          </w:p>
        </w:tc>
        <w:tc>
          <w:tcPr>
            <w:tcW w:w="1800" w:type="dxa"/>
          </w:tcPr>
          <w:p w14:paraId="12AFB40E" w14:textId="4B10214C" w:rsidR="00096105" w:rsidRPr="00096105" w:rsidRDefault="00096105" w:rsidP="00893C28">
            <w:pPr>
              <w:spacing w:before="240"/>
              <w:rPr>
                <w:i/>
                <w:iCs/>
              </w:rPr>
            </w:pPr>
            <w:r>
              <w:rPr>
                <w:i/>
                <w:iCs/>
              </w:rPr>
              <w:t>No Standard</w:t>
            </w:r>
          </w:p>
        </w:tc>
        <w:tc>
          <w:tcPr>
            <w:tcW w:w="2790" w:type="dxa"/>
          </w:tcPr>
          <w:p w14:paraId="799B27CB" w14:textId="0A1DAF56" w:rsidR="00096105" w:rsidRDefault="00096105" w:rsidP="00893C28">
            <w:pPr>
              <w:spacing w:before="240"/>
            </w:pPr>
            <w:r>
              <w:t>0.01 mg/kg</w:t>
            </w:r>
          </w:p>
        </w:tc>
        <w:tc>
          <w:tcPr>
            <w:tcW w:w="1530" w:type="dxa"/>
          </w:tcPr>
          <w:p w14:paraId="5052851D" w14:textId="3734A2B1" w:rsidR="00096105" w:rsidRPr="00096105" w:rsidRDefault="00096105" w:rsidP="00893C28">
            <w:pPr>
              <w:spacing w:before="240"/>
              <w:rPr>
                <w:i/>
                <w:iCs/>
              </w:rPr>
            </w:pPr>
            <w:r>
              <w:rPr>
                <w:i/>
                <w:iCs/>
              </w:rPr>
              <w:t>No Standard</w:t>
            </w:r>
          </w:p>
        </w:tc>
        <w:tc>
          <w:tcPr>
            <w:tcW w:w="1530" w:type="dxa"/>
          </w:tcPr>
          <w:p w14:paraId="08C998CF" w14:textId="4D594126" w:rsidR="00096105" w:rsidRPr="00096105" w:rsidRDefault="00096105" w:rsidP="00893C28">
            <w:pPr>
              <w:spacing w:before="240"/>
              <w:rPr>
                <w:i/>
                <w:iCs/>
              </w:rPr>
            </w:pPr>
            <w:r>
              <w:rPr>
                <w:i/>
                <w:iCs/>
              </w:rPr>
              <w:t>No Standard</w:t>
            </w:r>
          </w:p>
        </w:tc>
        <w:tc>
          <w:tcPr>
            <w:tcW w:w="2700" w:type="dxa"/>
          </w:tcPr>
          <w:p w14:paraId="38F7E68F" w14:textId="205C451F" w:rsidR="00096105" w:rsidRPr="00096105" w:rsidRDefault="00096105" w:rsidP="00893C28">
            <w:pPr>
              <w:spacing w:before="240"/>
              <w:rPr>
                <w:i/>
                <w:iCs/>
              </w:rPr>
            </w:pPr>
            <w:r>
              <w:rPr>
                <w:i/>
                <w:iCs/>
              </w:rPr>
              <w:t>No Standard</w:t>
            </w:r>
          </w:p>
        </w:tc>
        <w:tc>
          <w:tcPr>
            <w:tcW w:w="2250" w:type="dxa"/>
            <w:tcBorders>
              <w:right w:val="single" w:sz="8" w:space="0" w:color="0D0D0D" w:themeColor="text1" w:themeTint="F2"/>
            </w:tcBorders>
          </w:tcPr>
          <w:p w14:paraId="1954DFFB" w14:textId="6677ED29" w:rsidR="00096105" w:rsidRPr="00096105" w:rsidRDefault="00096105" w:rsidP="00893C28">
            <w:pPr>
              <w:spacing w:before="240"/>
              <w:rPr>
                <w:i/>
                <w:iCs/>
              </w:rPr>
            </w:pPr>
            <w:r>
              <w:rPr>
                <w:i/>
                <w:iCs/>
              </w:rPr>
              <w:t>No Standard</w:t>
            </w:r>
          </w:p>
        </w:tc>
      </w:tr>
      <w:tr w:rsidR="00096105" w14:paraId="796D48F6" w14:textId="77777777" w:rsidTr="00DF519F">
        <w:tc>
          <w:tcPr>
            <w:tcW w:w="1710" w:type="dxa"/>
            <w:tcBorders>
              <w:left w:val="single" w:sz="8" w:space="0" w:color="0D0D0D" w:themeColor="text1" w:themeTint="F2"/>
              <w:bottom w:val="single" w:sz="8" w:space="0" w:color="0D0D0D" w:themeColor="text1" w:themeTint="F2"/>
            </w:tcBorders>
          </w:tcPr>
          <w:p w14:paraId="6464CB9B" w14:textId="62E24341" w:rsidR="00096105" w:rsidRDefault="00096105" w:rsidP="00893C28">
            <w:pPr>
              <w:spacing w:before="240"/>
            </w:pPr>
            <w:r>
              <w:t>Lead</w:t>
            </w:r>
          </w:p>
        </w:tc>
        <w:tc>
          <w:tcPr>
            <w:tcW w:w="1800" w:type="dxa"/>
            <w:tcBorders>
              <w:bottom w:val="single" w:sz="8" w:space="0" w:color="0D0D0D" w:themeColor="text1" w:themeTint="F2"/>
            </w:tcBorders>
          </w:tcPr>
          <w:p w14:paraId="09E3D420" w14:textId="3496DEB9" w:rsidR="00096105" w:rsidRDefault="00096105" w:rsidP="00893C28">
            <w:pPr>
              <w:spacing w:before="240"/>
            </w:pPr>
            <w:r>
              <w:t>0.01 mg/kg (USFDA)</w:t>
            </w:r>
          </w:p>
        </w:tc>
        <w:tc>
          <w:tcPr>
            <w:tcW w:w="2790" w:type="dxa"/>
            <w:tcBorders>
              <w:bottom w:val="single" w:sz="8" w:space="0" w:color="0D0D0D" w:themeColor="text1" w:themeTint="F2"/>
            </w:tcBorders>
          </w:tcPr>
          <w:p w14:paraId="044D88CD" w14:textId="224DCEC6" w:rsidR="00096105" w:rsidRDefault="00096105" w:rsidP="00893C28">
            <w:pPr>
              <w:spacing w:before="240"/>
            </w:pPr>
            <w:r>
              <w:t>5 mg/kg dry matter (ANSES, 2020)</w:t>
            </w:r>
          </w:p>
        </w:tc>
        <w:tc>
          <w:tcPr>
            <w:tcW w:w="1530" w:type="dxa"/>
            <w:tcBorders>
              <w:bottom w:val="single" w:sz="8" w:space="0" w:color="0D0D0D" w:themeColor="text1" w:themeTint="F2"/>
            </w:tcBorders>
          </w:tcPr>
          <w:p w14:paraId="2D85C44A" w14:textId="1C48E0C3" w:rsidR="00096105" w:rsidRPr="00096105" w:rsidRDefault="00096105" w:rsidP="00893C28">
            <w:pPr>
              <w:spacing w:before="240"/>
              <w:rPr>
                <w:i/>
                <w:iCs/>
              </w:rPr>
            </w:pPr>
            <w:r>
              <w:rPr>
                <w:i/>
                <w:iCs/>
              </w:rPr>
              <w:t>No Standard</w:t>
            </w:r>
          </w:p>
        </w:tc>
        <w:tc>
          <w:tcPr>
            <w:tcW w:w="1530" w:type="dxa"/>
            <w:tcBorders>
              <w:bottom w:val="single" w:sz="8" w:space="0" w:color="0D0D0D" w:themeColor="text1" w:themeTint="F2"/>
            </w:tcBorders>
          </w:tcPr>
          <w:p w14:paraId="7FC81DFA" w14:textId="7B6A4409" w:rsidR="00096105" w:rsidRPr="00096105" w:rsidRDefault="00096105" w:rsidP="00893C28">
            <w:pPr>
              <w:spacing w:before="240"/>
            </w:pPr>
            <w:r w:rsidRPr="00096105">
              <w:t>1.0 mg/kg</w:t>
            </w:r>
          </w:p>
        </w:tc>
        <w:tc>
          <w:tcPr>
            <w:tcW w:w="2700" w:type="dxa"/>
            <w:tcBorders>
              <w:bottom w:val="single" w:sz="8" w:space="0" w:color="0D0D0D" w:themeColor="text1" w:themeTint="F2"/>
            </w:tcBorders>
          </w:tcPr>
          <w:p w14:paraId="3A5B1FDC" w14:textId="77777777" w:rsidR="00096105" w:rsidRDefault="00096105" w:rsidP="00893C28">
            <w:pPr>
              <w:spacing w:before="240"/>
            </w:pPr>
            <w:r>
              <w:t>0.5 mg/kg wet weight for fresh seaweed</w:t>
            </w:r>
          </w:p>
          <w:p w14:paraId="3B32EA85" w14:textId="0592B7CA" w:rsidR="00096105" w:rsidRDefault="00096105" w:rsidP="00893C28">
            <w:pPr>
              <w:spacing w:before="240"/>
            </w:pPr>
            <w:r>
              <w:t>1.0 mg/kg dry weight for seaweed-based products</w:t>
            </w:r>
          </w:p>
        </w:tc>
        <w:tc>
          <w:tcPr>
            <w:tcW w:w="2250" w:type="dxa"/>
            <w:tcBorders>
              <w:bottom w:val="single" w:sz="8" w:space="0" w:color="0D0D0D" w:themeColor="text1" w:themeTint="F2"/>
              <w:right w:val="single" w:sz="8" w:space="0" w:color="0D0D0D" w:themeColor="text1" w:themeTint="F2"/>
            </w:tcBorders>
          </w:tcPr>
          <w:p w14:paraId="2B5BBCF8" w14:textId="65F6AA25" w:rsidR="00096105" w:rsidRDefault="00096105" w:rsidP="00893C28">
            <w:pPr>
              <w:spacing w:before="240"/>
            </w:pPr>
            <w:r>
              <w:t>0.025 mg/kg of body weight</w:t>
            </w:r>
          </w:p>
        </w:tc>
      </w:tr>
    </w:tbl>
    <w:p w14:paraId="38400555" w14:textId="77777777" w:rsidR="00D56467" w:rsidRDefault="00D56467" w:rsidP="004E61EF"/>
    <w:p w14:paraId="535233AF" w14:textId="77777777" w:rsidR="00D56467" w:rsidRDefault="00D56467" w:rsidP="004E61EF">
      <w:pPr>
        <w:sectPr w:rsidR="00D56467" w:rsidSect="00B82556">
          <w:footnotePr>
            <w:numFmt w:val="chicago"/>
          </w:footnotePr>
          <w:pgSz w:w="15840" w:h="12240" w:orient="landscape"/>
          <w:pgMar w:top="1440" w:right="1440" w:bottom="1440" w:left="1440" w:header="720" w:footer="720" w:gutter="0"/>
          <w:pgNumType w:chapStyle="1"/>
          <w:cols w:space="720"/>
          <w:docGrid w:linePitch="360"/>
        </w:sectPr>
      </w:pPr>
    </w:p>
    <w:p w14:paraId="75A49EA4" w14:textId="3372C23D" w:rsidR="004E61EF" w:rsidRDefault="00067DD9" w:rsidP="00691E23">
      <w:pPr>
        <w:pStyle w:val="Heading3"/>
      </w:pPr>
      <w:bookmarkStart w:id="133" w:name="_Toc208503218"/>
      <w:r>
        <w:lastRenderedPageBreak/>
        <w:t>California Proposition 65 Safe Harbor Levels for Heavy Metals</w:t>
      </w:r>
      <w:bookmarkEnd w:id="133"/>
    </w:p>
    <w:p w14:paraId="1846C1B6" w14:textId="472ECF80" w:rsidR="00067DD9" w:rsidRDefault="00067DD9" w:rsidP="00067DD9">
      <w:r>
        <w:t>Under California’s Proposition 65 (Safe Drinking Water and Toxic Enforcement Act of 1986), the Office of Environmental Health Hazard Assessment (OEHHA) establishes Safe Harbor Levels for chemicals known to cause cancer, birth defects, or other reproductive harm. These Safe Harbor Levels include:</w:t>
      </w:r>
    </w:p>
    <w:p w14:paraId="6D8222A7" w14:textId="10F9EB45" w:rsidR="00067DD9" w:rsidRDefault="00067DD9" w:rsidP="00846B8F">
      <w:pPr>
        <w:pStyle w:val="ListParagraph"/>
        <w:numPr>
          <w:ilvl w:val="0"/>
          <w:numId w:val="31"/>
        </w:numPr>
        <w:spacing w:before="240"/>
      </w:pPr>
      <w:r w:rsidRPr="00067DD9">
        <w:rPr>
          <w:b/>
          <w:bCs/>
        </w:rPr>
        <w:t>No Significant Risk Levels (NSRLs):</w:t>
      </w:r>
      <w:r>
        <w:t xml:space="preserve"> Exposure thresholds for carcinogens.</w:t>
      </w:r>
    </w:p>
    <w:p w14:paraId="7BB939C2" w14:textId="72A632B7" w:rsidR="00333A1E" w:rsidRPr="00333A1E" w:rsidRDefault="00067DD9" w:rsidP="00846B8F">
      <w:pPr>
        <w:pStyle w:val="ListParagraph"/>
        <w:numPr>
          <w:ilvl w:val="0"/>
          <w:numId w:val="31"/>
        </w:numPr>
        <w:spacing w:before="240"/>
      </w:pPr>
      <w:r w:rsidRPr="00067DD9">
        <w:rPr>
          <w:b/>
          <w:bCs/>
        </w:rPr>
        <w:t>Maximum Allowable Dose Levels (MADLs):</w:t>
      </w:r>
      <w:r>
        <w:t xml:space="preserve"> Exposure thresholds for reproductive toxicants.</w:t>
      </w:r>
    </w:p>
    <w:p w14:paraId="0AD2127A" w14:textId="006E6013" w:rsidR="00045395" w:rsidRDefault="00045395" w:rsidP="00C54E07">
      <w:pPr>
        <w:pStyle w:val="Caption"/>
      </w:pPr>
      <w:r w:rsidRPr="00045395">
        <w:rPr>
          <w:b/>
          <w:bCs/>
        </w:rPr>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7</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4</w:t>
      </w:r>
      <w:r w:rsidR="00896F22">
        <w:rPr>
          <w:b/>
          <w:bCs/>
        </w:rPr>
        <w:fldChar w:fldCharType="end"/>
      </w:r>
      <w:r>
        <w:t xml:space="preserve">: </w:t>
      </w:r>
      <w:r w:rsidRPr="00E07038">
        <w:t>No Significant Risk Levels (NRSLs) and Maximum Allowable Dose Levels (MADLs) for arsenic, cadmium, lead, and mercury.</w:t>
      </w:r>
    </w:p>
    <w:tbl>
      <w:tblPr>
        <w:tblStyle w:val="TableGrid"/>
        <w:tblW w:w="0" w:type="auto"/>
        <w:tblCellMar>
          <w:top w:w="86" w:type="dxa"/>
          <w:left w:w="86" w:type="dxa"/>
          <w:bottom w:w="86" w:type="dxa"/>
          <w:right w:w="86" w:type="dxa"/>
        </w:tblCellMar>
        <w:tblLook w:val="04A0" w:firstRow="1" w:lastRow="0" w:firstColumn="1" w:lastColumn="0" w:noHBand="0" w:noVBand="1"/>
      </w:tblPr>
      <w:tblGrid>
        <w:gridCol w:w="1795"/>
        <w:gridCol w:w="2520"/>
        <w:gridCol w:w="2160"/>
        <w:gridCol w:w="2160"/>
      </w:tblGrid>
      <w:tr w:rsidR="00067DD9" w14:paraId="6E87F5E3" w14:textId="77777777" w:rsidTr="00DF519F">
        <w:trPr>
          <w:trHeight w:val="467"/>
        </w:trPr>
        <w:tc>
          <w:tcPr>
            <w:tcW w:w="1795" w:type="dxa"/>
            <w:tcBorders>
              <w:top w:val="single" w:sz="8" w:space="0" w:color="0D0D0D" w:themeColor="text1" w:themeTint="F2"/>
              <w:left w:val="single" w:sz="8" w:space="0" w:color="0D0D0D" w:themeColor="text1" w:themeTint="F2"/>
              <w:bottom w:val="single" w:sz="8" w:space="0" w:color="0D0D0D" w:themeColor="text1" w:themeTint="F2"/>
            </w:tcBorders>
            <w:shd w:val="clear" w:color="auto" w:fill="28666E"/>
            <w:vAlign w:val="center"/>
          </w:tcPr>
          <w:p w14:paraId="25D7F274" w14:textId="2A8EB27F" w:rsidR="00067DD9" w:rsidRPr="00CB6D27" w:rsidRDefault="00067DD9" w:rsidP="0054509C">
            <w:pPr>
              <w:rPr>
                <w:b/>
                <w:bCs/>
                <w:color w:val="FFFFFF" w:themeColor="background1"/>
              </w:rPr>
            </w:pPr>
            <w:r w:rsidRPr="00CB6D27">
              <w:rPr>
                <w:b/>
                <w:bCs/>
                <w:color w:val="FFFFFF" w:themeColor="background1"/>
              </w:rPr>
              <w:t>Heavy Metal</w:t>
            </w:r>
          </w:p>
        </w:tc>
        <w:tc>
          <w:tcPr>
            <w:tcW w:w="2520" w:type="dxa"/>
            <w:tcBorders>
              <w:top w:val="single" w:sz="8" w:space="0" w:color="0D0D0D" w:themeColor="text1" w:themeTint="F2"/>
              <w:bottom w:val="single" w:sz="8" w:space="0" w:color="0D0D0D" w:themeColor="text1" w:themeTint="F2"/>
            </w:tcBorders>
            <w:shd w:val="clear" w:color="auto" w:fill="28666E"/>
            <w:vAlign w:val="center"/>
          </w:tcPr>
          <w:p w14:paraId="687D0FF3" w14:textId="3FBD8B17" w:rsidR="00067DD9" w:rsidRPr="00CB6D27" w:rsidRDefault="00067DD9" w:rsidP="0054509C">
            <w:pPr>
              <w:rPr>
                <w:b/>
                <w:bCs/>
                <w:color w:val="FFFFFF" w:themeColor="background1"/>
              </w:rPr>
            </w:pPr>
            <w:r w:rsidRPr="00CB6D27">
              <w:rPr>
                <w:b/>
                <w:bCs/>
                <w:color w:val="FFFFFF" w:themeColor="background1"/>
              </w:rPr>
              <w:t>Inorganic vs. Organic</w:t>
            </w:r>
          </w:p>
        </w:tc>
        <w:tc>
          <w:tcPr>
            <w:tcW w:w="2160" w:type="dxa"/>
            <w:tcBorders>
              <w:top w:val="single" w:sz="8" w:space="0" w:color="0D0D0D" w:themeColor="text1" w:themeTint="F2"/>
              <w:bottom w:val="single" w:sz="8" w:space="0" w:color="0D0D0D" w:themeColor="text1" w:themeTint="F2"/>
            </w:tcBorders>
            <w:shd w:val="clear" w:color="auto" w:fill="28666E"/>
            <w:vAlign w:val="center"/>
          </w:tcPr>
          <w:p w14:paraId="20D9C5E1" w14:textId="3D125E86" w:rsidR="00067DD9" w:rsidRPr="00CB6D27" w:rsidRDefault="00067DD9" w:rsidP="0054509C">
            <w:pPr>
              <w:rPr>
                <w:b/>
                <w:bCs/>
                <w:color w:val="FFFFFF" w:themeColor="background1"/>
              </w:rPr>
            </w:pPr>
            <w:r w:rsidRPr="00CB6D27">
              <w:rPr>
                <w:b/>
                <w:bCs/>
                <w:color w:val="FFFFFF" w:themeColor="background1"/>
              </w:rPr>
              <w:t>Safe Harbor Level</w:t>
            </w:r>
          </w:p>
        </w:tc>
        <w:tc>
          <w:tcPr>
            <w:tcW w:w="2160" w:type="dxa"/>
            <w:tcBorders>
              <w:top w:val="single" w:sz="8" w:space="0" w:color="0D0D0D" w:themeColor="text1" w:themeTint="F2"/>
              <w:bottom w:val="single" w:sz="8" w:space="0" w:color="0D0D0D" w:themeColor="text1" w:themeTint="F2"/>
              <w:right w:val="single" w:sz="8" w:space="0" w:color="0D0D0D" w:themeColor="text1" w:themeTint="F2"/>
            </w:tcBorders>
            <w:shd w:val="clear" w:color="auto" w:fill="28666E"/>
            <w:vAlign w:val="center"/>
          </w:tcPr>
          <w:p w14:paraId="5D891217" w14:textId="5E24B70A" w:rsidR="00067DD9" w:rsidRPr="00CB6D27" w:rsidRDefault="00067DD9" w:rsidP="0054509C">
            <w:pPr>
              <w:rPr>
                <w:b/>
                <w:bCs/>
                <w:color w:val="FFFFFF" w:themeColor="background1"/>
              </w:rPr>
            </w:pPr>
            <w:r w:rsidRPr="00CB6D27">
              <w:rPr>
                <w:b/>
                <w:bCs/>
                <w:color w:val="FFFFFF" w:themeColor="background1"/>
              </w:rPr>
              <w:t>Type (NSRL/MADL)</w:t>
            </w:r>
          </w:p>
        </w:tc>
      </w:tr>
      <w:tr w:rsidR="00067DD9" w14:paraId="4CF140D0" w14:textId="77777777" w:rsidTr="00DF519F">
        <w:tc>
          <w:tcPr>
            <w:tcW w:w="1795" w:type="dxa"/>
            <w:tcBorders>
              <w:top w:val="single" w:sz="8" w:space="0" w:color="0D0D0D" w:themeColor="text1" w:themeTint="F2"/>
              <w:left w:val="single" w:sz="8" w:space="0" w:color="0D0D0D" w:themeColor="text1" w:themeTint="F2"/>
            </w:tcBorders>
          </w:tcPr>
          <w:p w14:paraId="70F0F721" w14:textId="561C78B1" w:rsidR="00067DD9" w:rsidRDefault="00067DD9" w:rsidP="00067DD9">
            <w:r>
              <w:t>Arsenic (As)</w:t>
            </w:r>
          </w:p>
        </w:tc>
        <w:tc>
          <w:tcPr>
            <w:tcW w:w="2520" w:type="dxa"/>
            <w:tcBorders>
              <w:top w:val="single" w:sz="8" w:space="0" w:color="0D0D0D" w:themeColor="text1" w:themeTint="F2"/>
            </w:tcBorders>
          </w:tcPr>
          <w:p w14:paraId="67459BF4" w14:textId="502A759E" w:rsidR="00067DD9" w:rsidRDefault="00067DD9" w:rsidP="00067DD9">
            <w:r>
              <w:t>iAs &amp; Compounds</w:t>
            </w:r>
          </w:p>
        </w:tc>
        <w:tc>
          <w:tcPr>
            <w:tcW w:w="2160" w:type="dxa"/>
            <w:tcBorders>
              <w:top w:val="single" w:sz="8" w:space="0" w:color="0D0D0D" w:themeColor="text1" w:themeTint="F2"/>
            </w:tcBorders>
          </w:tcPr>
          <w:p w14:paraId="747CE04A" w14:textId="70DF80D5" w:rsidR="00067DD9" w:rsidRDefault="00333A1E" w:rsidP="00067DD9">
            <w:r w:rsidRPr="00333A1E">
              <w:t>0.001 µg/day</w:t>
            </w:r>
          </w:p>
        </w:tc>
        <w:tc>
          <w:tcPr>
            <w:tcW w:w="2160" w:type="dxa"/>
            <w:tcBorders>
              <w:top w:val="single" w:sz="8" w:space="0" w:color="0D0D0D" w:themeColor="text1" w:themeTint="F2"/>
              <w:right w:val="single" w:sz="8" w:space="0" w:color="0D0D0D" w:themeColor="text1" w:themeTint="F2"/>
            </w:tcBorders>
          </w:tcPr>
          <w:p w14:paraId="75B5725D" w14:textId="558A0C10" w:rsidR="00067DD9" w:rsidRDefault="00333A1E" w:rsidP="00067DD9">
            <w:r>
              <w:t>NSRL</w:t>
            </w:r>
          </w:p>
        </w:tc>
      </w:tr>
      <w:tr w:rsidR="00067DD9" w14:paraId="3E411708" w14:textId="77777777" w:rsidTr="00DF519F">
        <w:tc>
          <w:tcPr>
            <w:tcW w:w="1795" w:type="dxa"/>
            <w:tcBorders>
              <w:left w:val="single" w:sz="8" w:space="0" w:color="0D0D0D" w:themeColor="text1" w:themeTint="F2"/>
            </w:tcBorders>
          </w:tcPr>
          <w:p w14:paraId="5E503C1C" w14:textId="39C65C92" w:rsidR="00067DD9" w:rsidRDefault="00067DD9" w:rsidP="00067DD9">
            <w:r>
              <w:t>Cadmium (Cd)</w:t>
            </w:r>
          </w:p>
        </w:tc>
        <w:tc>
          <w:tcPr>
            <w:tcW w:w="2520" w:type="dxa"/>
          </w:tcPr>
          <w:p w14:paraId="471EE220" w14:textId="068D0280" w:rsidR="00067DD9" w:rsidRDefault="00067DD9" w:rsidP="00067DD9">
            <w:r>
              <w:t>Cd &amp; Cd Compounds</w:t>
            </w:r>
          </w:p>
        </w:tc>
        <w:tc>
          <w:tcPr>
            <w:tcW w:w="2160" w:type="dxa"/>
          </w:tcPr>
          <w:p w14:paraId="06D5CB4E" w14:textId="2DE360E5" w:rsidR="00067DD9" w:rsidRDefault="00333A1E" w:rsidP="00067DD9">
            <w:r w:rsidRPr="00333A1E">
              <w:t>0.2 µg/day</w:t>
            </w:r>
          </w:p>
        </w:tc>
        <w:tc>
          <w:tcPr>
            <w:tcW w:w="2160" w:type="dxa"/>
            <w:tcBorders>
              <w:right w:val="single" w:sz="8" w:space="0" w:color="0D0D0D" w:themeColor="text1" w:themeTint="F2"/>
            </w:tcBorders>
          </w:tcPr>
          <w:p w14:paraId="52E53578" w14:textId="0C4ACC1E" w:rsidR="00067DD9" w:rsidRDefault="00333A1E" w:rsidP="00067DD9">
            <w:r>
              <w:t>NSRL &amp; MADL</w:t>
            </w:r>
          </w:p>
        </w:tc>
      </w:tr>
      <w:tr w:rsidR="00067DD9" w14:paraId="7DBB5504" w14:textId="77777777" w:rsidTr="00DF519F">
        <w:tc>
          <w:tcPr>
            <w:tcW w:w="1795" w:type="dxa"/>
            <w:tcBorders>
              <w:left w:val="single" w:sz="8" w:space="0" w:color="0D0D0D" w:themeColor="text1" w:themeTint="F2"/>
            </w:tcBorders>
          </w:tcPr>
          <w:p w14:paraId="621D70F6" w14:textId="568B6624" w:rsidR="00067DD9" w:rsidRDefault="00067DD9" w:rsidP="00067DD9">
            <w:r>
              <w:t>Lead (Pb)</w:t>
            </w:r>
          </w:p>
        </w:tc>
        <w:tc>
          <w:tcPr>
            <w:tcW w:w="2520" w:type="dxa"/>
          </w:tcPr>
          <w:p w14:paraId="1E836C27" w14:textId="3D8392FB" w:rsidR="00067DD9" w:rsidRDefault="00067DD9" w:rsidP="00067DD9">
            <w:r>
              <w:t>Pb &amp; Pb Compounds</w:t>
            </w:r>
          </w:p>
        </w:tc>
        <w:tc>
          <w:tcPr>
            <w:tcW w:w="2160" w:type="dxa"/>
          </w:tcPr>
          <w:p w14:paraId="32D8E564" w14:textId="488A4551" w:rsidR="00067DD9" w:rsidRDefault="00333A1E" w:rsidP="00067DD9">
            <w:r w:rsidRPr="00333A1E">
              <w:t>15 µg/day</w:t>
            </w:r>
          </w:p>
        </w:tc>
        <w:tc>
          <w:tcPr>
            <w:tcW w:w="2160" w:type="dxa"/>
            <w:tcBorders>
              <w:right w:val="single" w:sz="8" w:space="0" w:color="0D0D0D" w:themeColor="text1" w:themeTint="F2"/>
            </w:tcBorders>
          </w:tcPr>
          <w:p w14:paraId="45E50345" w14:textId="6731F27A" w:rsidR="00067DD9" w:rsidRDefault="00333A1E" w:rsidP="00067DD9">
            <w:r>
              <w:t>NSRL</w:t>
            </w:r>
          </w:p>
        </w:tc>
      </w:tr>
      <w:tr w:rsidR="00067DD9" w14:paraId="156FF39F" w14:textId="77777777" w:rsidTr="00DF519F">
        <w:tc>
          <w:tcPr>
            <w:tcW w:w="1795" w:type="dxa"/>
            <w:tcBorders>
              <w:left w:val="single" w:sz="8" w:space="0" w:color="0D0D0D" w:themeColor="text1" w:themeTint="F2"/>
              <w:bottom w:val="single" w:sz="8" w:space="0" w:color="0D0D0D" w:themeColor="text1" w:themeTint="F2"/>
            </w:tcBorders>
          </w:tcPr>
          <w:p w14:paraId="16B96A53" w14:textId="09A57EC3" w:rsidR="00067DD9" w:rsidRDefault="00067DD9" w:rsidP="00067DD9">
            <w:r>
              <w:t>Mercury (Hg)</w:t>
            </w:r>
          </w:p>
        </w:tc>
        <w:tc>
          <w:tcPr>
            <w:tcW w:w="2520" w:type="dxa"/>
            <w:tcBorders>
              <w:bottom w:val="single" w:sz="8" w:space="0" w:color="0D0D0D" w:themeColor="text1" w:themeTint="F2"/>
            </w:tcBorders>
          </w:tcPr>
          <w:p w14:paraId="6230ACF8" w14:textId="1CBBB266" w:rsidR="00067DD9" w:rsidRDefault="00067DD9" w:rsidP="00067DD9">
            <w:r>
              <w:t>Methylmercury &amp; Hg Compounds</w:t>
            </w:r>
          </w:p>
        </w:tc>
        <w:tc>
          <w:tcPr>
            <w:tcW w:w="2160" w:type="dxa"/>
            <w:tcBorders>
              <w:bottom w:val="single" w:sz="8" w:space="0" w:color="0D0D0D" w:themeColor="text1" w:themeTint="F2"/>
            </w:tcBorders>
          </w:tcPr>
          <w:p w14:paraId="0068967E" w14:textId="7F2CD815" w:rsidR="00067DD9" w:rsidRDefault="00333A1E" w:rsidP="00067DD9">
            <w:r w:rsidRPr="00333A1E">
              <w:t>0.3 µg/day</w:t>
            </w:r>
          </w:p>
        </w:tc>
        <w:tc>
          <w:tcPr>
            <w:tcW w:w="2160" w:type="dxa"/>
            <w:tcBorders>
              <w:bottom w:val="single" w:sz="8" w:space="0" w:color="0D0D0D" w:themeColor="text1" w:themeTint="F2"/>
              <w:right w:val="single" w:sz="8" w:space="0" w:color="0D0D0D" w:themeColor="text1" w:themeTint="F2"/>
            </w:tcBorders>
          </w:tcPr>
          <w:p w14:paraId="4761FE92" w14:textId="6B9F0A16" w:rsidR="00067DD9" w:rsidRDefault="00333A1E" w:rsidP="00067DD9">
            <w:r>
              <w:t>NSRL &amp; MADL</w:t>
            </w:r>
          </w:p>
        </w:tc>
      </w:tr>
    </w:tbl>
    <w:p w14:paraId="2CD19220" w14:textId="097E5EB7" w:rsidR="00067DD9" w:rsidRDefault="00333A1E" w:rsidP="00846B8F">
      <w:pPr>
        <w:pStyle w:val="Heading2"/>
        <w:numPr>
          <w:ilvl w:val="1"/>
          <w:numId w:val="141"/>
        </w:numPr>
      </w:pPr>
      <w:bookmarkStart w:id="134" w:name="_Toc208503219"/>
      <w:r>
        <w:t>Pesticides</w:t>
      </w:r>
      <w:bookmarkEnd w:id="134"/>
    </w:p>
    <w:p w14:paraId="7CBE1499" w14:textId="77777777" w:rsidR="00333A1E" w:rsidRDefault="00333A1E" w:rsidP="00CB6D27">
      <w:pPr>
        <w:spacing w:before="240"/>
      </w:pPr>
      <w:r>
        <w:t>Pesticides are substances used to control, repel, or eliminate pests such as insects, weeds, and fungi. They include a wide range of chemical and biological compounds—such as organochlorines, organophosphates, carbamates, pyrethroids, and biological agents—each tailored to specific uses and target organisms.</w:t>
      </w:r>
    </w:p>
    <w:p w14:paraId="23292007" w14:textId="40C48052" w:rsidR="00333A1E" w:rsidRDefault="00333A1E" w:rsidP="00333A1E">
      <w:r>
        <w:t>Pesticides can enter marine environments through agricultural runoff or aquaculture operations. In agriculture, pesticides are applied during specific times in the growing season. This can lead to peak concentrations in fresh and coastal waters, particularly in spring after heavy rainfall or during flooding over short time frames (Carafa et al., 2007). In aquaculture, pesticides are sometimes used to address pest and disease issues, such as managing salmon lice (Garicia-Rodriquez et al., 2012).</w:t>
      </w:r>
    </w:p>
    <w:p w14:paraId="7BBE7C7D" w14:textId="3E209207" w:rsidR="00333A1E" w:rsidRDefault="00333A1E" w:rsidP="00846B8F">
      <w:pPr>
        <w:pStyle w:val="Heading3"/>
        <w:numPr>
          <w:ilvl w:val="2"/>
          <w:numId w:val="142"/>
        </w:numPr>
      </w:pPr>
      <w:bookmarkStart w:id="135" w:name="_Toc208503220"/>
      <w:r>
        <w:t>Types of Pesticides and Their Characteristics</w:t>
      </w:r>
      <w:bookmarkEnd w:id="135"/>
    </w:p>
    <w:p w14:paraId="55BAC058" w14:textId="1318DE4F" w:rsidR="00333A1E" w:rsidRDefault="00333A1E" w:rsidP="00CB6D27">
      <w:pPr>
        <w:spacing w:before="240"/>
      </w:pPr>
      <w:r>
        <w:t xml:space="preserve">Seaweed contamination may involve modern pesticides commonly used in agriculture and aquaculture such as organophosphates, carbamates, and pyrethroids (Garcia-Rodriquez et al., </w:t>
      </w:r>
      <w:r>
        <w:lastRenderedPageBreak/>
        <w:t>2012). These pesticides tend to be more water-soluble and break down faster than older classes like organochlorines. But they can still enter marine environments through agriculture runoff, aerial drift, or discharges from aquaculture, especially in nearshore growing areas.</w:t>
      </w:r>
    </w:p>
    <w:p w14:paraId="7871D066" w14:textId="1444DBC1" w:rsidR="00333A1E" w:rsidRDefault="00333A1E" w:rsidP="00333A1E">
      <w:r>
        <w:t>Older organochlorines—such as Dichlorodiphenyltricholoethane (DDT) and its metabolites Dichlorodiphenyldichloroethane (DDD) and Dichlorodiphenyldichloroethylene (DDE), as well as Hexochlorochyclohexane (HCH), Hexachlorobenzene (HCB), and cyclodienes—were widely used in the past and remain persistent in some environments. Although now banned or restricted in many countries, they remain in use in some regions, and their residues can persist in sediments and aquatic organisms due to their stability and tendency to bioaccumulate in lipid-rich tissues (Pavonie et al., 2003; Polat et al., 2017).</w:t>
      </w:r>
    </w:p>
    <w:p w14:paraId="4154D07E" w14:textId="77777777" w:rsidR="00333A1E" w:rsidRDefault="00333A1E" w:rsidP="00846B8F">
      <w:pPr>
        <w:pStyle w:val="Heading3"/>
        <w:numPr>
          <w:ilvl w:val="2"/>
          <w:numId w:val="142"/>
        </w:numPr>
      </w:pPr>
      <w:bookmarkStart w:id="136" w:name="_Toc208503221"/>
      <w:r>
        <w:t>Environmental Persistence and Accumulation in Seaweeds</w:t>
      </w:r>
      <w:bookmarkEnd w:id="136"/>
    </w:p>
    <w:p w14:paraId="6DCF39ED" w14:textId="7E34691D" w:rsidR="00333A1E" w:rsidRDefault="00333A1E" w:rsidP="00CB6D27">
      <w:pPr>
        <w:spacing w:before="240"/>
      </w:pPr>
      <w:r>
        <w:t>Organochlorines have high environmental persistence and bioconcentration potential. They accumulate in suspended particulate matter (SPM)—small solid particles in water—and sediments (Pavoni et al., 2003).</w:t>
      </w:r>
    </w:p>
    <w:p w14:paraId="41EE363A" w14:textId="77777777" w:rsidR="00333A1E" w:rsidRDefault="00333A1E" w:rsidP="00333A1E">
      <w:r>
        <w:t>Factors influencing organochlorine pesticide contamination in seaweed include:</w:t>
      </w:r>
    </w:p>
    <w:p w14:paraId="6AA33618" w14:textId="77777777" w:rsidR="00333A1E" w:rsidRDefault="00333A1E" w:rsidP="00846B8F">
      <w:pPr>
        <w:pStyle w:val="ListParagraph"/>
        <w:numPr>
          <w:ilvl w:val="0"/>
          <w:numId w:val="32"/>
        </w:numPr>
        <w:contextualSpacing w:val="0"/>
      </w:pPr>
      <w:r w:rsidRPr="00333A1E">
        <w:rPr>
          <w:b/>
          <w:bCs/>
        </w:rPr>
        <w:t>Morphology</w:t>
      </w:r>
      <w:r>
        <w:t>: Seaweeds with large surface areas and rough or mucilaginous textures (e.g., due to hairs, paraphyses, or epiphytic diatoms) can trap more SPM, increasing contaminant load (Pavoni et al, 2003).</w:t>
      </w:r>
    </w:p>
    <w:p w14:paraId="125F2D8F" w14:textId="0BA2000F" w:rsidR="00333A1E" w:rsidRDefault="00333A1E" w:rsidP="00846B8F">
      <w:pPr>
        <w:pStyle w:val="ListParagraph"/>
        <w:numPr>
          <w:ilvl w:val="0"/>
          <w:numId w:val="32"/>
        </w:numPr>
        <w:contextualSpacing w:val="0"/>
      </w:pPr>
      <w:r w:rsidRPr="00333A1E">
        <w:rPr>
          <w:b/>
          <w:bCs/>
        </w:rPr>
        <w:t>Life Cycle:</w:t>
      </w:r>
      <w:r>
        <w:t xml:space="preserve"> Perennial seaweeds such as </w:t>
      </w:r>
      <w:r w:rsidRPr="00333A1E">
        <w:rPr>
          <w:i/>
          <w:iCs/>
        </w:rPr>
        <w:t>Cystoseira</w:t>
      </w:r>
      <w:r>
        <w:t xml:space="preserve">, </w:t>
      </w:r>
      <w:r w:rsidRPr="00333A1E">
        <w:rPr>
          <w:i/>
          <w:iCs/>
        </w:rPr>
        <w:t>Fucus</w:t>
      </w:r>
      <w:r>
        <w:t xml:space="preserve">, and </w:t>
      </w:r>
      <w:r w:rsidRPr="00333A1E">
        <w:rPr>
          <w:i/>
          <w:iCs/>
        </w:rPr>
        <w:t>Gracilaria</w:t>
      </w:r>
      <w:r>
        <w:t xml:space="preserve"> accumulate more contaminants than short-lived ones, like </w:t>
      </w:r>
      <w:r w:rsidRPr="00333A1E">
        <w:rPr>
          <w:i/>
          <w:iCs/>
        </w:rPr>
        <w:t>Porphyra</w:t>
      </w:r>
      <w:r>
        <w:t xml:space="preserve">, </w:t>
      </w:r>
      <w:r w:rsidRPr="00333A1E">
        <w:rPr>
          <w:i/>
          <w:iCs/>
        </w:rPr>
        <w:t>Ulva</w:t>
      </w:r>
      <w:r>
        <w:t xml:space="preserve">, and </w:t>
      </w:r>
      <w:r w:rsidRPr="00333A1E">
        <w:rPr>
          <w:i/>
          <w:iCs/>
        </w:rPr>
        <w:t>Grateloupia</w:t>
      </w:r>
      <w:r>
        <w:t>, likely due to longer exposure (Pavoni et al., 2003).</w:t>
      </w:r>
    </w:p>
    <w:p w14:paraId="68637D92" w14:textId="619BA7F6" w:rsidR="00333A1E" w:rsidRDefault="00333A1E" w:rsidP="00846B8F">
      <w:pPr>
        <w:pStyle w:val="ListParagraph"/>
        <w:numPr>
          <w:ilvl w:val="0"/>
          <w:numId w:val="32"/>
        </w:numPr>
        <w:contextualSpacing w:val="0"/>
      </w:pPr>
      <w:r w:rsidRPr="00333A1E">
        <w:rPr>
          <w:b/>
          <w:bCs/>
        </w:rPr>
        <w:t>Lipid Content:</w:t>
      </w:r>
      <w:r>
        <w:t xml:space="preserve"> Seaweeds with higher lipid content, such as </w:t>
      </w:r>
      <w:r w:rsidRPr="00333A1E">
        <w:rPr>
          <w:i/>
          <w:iCs/>
        </w:rPr>
        <w:t>Undaria</w:t>
      </w:r>
      <w:r>
        <w:t xml:space="preserve"> (3.2% fat) compared to Ulva (O.6%), may retain more fat soluble (lipophilic) pesticides (Pavoni et al., 2003).</w:t>
      </w:r>
    </w:p>
    <w:p w14:paraId="4BD533D6" w14:textId="23507B6C" w:rsidR="00333A1E" w:rsidRDefault="00333A1E" w:rsidP="00846B8F">
      <w:pPr>
        <w:pStyle w:val="ListParagraph"/>
        <w:numPr>
          <w:ilvl w:val="0"/>
          <w:numId w:val="32"/>
        </w:numPr>
        <w:contextualSpacing w:val="0"/>
      </w:pPr>
      <w:r w:rsidRPr="00333A1E">
        <w:rPr>
          <w:b/>
          <w:bCs/>
        </w:rPr>
        <w:t>Water Column Position:</w:t>
      </w:r>
      <w:r>
        <w:t xml:space="preserve"> Seaweeds growing near or in contact with contaminated sediments are more likely to bioaccumulate sediment-associated contaminants (Pavoni et al., 2003).</w:t>
      </w:r>
    </w:p>
    <w:p w14:paraId="4D3284DD" w14:textId="2B877E61" w:rsidR="00333A1E" w:rsidRDefault="00333A1E" w:rsidP="00846B8F">
      <w:pPr>
        <w:pStyle w:val="Heading3"/>
        <w:numPr>
          <w:ilvl w:val="2"/>
          <w:numId w:val="142"/>
        </w:numPr>
      </w:pPr>
      <w:bookmarkStart w:id="137" w:name="_Toc208503222"/>
      <w:r>
        <w:t>Seasonal Dynamics</w:t>
      </w:r>
      <w:bookmarkEnd w:id="137"/>
    </w:p>
    <w:p w14:paraId="261FF03F" w14:textId="42BE07FC" w:rsidR="00333A1E" w:rsidRDefault="00333A1E" w:rsidP="00CB6D27">
      <w:pPr>
        <w:spacing w:before="240"/>
      </w:pPr>
      <w:r>
        <w:t xml:space="preserve">Organochlorine pesticide accumulation in seaweed often peaks during the reproductive (fruiting) season. During this time, many seaweeds increase fatty acid synthesis to support spore development, enhancing their affinity for fat-soluble pesticides. Structural changes in the thallus (Figure 1-1) during spore release may also increase surface area or alter surface properties, potentially increasing contact with contaminated particles in the surrounding environment </w:t>
      </w:r>
      <w:r>
        <w:lastRenderedPageBreak/>
        <w:t xml:space="preserve">(Pavoni et al., 1990; Pinto et al., 2014; </w:t>
      </w:r>
      <w:r w:rsidRPr="00333A1E">
        <w:t>Sundhar et al., 2020</w:t>
      </w:r>
      <w:r>
        <w:t>). This seasonal pattern may be useful for interpreting monitoring results, but it is not intended as a basis for control strategies.</w:t>
      </w:r>
    </w:p>
    <w:p w14:paraId="3250722F" w14:textId="77777777" w:rsidR="00333A1E" w:rsidRDefault="00333A1E" w:rsidP="00846B8F">
      <w:pPr>
        <w:pStyle w:val="Heading3"/>
        <w:numPr>
          <w:ilvl w:val="2"/>
          <w:numId w:val="142"/>
        </w:numPr>
      </w:pPr>
      <w:bookmarkStart w:id="138" w:name="_Toc208503223"/>
      <w:r>
        <w:t>Global Surveys and Site Specificity</w:t>
      </w:r>
      <w:bookmarkEnd w:id="138"/>
    </w:p>
    <w:p w14:paraId="533951FC" w14:textId="38C92959" w:rsidR="00333A1E" w:rsidRDefault="00333A1E" w:rsidP="00CB6D27">
      <w:pPr>
        <w:spacing w:before="240"/>
      </w:pPr>
      <w:r>
        <w:t>Pesticide contamination in seaweed has been documented worldwide, with results varying by regional pesticide use, environmental conditions, and proximity to sources of contamination (Table 7</w:t>
      </w:r>
      <w:r w:rsidR="002D13BE">
        <w:t>-</w:t>
      </w:r>
      <w:r>
        <w:t xml:space="preserve">3). Most studies report residue levels below established maximum residue limits (MRLs), particularly for modern pesticides. However, persistent organochlorines such as DDT, HCH, and endosulfan are still detected in elevated concentrations in some locations—especially in areas with historical use or insufficient regulation (El-Maradny et al., 2020; </w:t>
      </w:r>
      <w:r w:rsidRPr="00333A1E">
        <w:t>Sundhar et al., 2020</w:t>
      </w:r>
      <w:r>
        <w:t>).</w:t>
      </w:r>
    </w:p>
    <w:p w14:paraId="2B473EF0" w14:textId="5EDAF295" w:rsidR="00E5110E" w:rsidRDefault="00333A1E" w:rsidP="00045395">
      <w:r>
        <w:t>This variability underscores the need to assess local contamination risks—such as agriculture runoff, industrial discharge, and aquaculture activities—when assessing seaweed safety. While routine monitoring is not universally mandated, exporters and harvesters should consider risk-based residue testing, especially in areas with known contamination or ongoing pesticide use. Global surveys show that contamination is highly site-specific and strongly influenced by local agricultural and aquaculture practices (</w:t>
      </w:r>
      <w:r w:rsidRPr="00333A1E">
        <w:t>Banach et al., 2019</w:t>
      </w:r>
      <w:r>
        <w:t xml:space="preserve">; Carafa et al., 2007; El-Maradny et al., 2020; Garcia-Rodriguez et al., 2012; Hahn et al., 2022; </w:t>
      </w:r>
      <w:r w:rsidRPr="00333A1E">
        <w:t xml:space="preserve">Lee et al., 2024; </w:t>
      </w:r>
      <w:r>
        <w:t xml:space="preserve">Li et al., 2018; Pavoni et al., 2003; Polat et al., 2018; </w:t>
      </w:r>
      <w:r w:rsidRPr="00333A1E">
        <w:t>Qiu et al., 2017</w:t>
      </w:r>
      <w:r>
        <w:t>; Sundhar et al., 2020).These findings reinforce the need for targeted monitoring, particularly in areas affected by high agricultural runoff or industrial activities.</w:t>
      </w:r>
    </w:p>
    <w:p w14:paraId="10992CBA" w14:textId="77777777" w:rsidR="00E5110E" w:rsidRDefault="00E5110E">
      <w:r>
        <w:br w:type="page"/>
      </w:r>
    </w:p>
    <w:p w14:paraId="757DEF52" w14:textId="5EA26DF4" w:rsidR="00045395" w:rsidRDefault="00045395" w:rsidP="00C54E07">
      <w:pPr>
        <w:pStyle w:val="Caption"/>
      </w:pPr>
      <w:r w:rsidRPr="00045395">
        <w:rPr>
          <w:b/>
          <w:bCs/>
        </w:rPr>
        <w:lastRenderedPageBreak/>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7</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5</w:t>
      </w:r>
      <w:r w:rsidR="00896F22">
        <w:rPr>
          <w:b/>
          <w:bCs/>
        </w:rPr>
        <w:fldChar w:fldCharType="end"/>
      </w:r>
      <w:r w:rsidRPr="00045395">
        <w:rPr>
          <w:b/>
          <w:bCs/>
        </w:rPr>
        <w:t>:</w:t>
      </w:r>
      <w:r>
        <w:t xml:space="preserve"> </w:t>
      </w:r>
      <w:r w:rsidRPr="0077322A">
        <w:t>Global pesticide residues reported in seaweeds</w:t>
      </w:r>
      <w:r w:rsidR="00E5110E">
        <w:t>.</w:t>
      </w:r>
      <w:r w:rsidRPr="0077322A">
        <w:t xml:space="preserve"> </w:t>
      </w:r>
      <w:r w:rsidRPr="00045395">
        <w:rPr>
          <w:b/>
          <w:bCs/>
        </w:rPr>
        <w:t>DDT</w:t>
      </w:r>
      <w:r w:rsidRPr="0077322A">
        <w:t xml:space="preserve"> stands for Dichlorodiphenyltrichloroethane, </w:t>
      </w:r>
      <w:r w:rsidRPr="00045395">
        <w:rPr>
          <w:b/>
          <w:bCs/>
        </w:rPr>
        <w:t>HCH</w:t>
      </w:r>
      <w:r w:rsidRPr="0077322A">
        <w:t xml:space="preserve"> for Hexachlorocyclohexane, </w:t>
      </w:r>
      <w:r w:rsidRPr="00045395">
        <w:rPr>
          <w:b/>
          <w:bCs/>
        </w:rPr>
        <w:t>HCB</w:t>
      </w:r>
      <w:r w:rsidR="00E5110E">
        <w:t xml:space="preserve"> </w:t>
      </w:r>
      <w:r w:rsidRPr="0077322A">
        <w:t xml:space="preserve">for Hexachlorobenzene, and </w:t>
      </w:r>
      <w:r w:rsidRPr="00045395">
        <w:rPr>
          <w:b/>
          <w:bCs/>
        </w:rPr>
        <w:t>DDE</w:t>
      </w:r>
      <w:r w:rsidRPr="0077322A">
        <w:t xml:space="preserve"> for Dichlorodiphenyldichloroethylene.</w:t>
      </w:r>
    </w:p>
    <w:tbl>
      <w:tblPr>
        <w:tblStyle w:val="TableGrid"/>
        <w:tblW w:w="0" w:type="auto"/>
        <w:tblCellMar>
          <w:top w:w="43" w:type="dxa"/>
          <w:left w:w="43" w:type="dxa"/>
          <w:bottom w:w="43" w:type="dxa"/>
          <w:right w:w="43" w:type="dxa"/>
        </w:tblCellMar>
        <w:tblLook w:val="04A0" w:firstRow="1" w:lastRow="0" w:firstColumn="1" w:lastColumn="0" w:noHBand="0" w:noVBand="1"/>
      </w:tblPr>
      <w:tblGrid>
        <w:gridCol w:w="1344"/>
        <w:gridCol w:w="1798"/>
        <w:gridCol w:w="2159"/>
        <w:gridCol w:w="2267"/>
        <w:gridCol w:w="1772"/>
      </w:tblGrid>
      <w:tr w:rsidR="009D5681" w14:paraId="54E9305D" w14:textId="77777777" w:rsidTr="00DF519F">
        <w:trPr>
          <w:trHeight w:val="516"/>
        </w:trPr>
        <w:tc>
          <w:tcPr>
            <w:tcW w:w="1345" w:type="dxa"/>
            <w:tcBorders>
              <w:top w:val="single" w:sz="8" w:space="0" w:color="0D0D0D" w:themeColor="text1" w:themeTint="F2"/>
              <w:left w:val="single" w:sz="8" w:space="0" w:color="0D0D0D" w:themeColor="text1" w:themeTint="F2"/>
              <w:bottom w:val="single" w:sz="8" w:space="0" w:color="0D0D0D" w:themeColor="text1" w:themeTint="F2"/>
            </w:tcBorders>
            <w:shd w:val="clear" w:color="auto" w:fill="28666E"/>
            <w:vAlign w:val="center"/>
          </w:tcPr>
          <w:p w14:paraId="25459D40" w14:textId="52873B36" w:rsidR="009D5681" w:rsidRPr="00893C28" w:rsidRDefault="009D5681" w:rsidP="0054509C">
            <w:pPr>
              <w:rPr>
                <w:b/>
                <w:bCs/>
                <w:color w:val="FFFFFF" w:themeColor="background1"/>
              </w:rPr>
            </w:pPr>
            <w:r w:rsidRPr="00893C28">
              <w:rPr>
                <w:b/>
                <w:bCs/>
                <w:color w:val="FFFFFF" w:themeColor="background1"/>
              </w:rPr>
              <w:t>Location</w:t>
            </w:r>
          </w:p>
        </w:tc>
        <w:tc>
          <w:tcPr>
            <w:tcW w:w="1800" w:type="dxa"/>
            <w:tcBorders>
              <w:top w:val="single" w:sz="8" w:space="0" w:color="0D0D0D" w:themeColor="text1" w:themeTint="F2"/>
              <w:bottom w:val="single" w:sz="8" w:space="0" w:color="0D0D0D" w:themeColor="text1" w:themeTint="F2"/>
            </w:tcBorders>
            <w:shd w:val="clear" w:color="auto" w:fill="28666E"/>
            <w:vAlign w:val="center"/>
          </w:tcPr>
          <w:p w14:paraId="7AAE742B" w14:textId="75EA1DB5" w:rsidR="009D5681" w:rsidRPr="00893C28" w:rsidRDefault="009D5681" w:rsidP="0054509C">
            <w:pPr>
              <w:rPr>
                <w:b/>
                <w:bCs/>
                <w:color w:val="FFFFFF" w:themeColor="background1"/>
              </w:rPr>
            </w:pPr>
            <w:r w:rsidRPr="00893C28">
              <w:rPr>
                <w:b/>
                <w:bCs/>
                <w:color w:val="FFFFFF" w:themeColor="background1"/>
              </w:rPr>
              <w:t>Seaweed Types</w:t>
            </w:r>
          </w:p>
        </w:tc>
        <w:tc>
          <w:tcPr>
            <w:tcW w:w="2160" w:type="dxa"/>
            <w:tcBorders>
              <w:top w:val="single" w:sz="8" w:space="0" w:color="0D0D0D" w:themeColor="text1" w:themeTint="F2"/>
              <w:bottom w:val="single" w:sz="8" w:space="0" w:color="0D0D0D" w:themeColor="text1" w:themeTint="F2"/>
            </w:tcBorders>
            <w:shd w:val="clear" w:color="auto" w:fill="28666E"/>
            <w:vAlign w:val="center"/>
          </w:tcPr>
          <w:p w14:paraId="11AB803F" w14:textId="7126521C" w:rsidR="009D5681" w:rsidRPr="00893C28" w:rsidRDefault="009D5681" w:rsidP="0054509C">
            <w:pPr>
              <w:rPr>
                <w:b/>
                <w:bCs/>
                <w:color w:val="FFFFFF" w:themeColor="background1"/>
              </w:rPr>
            </w:pPr>
            <w:r w:rsidRPr="00893C28">
              <w:rPr>
                <w:b/>
                <w:bCs/>
                <w:color w:val="FFFFFF" w:themeColor="background1"/>
              </w:rPr>
              <w:t>Pesticides Detected</w:t>
            </w:r>
          </w:p>
        </w:tc>
        <w:tc>
          <w:tcPr>
            <w:tcW w:w="2270" w:type="dxa"/>
            <w:tcBorders>
              <w:top w:val="single" w:sz="8" w:space="0" w:color="0D0D0D" w:themeColor="text1" w:themeTint="F2"/>
              <w:bottom w:val="single" w:sz="8" w:space="0" w:color="0D0D0D" w:themeColor="text1" w:themeTint="F2"/>
            </w:tcBorders>
            <w:shd w:val="clear" w:color="auto" w:fill="28666E"/>
            <w:vAlign w:val="center"/>
          </w:tcPr>
          <w:p w14:paraId="7B63B6A4" w14:textId="5709174C" w:rsidR="009D5681" w:rsidRPr="00893C28" w:rsidRDefault="009D5681" w:rsidP="0054509C">
            <w:pPr>
              <w:rPr>
                <w:b/>
                <w:bCs/>
                <w:color w:val="FFFFFF" w:themeColor="background1"/>
              </w:rPr>
            </w:pPr>
            <w:r w:rsidRPr="00893C28">
              <w:rPr>
                <w:b/>
                <w:bCs/>
                <w:color w:val="FFFFFF" w:themeColor="background1"/>
              </w:rPr>
              <w:t>Notable Findings</w:t>
            </w:r>
          </w:p>
        </w:tc>
        <w:tc>
          <w:tcPr>
            <w:tcW w:w="1775" w:type="dxa"/>
            <w:tcBorders>
              <w:top w:val="single" w:sz="8" w:space="0" w:color="0D0D0D" w:themeColor="text1" w:themeTint="F2"/>
              <w:bottom w:val="single" w:sz="8" w:space="0" w:color="0D0D0D" w:themeColor="text1" w:themeTint="F2"/>
              <w:right w:val="single" w:sz="8" w:space="0" w:color="0D0D0D" w:themeColor="text1" w:themeTint="F2"/>
            </w:tcBorders>
            <w:shd w:val="clear" w:color="auto" w:fill="28666E"/>
            <w:vAlign w:val="center"/>
          </w:tcPr>
          <w:p w14:paraId="3B62B5E7" w14:textId="0C4B3F92" w:rsidR="009D5681" w:rsidRPr="00893C28" w:rsidRDefault="009D5681" w:rsidP="0054509C">
            <w:pPr>
              <w:rPr>
                <w:b/>
                <w:bCs/>
                <w:color w:val="FFFFFF" w:themeColor="background1"/>
              </w:rPr>
            </w:pPr>
            <w:r w:rsidRPr="00893C28">
              <w:rPr>
                <w:b/>
                <w:bCs/>
                <w:color w:val="FFFFFF" w:themeColor="background1"/>
              </w:rPr>
              <w:t>Reference</w:t>
            </w:r>
          </w:p>
        </w:tc>
      </w:tr>
      <w:tr w:rsidR="009D5681" w14:paraId="306D21E5" w14:textId="77777777" w:rsidTr="00DF519F">
        <w:tc>
          <w:tcPr>
            <w:tcW w:w="1345" w:type="dxa"/>
            <w:tcBorders>
              <w:top w:val="single" w:sz="8" w:space="0" w:color="0D0D0D" w:themeColor="text1" w:themeTint="F2"/>
              <w:left w:val="single" w:sz="8" w:space="0" w:color="0D0D0D" w:themeColor="text1" w:themeTint="F2"/>
            </w:tcBorders>
          </w:tcPr>
          <w:p w14:paraId="10F14AA3" w14:textId="639D4601" w:rsidR="009D5681" w:rsidRPr="000776DB" w:rsidRDefault="009D5681" w:rsidP="00333A1E">
            <w:r w:rsidRPr="000776DB">
              <w:t>Italy</w:t>
            </w:r>
          </w:p>
        </w:tc>
        <w:tc>
          <w:tcPr>
            <w:tcW w:w="1800" w:type="dxa"/>
            <w:tcBorders>
              <w:top w:val="single" w:sz="8" w:space="0" w:color="0D0D0D" w:themeColor="text1" w:themeTint="F2"/>
            </w:tcBorders>
          </w:tcPr>
          <w:p w14:paraId="13C90371" w14:textId="5A2411CC" w:rsidR="009D5681" w:rsidRPr="000776DB" w:rsidRDefault="006750D8" w:rsidP="00333A1E">
            <w:pPr>
              <w:rPr>
                <w:i/>
                <w:iCs/>
              </w:rPr>
            </w:pPr>
            <w:r w:rsidRPr="006750D8">
              <w:rPr>
                <w:i/>
                <w:iCs/>
              </w:rPr>
              <w:t>Ulva rigida</w:t>
            </w:r>
          </w:p>
        </w:tc>
        <w:tc>
          <w:tcPr>
            <w:tcW w:w="2160" w:type="dxa"/>
            <w:tcBorders>
              <w:top w:val="single" w:sz="8" w:space="0" w:color="0D0D0D" w:themeColor="text1" w:themeTint="F2"/>
            </w:tcBorders>
          </w:tcPr>
          <w:p w14:paraId="2195D0AE" w14:textId="0C6931A2" w:rsidR="009D5681" w:rsidRPr="000776DB" w:rsidRDefault="00532268" w:rsidP="00532268">
            <w:r w:rsidRPr="000776DB">
              <w:t>Herbicides and metabolites</w:t>
            </w:r>
          </w:p>
        </w:tc>
        <w:tc>
          <w:tcPr>
            <w:tcW w:w="2270" w:type="dxa"/>
            <w:tcBorders>
              <w:top w:val="single" w:sz="8" w:space="0" w:color="0D0D0D" w:themeColor="text1" w:themeTint="F2"/>
            </w:tcBorders>
          </w:tcPr>
          <w:p w14:paraId="0B7379C2" w14:textId="43E79B0C" w:rsidR="009D5681" w:rsidRPr="000776DB" w:rsidRDefault="00532268" w:rsidP="00333A1E">
            <w:r w:rsidRPr="000776DB">
              <w:t>Seasonal variation, influenced by agriculture</w:t>
            </w:r>
          </w:p>
        </w:tc>
        <w:tc>
          <w:tcPr>
            <w:tcW w:w="1775" w:type="dxa"/>
            <w:tcBorders>
              <w:top w:val="single" w:sz="8" w:space="0" w:color="0D0D0D" w:themeColor="text1" w:themeTint="F2"/>
              <w:right w:val="single" w:sz="8" w:space="0" w:color="0D0D0D" w:themeColor="text1" w:themeTint="F2"/>
            </w:tcBorders>
          </w:tcPr>
          <w:p w14:paraId="6812B315" w14:textId="13C169EE" w:rsidR="009D5681" w:rsidRPr="000776DB" w:rsidRDefault="00532268" w:rsidP="00333A1E">
            <w:r w:rsidRPr="000776DB">
              <w:t>Carafa et al., 2007</w:t>
            </w:r>
          </w:p>
        </w:tc>
      </w:tr>
      <w:tr w:rsidR="009D5681" w14:paraId="6FBCE27E" w14:textId="77777777" w:rsidTr="00DF519F">
        <w:tc>
          <w:tcPr>
            <w:tcW w:w="1345" w:type="dxa"/>
            <w:tcBorders>
              <w:left w:val="single" w:sz="8" w:space="0" w:color="0D0D0D" w:themeColor="text1" w:themeTint="F2"/>
            </w:tcBorders>
          </w:tcPr>
          <w:p w14:paraId="65BA0BEE" w14:textId="4B28F5B6" w:rsidR="009D5681" w:rsidRDefault="009D5681" w:rsidP="00333A1E">
            <w:r>
              <w:t>Lagoon or Venice, Italy</w:t>
            </w:r>
          </w:p>
        </w:tc>
        <w:tc>
          <w:tcPr>
            <w:tcW w:w="1800" w:type="dxa"/>
          </w:tcPr>
          <w:p w14:paraId="2D689D14" w14:textId="2BE85CFE" w:rsidR="009D5681" w:rsidRPr="00173FBA" w:rsidRDefault="00FD7141" w:rsidP="00333A1E">
            <w:pPr>
              <w:rPr>
                <w:i/>
                <w:iCs/>
                <w:lang w:val="es-ES"/>
              </w:rPr>
            </w:pPr>
            <w:r w:rsidRPr="00173FBA">
              <w:rPr>
                <w:i/>
                <w:iCs/>
                <w:lang w:val="es-ES"/>
              </w:rPr>
              <w:t>Ulva, Gracilaria, Porphyra, Graeloupia, Undaria, Fucus, Cystoseira</w:t>
            </w:r>
          </w:p>
        </w:tc>
        <w:tc>
          <w:tcPr>
            <w:tcW w:w="2160" w:type="dxa"/>
          </w:tcPr>
          <w:p w14:paraId="215EC629" w14:textId="0CD5752E" w:rsidR="009D5681" w:rsidRDefault="00532268" w:rsidP="00532268">
            <w:r w:rsidRPr="00532268">
              <w:t>Organochlorines (e.g., DDT, HCH, HCB)</w:t>
            </w:r>
          </w:p>
        </w:tc>
        <w:tc>
          <w:tcPr>
            <w:tcW w:w="2270" w:type="dxa"/>
          </w:tcPr>
          <w:p w14:paraId="4BE4C7B8" w14:textId="3273FE4F" w:rsidR="009D5681" w:rsidRDefault="00532268" w:rsidP="00333A1E">
            <w:r w:rsidRPr="00532268">
              <w:t>Levels &lt;5 ppb; legacy contamination observed</w:t>
            </w:r>
          </w:p>
        </w:tc>
        <w:tc>
          <w:tcPr>
            <w:tcW w:w="1775" w:type="dxa"/>
            <w:tcBorders>
              <w:right w:val="single" w:sz="8" w:space="0" w:color="0D0D0D" w:themeColor="text1" w:themeTint="F2"/>
            </w:tcBorders>
          </w:tcPr>
          <w:p w14:paraId="22CEB9DC" w14:textId="3D96A87C" w:rsidR="009D5681" w:rsidRDefault="00532268" w:rsidP="00333A1E">
            <w:r>
              <w:t>Pavoni et al., 2003</w:t>
            </w:r>
          </w:p>
        </w:tc>
      </w:tr>
      <w:tr w:rsidR="009D5681" w14:paraId="48A9590D" w14:textId="77777777" w:rsidTr="00DF519F">
        <w:tc>
          <w:tcPr>
            <w:tcW w:w="1345" w:type="dxa"/>
            <w:tcBorders>
              <w:left w:val="single" w:sz="8" w:space="0" w:color="0D0D0D" w:themeColor="text1" w:themeTint="F2"/>
            </w:tcBorders>
          </w:tcPr>
          <w:p w14:paraId="3C49F71B" w14:textId="302CE739" w:rsidR="009D5681" w:rsidRDefault="009D5681" w:rsidP="00333A1E">
            <w:r>
              <w:t>Iskenderun Bay, Turkey</w:t>
            </w:r>
          </w:p>
        </w:tc>
        <w:tc>
          <w:tcPr>
            <w:tcW w:w="1800" w:type="dxa"/>
          </w:tcPr>
          <w:p w14:paraId="7C99A00B" w14:textId="790FB7BE" w:rsidR="009D5681" w:rsidRPr="00173FBA" w:rsidRDefault="00FD7141" w:rsidP="00333A1E">
            <w:pPr>
              <w:rPr>
                <w:i/>
                <w:iCs/>
                <w:lang w:val="es-ES"/>
              </w:rPr>
            </w:pPr>
            <w:r w:rsidRPr="00173FBA">
              <w:rPr>
                <w:i/>
                <w:iCs/>
                <w:lang w:val="es-ES"/>
              </w:rPr>
              <w:t>Cystoseira, Jania rubens, Corallina elongata</w:t>
            </w:r>
          </w:p>
        </w:tc>
        <w:tc>
          <w:tcPr>
            <w:tcW w:w="2160" w:type="dxa"/>
          </w:tcPr>
          <w:p w14:paraId="2C9DD303" w14:textId="6958DE86" w:rsidR="009D5681" w:rsidRDefault="00532268" w:rsidP="00333A1E">
            <w:r w:rsidRPr="00532268">
              <w:t>Metribuzin DADK, Molinate, Pyrethrin I &amp; II</w:t>
            </w:r>
          </w:p>
        </w:tc>
        <w:tc>
          <w:tcPr>
            <w:tcW w:w="2270" w:type="dxa"/>
          </w:tcPr>
          <w:p w14:paraId="3DB4EE3C" w14:textId="080E03F9" w:rsidR="009D5681" w:rsidRDefault="00532268" w:rsidP="00333A1E">
            <w:r w:rsidRPr="00532268">
              <w:t>Detected modern pesticides, no organochlorines found</w:t>
            </w:r>
          </w:p>
        </w:tc>
        <w:tc>
          <w:tcPr>
            <w:tcW w:w="1775" w:type="dxa"/>
            <w:tcBorders>
              <w:right w:val="single" w:sz="8" w:space="0" w:color="0D0D0D" w:themeColor="text1" w:themeTint="F2"/>
            </w:tcBorders>
          </w:tcPr>
          <w:p w14:paraId="61244CF6" w14:textId="5AE00446" w:rsidR="009D5681" w:rsidRDefault="00532268" w:rsidP="00333A1E">
            <w:r>
              <w:t>Polat et al., 2018</w:t>
            </w:r>
          </w:p>
        </w:tc>
      </w:tr>
      <w:tr w:rsidR="009D5681" w14:paraId="4ED2C478" w14:textId="77777777" w:rsidTr="00DF519F">
        <w:tc>
          <w:tcPr>
            <w:tcW w:w="1345" w:type="dxa"/>
            <w:tcBorders>
              <w:left w:val="single" w:sz="8" w:space="0" w:color="0D0D0D" w:themeColor="text1" w:themeTint="F2"/>
            </w:tcBorders>
          </w:tcPr>
          <w:p w14:paraId="23CA1FD7" w14:textId="0B1EFF80" w:rsidR="009D5681" w:rsidRPr="00173FBA" w:rsidRDefault="009D5681" w:rsidP="00333A1E">
            <w:pPr>
              <w:rPr>
                <w:lang w:val="es-ES"/>
              </w:rPr>
            </w:pPr>
            <w:r w:rsidRPr="00173FBA">
              <w:rPr>
                <w:lang w:val="es-ES"/>
              </w:rPr>
              <w:t>Salish Sea, U.S.A.</w:t>
            </w:r>
          </w:p>
        </w:tc>
        <w:tc>
          <w:tcPr>
            <w:tcW w:w="1800" w:type="dxa"/>
          </w:tcPr>
          <w:p w14:paraId="1C3445F6" w14:textId="52BC3FB2" w:rsidR="009D5681" w:rsidRPr="00FD7141" w:rsidRDefault="00FD7141" w:rsidP="00333A1E">
            <w:pPr>
              <w:rPr>
                <w:i/>
                <w:iCs/>
              </w:rPr>
            </w:pPr>
            <w:r w:rsidRPr="00FD7141">
              <w:rPr>
                <w:i/>
                <w:iCs/>
              </w:rPr>
              <w:t>Fucus distichus, Fucus spiralis, Nereocystis luetkeana</w:t>
            </w:r>
          </w:p>
        </w:tc>
        <w:tc>
          <w:tcPr>
            <w:tcW w:w="2160" w:type="dxa"/>
          </w:tcPr>
          <w:p w14:paraId="1C6CB374" w14:textId="73FD27DF" w:rsidR="009D5681" w:rsidRDefault="00532268" w:rsidP="00333A1E">
            <w:r w:rsidRPr="00532268">
              <w:t>alpha-HCH, gamma-HCH, DDE, DDT</w:t>
            </w:r>
          </w:p>
        </w:tc>
        <w:tc>
          <w:tcPr>
            <w:tcW w:w="2270" w:type="dxa"/>
          </w:tcPr>
          <w:p w14:paraId="112D2EC1" w14:textId="4776689B" w:rsidR="009D5681" w:rsidRDefault="00532268" w:rsidP="00333A1E">
            <w:r w:rsidRPr="00532268">
              <w:t>Only 4 pesticides detected above LOQ, levels low</w:t>
            </w:r>
          </w:p>
        </w:tc>
        <w:tc>
          <w:tcPr>
            <w:tcW w:w="1775" w:type="dxa"/>
            <w:tcBorders>
              <w:right w:val="single" w:sz="8" w:space="0" w:color="0D0D0D" w:themeColor="text1" w:themeTint="F2"/>
            </w:tcBorders>
          </w:tcPr>
          <w:p w14:paraId="0D674BC7" w14:textId="35449F49" w:rsidR="009D5681" w:rsidRDefault="00532268" w:rsidP="00333A1E">
            <w:r>
              <w:t>Hahn et al., 2022</w:t>
            </w:r>
          </w:p>
        </w:tc>
      </w:tr>
      <w:tr w:rsidR="009D5681" w14:paraId="684E4EDD" w14:textId="77777777" w:rsidTr="00DF519F">
        <w:tc>
          <w:tcPr>
            <w:tcW w:w="1345" w:type="dxa"/>
            <w:tcBorders>
              <w:left w:val="single" w:sz="8" w:space="0" w:color="0D0D0D" w:themeColor="text1" w:themeTint="F2"/>
            </w:tcBorders>
          </w:tcPr>
          <w:p w14:paraId="06C80BC2" w14:textId="1C747877" w:rsidR="009D5681" w:rsidRDefault="009D5681" w:rsidP="00333A1E">
            <w:r>
              <w:t>Northwest Spain</w:t>
            </w:r>
          </w:p>
        </w:tc>
        <w:tc>
          <w:tcPr>
            <w:tcW w:w="1800" w:type="dxa"/>
          </w:tcPr>
          <w:p w14:paraId="4377D4FD" w14:textId="10A7005B" w:rsidR="009D5681" w:rsidRPr="00FD7141" w:rsidRDefault="00FD7141" w:rsidP="00333A1E">
            <w:pPr>
              <w:rPr>
                <w:i/>
                <w:iCs/>
              </w:rPr>
            </w:pPr>
            <w:r w:rsidRPr="00FD7141">
              <w:rPr>
                <w:i/>
                <w:iCs/>
              </w:rPr>
              <w:t xml:space="preserve">Ascophyllum nodosum, Fucus vesiculosus, </w:t>
            </w:r>
            <w:r>
              <w:t xml:space="preserve">and </w:t>
            </w:r>
            <w:r w:rsidRPr="00FD7141">
              <w:t>others</w:t>
            </w:r>
          </w:p>
        </w:tc>
        <w:tc>
          <w:tcPr>
            <w:tcW w:w="2160" w:type="dxa"/>
          </w:tcPr>
          <w:p w14:paraId="6732BAA2" w14:textId="3A724AB6" w:rsidR="009D5681" w:rsidRDefault="00532268" w:rsidP="00333A1E">
            <w:r w:rsidRPr="00532268">
              <w:t>Cypermethrin, Tetramethrin</w:t>
            </w:r>
          </w:p>
        </w:tc>
        <w:tc>
          <w:tcPr>
            <w:tcW w:w="2270" w:type="dxa"/>
          </w:tcPr>
          <w:p w14:paraId="202ED90E" w14:textId="54BDAC0C" w:rsidR="009D5681" w:rsidRDefault="00532268" w:rsidP="00333A1E">
            <w:r w:rsidRPr="00532268">
              <w:t>Traces found in wild and commercial samples, all &lt;EU MRLs</w:t>
            </w:r>
          </w:p>
        </w:tc>
        <w:tc>
          <w:tcPr>
            <w:tcW w:w="1775" w:type="dxa"/>
            <w:tcBorders>
              <w:right w:val="single" w:sz="8" w:space="0" w:color="0D0D0D" w:themeColor="text1" w:themeTint="F2"/>
            </w:tcBorders>
          </w:tcPr>
          <w:p w14:paraId="4049BFC2" w14:textId="7CAD0054" w:rsidR="009D5681" w:rsidRDefault="00532268" w:rsidP="00333A1E">
            <w:r>
              <w:t>Vargia-Rodriguez et al., 2012</w:t>
            </w:r>
          </w:p>
        </w:tc>
      </w:tr>
      <w:tr w:rsidR="009D5681" w14:paraId="5A83163A" w14:textId="77777777" w:rsidTr="00DF519F">
        <w:tc>
          <w:tcPr>
            <w:tcW w:w="1345" w:type="dxa"/>
            <w:tcBorders>
              <w:left w:val="single" w:sz="8" w:space="0" w:color="0D0D0D" w:themeColor="text1" w:themeTint="F2"/>
            </w:tcBorders>
          </w:tcPr>
          <w:p w14:paraId="1F3468E0" w14:textId="0E0A08C0" w:rsidR="009D5681" w:rsidRDefault="009D5681" w:rsidP="00333A1E">
            <w:r>
              <w:t>Abu Gir Bay, Egypt</w:t>
            </w:r>
          </w:p>
        </w:tc>
        <w:tc>
          <w:tcPr>
            <w:tcW w:w="1800" w:type="dxa"/>
          </w:tcPr>
          <w:p w14:paraId="38A82521" w14:textId="6683B5F4" w:rsidR="009D5681" w:rsidRDefault="00FD7141" w:rsidP="00333A1E">
            <w:r w:rsidRPr="00FD7141">
              <w:rPr>
                <w:i/>
                <w:iCs/>
              </w:rPr>
              <w:t>Janie</w:t>
            </w:r>
            <w:r w:rsidRPr="00FD7141">
              <w:t xml:space="preserve"> </w:t>
            </w:r>
            <w:r w:rsidRPr="00FD7141">
              <w:rPr>
                <w:i/>
                <w:iCs/>
              </w:rPr>
              <w:t>rubens</w:t>
            </w:r>
            <w:r w:rsidRPr="00FD7141">
              <w:t xml:space="preserve">, </w:t>
            </w:r>
            <w:r>
              <w:t xml:space="preserve">and </w:t>
            </w:r>
            <w:r w:rsidRPr="00FD7141">
              <w:t>others</w:t>
            </w:r>
          </w:p>
        </w:tc>
        <w:tc>
          <w:tcPr>
            <w:tcW w:w="2160" w:type="dxa"/>
          </w:tcPr>
          <w:p w14:paraId="25A52EF8" w14:textId="7F19D0BF" w:rsidR="009D5681" w:rsidRDefault="00532268" w:rsidP="00333A1E">
            <w:r w:rsidRPr="00532268">
              <w:t>Organochlorines</w:t>
            </w:r>
          </w:p>
        </w:tc>
        <w:tc>
          <w:tcPr>
            <w:tcW w:w="2270" w:type="dxa"/>
          </w:tcPr>
          <w:p w14:paraId="4D079A9D" w14:textId="0BEFF3C8" w:rsidR="009D5681" w:rsidRDefault="00532268" w:rsidP="00333A1E">
            <w:r w:rsidRPr="00532268">
              <w:t xml:space="preserve">Highest total OCP: 21.1 ppb in </w:t>
            </w:r>
            <w:r w:rsidRPr="00532268">
              <w:rPr>
                <w:i/>
                <w:iCs/>
              </w:rPr>
              <w:t>Janie</w:t>
            </w:r>
            <w:r w:rsidRPr="00532268">
              <w:t xml:space="preserve"> </w:t>
            </w:r>
            <w:r w:rsidRPr="00532268">
              <w:rPr>
                <w:i/>
                <w:iCs/>
              </w:rPr>
              <w:t>rubens</w:t>
            </w:r>
          </w:p>
        </w:tc>
        <w:tc>
          <w:tcPr>
            <w:tcW w:w="1775" w:type="dxa"/>
            <w:tcBorders>
              <w:right w:val="single" w:sz="8" w:space="0" w:color="0D0D0D" w:themeColor="text1" w:themeTint="F2"/>
            </w:tcBorders>
          </w:tcPr>
          <w:p w14:paraId="37C34D8E" w14:textId="5BA0C7BB" w:rsidR="009D5681" w:rsidRDefault="00532268" w:rsidP="00333A1E">
            <w:r>
              <w:t>El-Maradny et al., 2020</w:t>
            </w:r>
          </w:p>
        </w:tc>
      </w:tr>
      <w:tr w:rsidR="009D5681" w14:paraId="357C7472" w14:textId="77777777" w:rsidTr="00DF519F">
        <w:tc>
          <w:tcPr>
            <w:tcW w:w="1345" w:type="dxa"/>
            <w:tcBorders>
              <w:left w:val="single" w:sz="8" w:space="0" w:color="0D0D0D" w:themeColor="text1" w:themeTint="F2"/>
            </w:tcBorders>
          </w:tcPr>
          <w:p w14:paraId="71F8A082" w14:textId="27F7CE80" w:rsidR="009D5681" w:rsidRDefault="009D5681" w:rsidP="00333A1E">
            <w:r>
              <w:t>Gulf of Mannar, India</w:t>
            </w:r>
          </w:p>
        </w:tc>
        <w:tc>
          <w:tcPr>
            <w:tcW w:w="1800" w:type="dxa"/>
          </w:tcPr>
          <w:p w14:paraId="6A329B94" w14:textId="265354D5" w:rsidR="009D5681" w:rsidRPr="00FD7141" w:rsidRDefault="00FD7141" w:rsidP="00333A1E">
            <w:pPr>
              <w:rPr>
                <w:i/>
                <w:iCs/>
              </w:rPr>
            </w:pPr>
            <w:r w:rsidRPr="00FD7141">
              <w:rPr>
                <w:i/>
                <w:iCs/>
              </w:rPr>
              <w:t>Sargassum, Gracilaria, Ulva</w:t>
            </w:r>
          </w:p>
        </w:tc>
        <w:tc>
          <w:tcPr>
            <w:tcW w:w="2160" w:type="dxa"/>
          </w:tcPr>
          <w:p w14:paraId="32875C73" w14:textId="3A32FADD" w:rsidR="009D5681" w:rsidRDefault="00532268" w:rsidP="00333A1E">
            <w:r w:rsidRPr="00532268">
              <w:t>HCH, DDT, Endrin, Endosulfan</w:t>
            </w:r>
          </w:p>
        </w:tc>
        <w:tc>
          <w:tcPr>
            <w:tcW w:w="2270" w:type="dxa"/>
          </w:tcPr>
          <w:p w14:paraId="0DF27FE5" w14:textId="48472E49" w:rsidR="009D5681" w:rsidRDefault="00532268" w:rsidP="00333A1E">
            <w:r w:rsidRPr="00532268">
              <w:t>Several samples exceeded EU MRLs</w:t>
            </w:r>
          </w:p>
        </w:tc>
        <w:tc>
          <w:tcPr>
            <w:tcW w:w="1775" w:type="dxa"/>
            <w:tcBorders>
              <w:right w:val="single" w:sz="8" w:space="0" w:color="0D0D0D" w:themeColor="text1" w:themeTint="F2"/>
            </w:tcBorders>
          </w:tcPr>
          <w:p w14:paraId="2B213F0C" w14:textId="517AE821" w:rsidR="009D5681" w:rsidRDefault="00532268" w:rsidP="00333A1E">
            <w:r>
              <w:t>Sundhar et al., 2020</w:t>
            </w:r>
          </w:p>
        </w:tc>
      </w:tr>
      <w:tr w:rsidR="00FD7141" w14:paraId="2DD5A87D" w14:textId="77777777" w:rsidTr="00DF519F">
        <w:tc>
          <w:tcPr>
            <w:tcW w:w="1345" w:type="dxa"/>
            <w:tcBorders>
              <w:left w:val="single" w:sz="8" w:space="0" w:color="0D0D0D" w:themeColor="text1" w:themeTint="F2"/>
            </w:tcBorders>
          </w:tcPr>
          <w:p w14:paraId="12DD3709" w14:textId="55F920E0" w:rsidR="00FD7141" w:rsidRDefault="00FD7141" w:rsidP="00333A1E">
            <w:r>
              <w:t>South Korea</w:t>
            </w:r>
          </w:p>
        </w:tc>
        <w:tc>
          <w:tcPr>
            <w:tcW w:w="1800" w:type="dxa"/>
          </w:tcPr>
          <w:p w14:paraId="4B951DD9" w14:textId="082E1155" w:rsidR="00FD7141" w:rsidRDefault="00FD7141" w:rsidP="00333A1E">
            <w:r w:rsidRPr="00FD7141">
              <w:rPr>
                <w:i/>
                <w:iCs/>
              </w:rPr>
              <w:t>Sargassum</w:t>
            </w:r>
            <w:r w:rsidRPr="00FD7141">
              <w:t xml:space="preserve"> </w:t>
            </w:r>
            <w:r w:rsidRPr="00FD7141">
              <w:rPr>
                <w:i/>
                <w:iCs/>
              </w:rPr>
              <w:t>fusiforme</w:t>
            </w:r>
          </w:p>
        </w:tc>
        <w:tc>
          <w:tcPr>
            <w:tcW w:w="2160" w:type="dxa"/>
          </w:tcPr>
          <w:p w14:paraId="32A6F5E9" w14:textId="12A59730" w:rsidR="00FD7141" w:rsidRDefault="00532268" w:rsidP="00333A1E">
            <w:r w:rsidRPr="00532268">
              <w:t>Ametryn, Prometryn</w:t>
            </w:r>
          </w:p>
        </w:tc>
        <w:tc>
          <w:tcPr>
            <w:tcW w:w="2270" w:type="dxa"/>
          </w:tcPr>
          <w:p w14:paraId="4A34AA96" w14:textId="788A83DB" w:rsidR="00FD7141" w:rsidRDefault="00532268" w:rsidP="00333A1E">
            <w:r w:rsidRPr="00532268">
              <w:t>Detected in 1 of 20 samples; within South Korean MRLs</w:t>
            </w:r>
          </w:p>
        </w:tc>
        <w:tc>
          <w:tcPr>
            <w:tcW w:w="1775" w:type="dxa"/>
            <w:tcBorders>
              <w:right w:val="single" w:sz="8" w:space="0" w:color="0D0D0D" w:themeColor="text1" w:themeTint="F2"/>
            </w:tcBorders>
          </w:tcPr>
          <w:p w14:paraId="61810625" w14:textId="6ED7EFA8" w:rsidR="00FD7141" w:rsidRDefault="00532268" w:rsidP="00333A1E">
            <w:r>
              <w:t>Lee et al., 2024</w:t>
            </w:r>
          </w:p>
        </w:tc>
      </w:tr>
      <w:tr w:rsidR="00FD7141" w14:paraId="21B16460" w14:textId="77777777" w:rsidTr="00DF519F">
        <w:tc>
          <w:tcPr>
            <w:tcW w:w="1345" w:type="dxa"/>
            <w:tcBorders>
              <w:left w:val="single" w:sz="8" w:space="0" w:color="0D0D0D" w:themeColor="text1" w:themeTint="F2"/>
            </w:tcBorders>
          </w:tcPr>
          <w:p w14:paraId="78AD7E3A" w14:textId="263BCCFB" w:rsidR="00FD7141" w:rsidRDefault="00FD7141" w:rsidP="00333A1E">
            <w:r>
              <w:t>South China</w:t>
            </w:r>
          </w:p>
        </w:tc>
        <w:tc>
          <w:tcPr>
            <w:tcW w:w="1800" w:type="dxa"/>
          </w:tcPr>
          <w:p w14:paraId="32D06777" w14:textId="3E0D0251" w:rsidR="00FD7141" w:rsidRDefault="00FD7141" w:rsidP="00333A1E">
            <w:r w:rsidRPr="00FD7141">
              <w:rPr>
                <w:i/>
                <w:iCs/>
              </w:rPr>
              <w:t>Ulva</w:t>
            </w:r>
            <w:r w:rsidRPr="00FD7141">
              <w:t xml:space="preserve"> </w:t>
            </w:r>
            <w:r w:rsidRPr="00FD7141">
              <w:rPr>
                <w:i/>
                <w:iCs/>
              </w:rPr>
              <w:t>lactuca</w:t>
            </w:r>
          </w:p>
        </w:tc>
        <w:tc>
          <w:tcPr>
            <w:tcW w:w="2160" w:type="dxa"/>
          </w:tcPr>
          <w:p w14:paraId="001E0565" w14:textId="253E6A58" w:rsidR="00FD7141" w:rsidRDefault="00532268" w:rsidP="00333A1E">
            <w:r w:rsidRPr="00532268">
              <w:t>DDTs, HCHs</w:t>
            </w:r>
          </w:p>
        </w:tc>
        <w:tc>
          <w:tcPr>
            <w:tcW w:w="2270" w:type="dxa"/>
          </w:tcPr>
          <w:p w14:paraId="1AC199E8" w14:textId="3664E555" w:rsidR="00FD7141" w:rsidRDefault="00532268" w:rsidP="00333A1E">
            <w:r w:rsidRPr="00532268">
              <w:t>Detected at 8.4-33.1 ppb; lower than in phytoplankton</w:t>
            </w:r>
          </w:p>
        </w:tc>
        <w:tc>
          <w:tcPr>
            <w:tcW w:w="1775" w:type="dxa"/>
            <w:tcBorders>
              <w:right w:val="single" w:sz="8" w:space="0" w:color="0D0D0D" w:themeColor="text1" w:themeTint="F2"/>
            </w:tcBorders>
          </w:tcPr>
          <w:p w14:paraId="103A2530" w14:textId="0E25F005" w:rsidR="00FD7141" w:rsidRDefault="00532268" w:rsidP="00333A1E">
            <w:r>
              <w:t>Qui et al., 2017</w:t>
            </w:r>
          </w:p>
        </w:tc>
      </w:tr>
      <w:tr w:rsidR="00FD7141" w14:paraId="712969E8" w14:textId="77777777" w:rsidTr="00DF519F">
        <w:tc>
          <w:tcPr>
            <w:tcW w:w="1345" w:type="dxa"/>
            <w:tcBorders>
              <w:left w:val="single" w:sz="8" w:space="0" w:color="0D0D0D" w:themeColor="text1" w:themeTint="F2"/>
              <w:bottom w:val="single" w:sz="8" w:space="0" w:color="0D0D0D" w:themeColor="text1" w:themeTint="F2"/>
            </w:tcBorders>
          </w:tcPr>
          <w:p w14:paraId="2D648AB9" w14:textId="0DD6B136" w:rsidR="00FD7141" w:rsidRDefault="00FD7141" w:rsidP="00333A1E">
            <w:r>
              <w:t>Yellow Sea, China</w:t>
            </w:r>
          </w:p>
        </w:tc>
        <w:tc>
          <w:tcPr>
            <w:tcW w:w="1800" w:type="dxa"/>
            <w:tcBorders>
              <w:bottom w:val="single" w:sz="8" w:space="0" w:color="0D0D0D" w:themeColor="text1" w:themeTint="F2"/>
            </w:tcBorders>
          </w:tcPr>
          <w:p w14:paraId="052A9881" w14:textId="0D146D0F" w:rsidR="00FD7141" w:rsidRDefault="00FD7141" w:rsidP="00333A1E">
            <w:r w:rsidRPr="00FD7141">
              <w:rPr>
                <w:i/>
                <w:iCs/>
              </w:rPr>
              <w:t>Ulva</w:t>
            </w:r>
            <w:r w:rsidRPr="00FD7141">
              <w:t xml:space="preserve"> </w:t>
            </w:r>
            <w:r w:rsidRPr="00FD7141">
              <w:rPr>
                <w:i/>
                <w:iCs/>
              </w:rPr>
              <w:t>prolifera</w:t>
            </w:r>
          </w:p>
        </w:tc>
        <w:tc>
          <w:tcPr>
            <w:tcW w:w="2160" w:type="dxa"/>
            <w:tcBorders>
              <w:bottom w:val="single" w:sz="8" w:space="0" w:color="0D0D0D" w:themeColor="text1" w:themeTint="F2"/>
            </w:tcBorders>
          </w:tcPr>
          <w:p w14:paraId="4E29304E" w14:textId="74D8E093" w:rsidR="00FD7141" w:rsidRDefault="00532268" w:rsidP="00333A1E">
            <w:r w:rsidRPr="00532268">
              <w:t>Organochlorines, Organophosphates, Pyrethroids</w:t>
            </w:r>
          </w:p>
        </w:tc>
        <w:tc>
          <w:tcPr>
            <w:tcW w:w="2270" w:type="dxa"/>
            <w:tcBorders>
              <w:bottom w:val="single" w:sz="8" w:space="0" w:color="0D0D0D" w:themeColor="text1" w:themeTint="F2"/>
            </w:tcBorders>
          </w:tcPr>
          <w:p w14:paraId="1D2EF6F5" w14:textId="22EF3665" w:rsidR="00FD7141" w:rsidRDefault="00532268" w:rsidP="00333A1E">
            <w:r w:rsidRPr="00532268">
              <w:t>All residues well below risk thresholds.</w:t>
            </w:r>
          </w:p>
        </w:tc>
        <w:tc>
          <w:tcPr>
            <w:tcW w:w="1775" w:type="dxa"/>
            <w:tcBorders>
              <w:bottom w:val="single" w:sz="8" w:space="0" w:color="0D0D0D" w:themeColor="text1" w:themeTint="F2"/>
              <w:right w:val="single" w:sz="8" w:space="0" w:color="0D0D0D" w:themeColor="text1" w:themeTint="F2"/>
            </w:tcBorders>
          </w:tcPr>
          <w:p w14:paraId="2DC4C795" w14:textId="6FF593C1" w:rsidR="00FD7141" w:rsidRDefault="00532268" w:rsidP="00333A1E">
            <w:r>
              <w:t>Li et al., 2018</w:t>
            </w:r>
          </w:p>
        </w:tc>
      </w:tr>
    </w:tbl>
    <w:p w14:paraId="241C1007" w14:textId="77777777" w:rsidR="00532268" w:rsidRDefault="00532268" w:rsidP="00846B8F">
      <w:pPr>
        <w:pStyle w:val="Heading2"/>
        <w:numPr>
          <w:ilvl w:val="1"/>
          <w:numId w:val="142"/>
        </w:numPr>
      </w:pPr>
      <w:bookmarkStart w:id="139" w:name="_Toc208503224"/>
      <w:r>
        <w:lastRenderedPageBreak/>
        <w:t>Radionuclides</w:t>
      </w:r>
      <w:bookmarkEnd w:id="139"/>
    </w:p>
    <w:p w14:paraId="639FA1A0" w14:textId="5DB56A59" w:rsidR="00532268" w:rsidRDefault="00532268" w:rsidP="00CB6D27">
      <w:pPr>
        <w:spacing w:before="240"/>
      </w:pPr>
      <w:r>
        <w:t>Naturally occurring radioactive material (NORM) in the form of radionuclides is present throughout marine environments. Anthropogenic sources such as nuclear power plants, weapons testing, phosphate processing, oil and gas exploration, metal processing, fossil fuel combustion, desalination plants, shipping, and agricultural activities can contribute to elevated concentrations of radionuclides in the marine environment (Khandaker et al., 2019; Linsley et al., 2004).</w:t>
      </w:r>
    </w:p>
    <w:p w14:paraId="7E086318" w14:textId="1BE136BA" w:rsidR="00532268" w:rsidRDefault="00532268" w:rsidP="00532268">
      <w:r>
        <w:t xml:space="preserve">Like heavy metals and other chemical pollutants, radionuclides can be absorbed and bioaccumulate in seaweed tissues when present in the growing waters (Abbasi et al., 2023; Hou et al., 2000; Ryan et al., 1999; Tejera et al., 2019; </w:t>
      </w:r>
      <w:r w:rsidRPr="00532268">
        <w:t>Wan Mahmood et al., 2018</w:t>
      </w:r>
      <w:r>
        <w:t xml:space="preserve">). For this reason, seaweed is often used for environmental monitoring of radionuclide contamination (Abbasi et al., 2023; Hunt et al., 2023). A list of radionuclides identified in seaweed is provided in Appendix </w:t>
      </w:r>
      <w:r w:rsidR="002D13BE">
        <w:t>B,</w:t>
      </w:r>
      <w:r>
        <w:t xml:space="preserve"> Table </w:t>
      </w:r>
      <w:r w:rsidR="002D13BE">
        <w:t>B</w:t>
      </w:r>
      <w:r>
        <w:t>-</w:t>
      </w:r>
      <w:r w:rsidR="002D13BE">
        <w:t>2</w:t>
      </w:r>
      <w:r>
        <w:t>.</w:t>
      </w:r>
    </w:p>
    <w:p w14:paraId="22CE861C" w14:textId="73CFE0F5" w:rsidR="00532268" w:rsidRDefault="00532268" w:rsidP="00532268">
      <w:r>
        <w:t>Contamination levels depend on radionuclide concentrations in the water. Control measures include knowing the growing area’s environmental history and proximity to contamination sources such as nuclear power plants or past weapons testing sites. If risks are present, seaweed testing should ensure radionuclide levels do not exceed the FDA’s Derived Intervention Levels, which represent the maximum safe concentrations in foods that would not warrant the introduction of protective measures or thresholds (USFDA, 2020).</w:t>
      </w:r>
    </w:p>
    <w:p w14:paraId="67FB9359" w14:textId="77777777" w:rsidR="00532268" w:rsidRDefault="00532268" w:rsidP="00846B8F">
      <w:pPr>
        <w:pStyle w:val="Heading2"/>
        <w:numPr>
          <w:ilvl w:val="1"/>
          <w:numId w:val="142"/>
        </w:numPr>
      </w:pPr>
      <w:bookmarkStart w:id="140" w:name="_Toc208503225"/>
      <w:r>
        <w:t>Persistent Organic Pollutants (POPs)</w:t>
      </w:r>
      <w:bookmarkEnd w:id="140"/>
    </w:p>
    <w:p w14:paraId="3950997F" w14:textId="4200C192" w:rsidR="00532268" w:rsidRDefault="00532268" w:rsidP="00CB6D27">
      <w:pPr>
        <w:spacing w:before="240"/>
      </w:pPr>
      <w:r>
        <w:t>Persistent organic pollutants (POPs), such as polychlorinated biphenyls (PCBs) and polybrominated diphenyl ethers (PBDEs), are notable for their environmental persistence, bioaccumulation potential, and harmful effects on human and environmental health. These pollutants—often originated from industrial or electronic waste—have raised concerns due to their widespread environmental distribution and toxicity.</w:t>
      </w:r>
    </w:p>
    <w:p w14:paraId="641D60A5" w14:textId="2895B474" w:rsidR="00532268" w:rsidRDefault="00532268" w:rsidP="00532268">
      <w:r>
        <w:t xml:space="preserve">POPs have a high affinity for accumulating in tissues with high fat content. Although seaweed is low in fat, it can still accumulate POPs if concentrations are high in surrounding waters. For example, kelp has been found to bioaccumulate PCBs, PBDEs, and emerging flame retardants at levels within international standards. Due to potential long-term risks, monitoring is still advised (Cheng et al., 2024). </w:t>
      </w:r>
      <w:r w:rsidRPr="00532268">
        <w:rPr>
          <w:i/>
          <w:iCs/>
        </w:rPr>
        <w:t>Ulva</w:t>
      </w:r>
      <w:r>
        <w:t xml:space="preserve"> </w:t>
      </w:r>
      <w:r w:rsidRPr="00532268">
        <w:rPr>
          <w:i/>
          <w:iCs/>
        </w:rPr>
        <w:t>compressa</w:t>
      </w:r>
      <w:r>
        <w:t xml:space="preserve"> and </w:t>
      </w:r>
      <w:r w:rsidRPr="00532268">
        <w:rPr>
          <w:i/>
          <w:iCs/>
        </w:rPr>
        <w:t>Pterocladia</w:t>
      </w:r>
      <w:r>
        <w:t xml:space="preserve"> </w:t>
      </w:r>
      <w:r w:rsidRPr="00532268">
        <w:rPr>
          <w:i/>
          <w:iCs/>
        </w:rPr>
        <w:t>capillacea</w:t>
      </w:r>
      <w:r>
        <w:t xml:space="preserve"> have shown significant bioaccumulation of carcinogenic PAHs and PCBs, raising concerns about their use in food products (</w:t>
      </w:r>
      <w:r w:rsidRPr="00532268">
        <w:t>El-Maradny et al., 2021</w:t>
      </w:r>
      <w:r>
        <w:t>; El Zokm et al., 2022).</w:t>
      </w:r>
    </w:p>
    <w:p w14:paraId="56118D08" w14:textId="77777777" w:rsidR="00532268" w:rsidRDefault="00532268" w:rsidP="00532268">
      <w:r>
        <w:t xml:space="preserve">Seaweed species with mucilaginous surfaces or micro-epiphytic layers of diatoms, may trap SPM more efficiently, thereby increasing POP uptake. Differences in lipid content between species </w:t>
      </w:r>
      <w:r>
        <w:lastRenderedPageBreak/>
        <w:t>can also influence POP retention (Pavoni et al., 2003). Despite low levels of contamination, monitoring remains essential due to the persistence and bioaccumulative nature of POPs (Duinker et al., 2020).</w:t>
      </w:r>
    </w:p>
    <w:p w14:paraId="7A5C45BE" w14:textId="77777777" w:rsidR="00532268" w:rsidRDefault="00532268" w:rsidP="00846B8F">
      <w:pPr>
        <w:pStyle w:val="Heading2"/>
        <w:numPr>
          <w:ilvl w:val="1"/>
          <w:numId w:val="143"/>
        </w:numPr>
      </w:pPr>
      <w:bookmarkStart w:id="141" w:name="_Toc208503226"/>
      <w:r>
        <w:t>Controlling Environmental Chemical Contaminants</w:t>
      </w:r>
      <w:bookmarkEnd w:id="141"/>
    </w:p>
    <w:p w14:paraId="40EC820F" w14:textId="53B86024" w:rsidR="00532268" w:rsidRDefault="00532268" w:rsidP="00CB6D27">
      <w:pPr>
        <w:spacing w:before="240"/>
      </w:pPr>
      <w:r>
        <w:t xml:space="preserve">Most seaweed is sold and consumed dried. While </w:t>
      </w:r>
      <w:hyperlink w:anchor="DryingDehydrating" w:tooltip="The natural (sun or air drying) or mechanical (dehydrator, oven, freeze drying, etc.) removal of water from a food or food product to reduce the water available for microbial growth (Aw). A commonly used method of food preservation." w:history="1">
        <w:r w:rsidRPr="00E1536C">
          <w:rPr>
            <w:rStyle w:val="Hyperlink"/>
          </w:rPr>
          <w:t>drying</w:t>
        </w:r>
      </w:hyperlink>
      <w:r>
        <w:t xml:space="preserve"> does not increase the total amount of contaminants, the removal of water concentrates them—often making levels appear 5 to 10 times higher than in raw seaweed (Duinker et al., 2020). Although </w:t>
      </w:r>
      <w:hyperlink w:anchor="ServingSize" w:tooltip="The standard portion typically consumed in one sitting, defined by regulatory agencies or nutritional guidelines. Serving sizes can vary based on the type of food product (e.g., dried, fresh, or processed) and cultural or dietary norms. " w:history="1">
        <w:r w:rsidRPr="003E23E8">
          <w:rPr>
            <w:rStyle w:val="Hyperlink"/>
          </w:rPr>
          <w:t>serving sizes</w:t>
        </w:r>
      </w:hyperlink>
      <w:r>
        <w:t xml:space="preserve"> for dried products are usually small (e.g., snacks and seasonings), this concentration effect must be considered when setting safety thresholds, especially for frequently consumed products and vulnerable populations.</w:t>
      </w:r>
    </w:p>
    <w:p w14:paraId="4C4652FD" w14:textId="77777777" w:rsidR="00532268" w:rsidRDefault="00532268" w:rsidP="00846B8F">
      <w:pPr>
        <w:pStyle w:val="Heading2"/>
        <w:numPr>
          <w:ilvl w:val="1"/>
          <w:numId w:val="143"/>
        </w:numPr>
      </w:pPr>
      <w:bookmarkStart w:id="142" w:name="_Toc208503227"/>
      <w:r>
        <w:t>Determining Whether the Potential Hazard is Significant</w:t>
      </w:r>
      <w:bookmarkEnd w:id="142"/>
    </w:p>
    <w:p w14:paraId="40EA9012" w14:textId="07B9217A" w:rsidR="00532268" w:rsidRDefault="00532268" w:rsidP="00CB6D27">
      <w:pPr>
        <w:spacing w:before="240"/>
      </w:pPr>
      <w:r>
        <w:t>It is reasonably likely that, without proper controls, unsafe levels of environmental chemical contaminants—including pesticides—could enter seaweed products at the receiving step. To evaluate whether an environmental chemical contaminant is a significant hazard—either “reasonably likely to occur” (HACCP) or “hazard requiring a preventive control” (PCHF)—and can pose high risk:</w:t>
      </w:r>
    </w:p>
    <w:p w14:paraId="01A5EC6B" w14:textId="5D923C88" w:rsidR="00532268" w:rsidRDefault="00532268" w:rsidP="00846B8F">
      <w:pPr>
        <w:pStyle w:val="ListParagraph"/>
        <w:numPr>
          <w:ilvl w:val="0"/>
          <w:numId w:val="33"/>
        </w:numPr>
        <w:spacing w:before="240"/>
      </w:pPr>
      <w:r>
        <w:t>Determine if the species is known to accumulate environmental contaminants at levels of concern and whether growing or harvest waters contain elevated levels of such contaminants.</w:t>
      </w:r>
    </w:p>
    <w:p w14:paraId="556B6B3C" w14:textId="4E291914" w:rsidR="00532268" w:rsidRDefault="00532268" w:rsidP="00846B8F">
      <w:pPr>
        <w:pStyle w:val="ListParagraph"/>
        <w:numPr>
          <w:ilvl w:val="0"/>
          <w:numId w:val="33"/>
        </w:numPr>
        <w:spacing w:before="240"/>
      </w:pPr>
      <w:r>
        <w:t>Review existing data or conduct testing to identify potential chemical hazards, such as pesticides, POPs, heavy metals, and industrial pollutants.</w:t>
      </w:r>
    </w:p>
    <w:p w14:paraId="14FDB6A4" w14:textId="19B3EEC8" w:rsidR="00532268" w:rsidRDefault="00532268" w:rsidP="00846B8F">
      <w:pPr>
        <w:pStyle w:val="ListParagraph"/>
        <w:numPr>
          <w:ilvl w:val="0"/>
          <w:numId w:val="33"/>
        </w:numPr>
        <w:spacing w:before="240"/>
      </w:pPr>
      <w:r>
        <w:t>Assess the farm’s location and surrounding environment (e.g., type of water body, proximity to agricultural runoff, pesticide application, industrial discharge, or wastewater effluents) for potential contamination sources.</w:t>
      </w:r>
    </w:p>
    <w:p w14:paraId="64546859" w14:textId="77777777" w:rsidR="00532268" w:rsidRDefault="00532268" w:rsidP="00846B8F">
      <w:pPr>
        <w:pStyle w:val="ListParagraph"/>
        <w:numPr>
          <w:ilvl w:val="0"/>
          <w:numId w:val="33"/>
        </w:numPr>
        <w:spacing w:before="240"/>
      </w:pPr>
      <w:r>
        <w:t>Consider the intended use of seaweed—small-portion products, like umami seasoning, generally pose lower risk than large-portion products like snack sheets.</w:t>
      </w:r>
    </w:p>
    <w:p w14:paraId="15341612" w14:textId="77777777" w:rsidR="00532268" w:rsidRDefault="00532268" w:rsidP="00CB6D27">
      <w:pPr>
        <w:spacing w:before="240"/>
        <w:contextualSpacing/>
      </w:pPr>
      <w:r>
        <w:t>Considering these factors, processors should treat environmental chemical contaminants as significant hazards when:</w:t>
      </w:r>
    </w:p>
    <w:p w14:paraId="0A3F6E0F" w14:textId="77777777" w:rsidR="00532268" w:rsidRDefault="00532268" w:rsidP="00846B8F">
      <w:pPr>
        <w:pStyle w:val="ListParagraph"/>
        <w:numPr>
          <w:ilvl w:val="0"/>
          <w:numId w:val="34"/>
        </w:numPr>
        <w:spacing w:before="240"/>
      </w:pPr>
      <w:r>
        <w:t>They are present in edible seaweeds at or near levels known to cause negative health effects.</w:t>
      </w:r>
    </w:p>
    <w:p w14:paraId="3E6DEDCC" w14:textId="77777777" w:rsidR="00532268" w:rsidRDefault="00532268" w:rsidP="00846B8F">
      <w:pPr>
        <w:pStyle w:val="ListParagraph"/>
        <w:numPr>
          <w:ilvl w:val="0"/>
          <w:numId w:val="34"/>
        </w:numPr>
        <w:spacing w:before="240"/>
      </w:pPr>
      <w:r>
        <w:t>The harvest area is near agricultural activity, industrial processes, or wastewater discharge.</w:t>
      </w:r>
    </w:p>
    <w:p w14:paraId="5A034D68" w14:textId="6BC9F871" w:rsidR="00532268" w:rsidRDefault="00532268" w:rsidP="00846B8F">
      <w:pPr>
        <w:pStyle w:val="ListParagraph"/>
        <w:numPr>
          <w:ilvl w:val="0"/>
          <w:numId w:val="34"/>
        </w:numPr>
        <w:spacing w:before="240"/>
      </w:pPr>
      <w:r>
        <w:lastRenderedPageBreak/>
        <w:t>Seaweed is sourced from waters known to contain potentially harmful levels of contaminants.</w:t>
      </w:r>
    </w:p>
    <w:p w14:paraId="3135216E" w14:textId="3E4D054E" w:rsidR="00532268" w:rsidRDefault="00532268" w:rsidP="00CB6D27">
      <w:pPr>
        <w:spacing w:before="240"/>
      </w:pPr>
      <w:r>
        <w:t>To determine whether contaminants are present, it is important to identify the types of chemical hazards commonly associated with the seaweed species and the water bodies where they are or will be grown or harvested (e.g., pesticides and industrial byproducts). The presence of nearby agricultural activity, industrial facilities, or wastewater discharge into coastal waterways can signal potential contamination risks.</w:t>
      </w:r>
    </w:p>
    <w:p w14:paraId="7D92E608" w14:textId="5E5053D9" w:rsidR="009D5681" w:rsidRDefault="00532268" w:rsidP="00CB6D27">
      <w:r>
        <w:t>When evaluating or selecting a farm or harvest site, processors should review land-based practices in the surrounding watershed. The EPA provides resources (see Table 7-6) to help identify potential contaminant sources that can be used when assessing or siting seaweed farms. Until a formal risk assessment is completed, seaweed from new farms or harvest locations should be considered at risk for chemical contamination and handled accordingly.</w:t>
      </w:r>
    </w:p>
    <w:p w14:paraId="21AA9EFF" w14:textId="19FA9D1C" w:rsidR="00B82556" w:rsidRDefault="00B82556" w:rsidP="00846B8F">
      <w:pPr>
        <w:pStyle w:val="Heading2"/>
        <w:numPr>
          <w:ilvl w:val="1"/>
          <w:numId w:val="143"/>
        </w:numPr>
      </w:pPr>
      <w:bookmarkStart w:id="143" w:name="_Toc208503228"/>
      <w:r>
        <w:t>Hazard Controls and Critical Control Points</w:t>
      </w:r>
      <w:bookmarkEnd w:id="143"/>
    </w:p>
    <w:p w14:paraId="1F9F3030" w14:textId="284F3C0C" w:rsidR="00E5110E" w:rsidRDefault="00B82556" w:rsidP="00045395">
      <w:pPr>
        <w:spacing w:before="240"/>
      </w:pPr>
      <w:r w:rsidRPr="00B82556">
        <w:t>There are several control strategies for ensuring chemical contaminants are not likely to cause harm upon consumption of edible seaweed. Table 7-6 includes the available resources for conducting hazard analysis and developing a Food Safety or HACCP plan as it pertains to environmental chemical contaminants.</w:t>
      </w:r>
    </w:p>
    <w:p w14:paraId="02BF55F4" w14:textId="77777777" w:rsidR="00E5110E" w:rsidRDefault="00E5110E">
      <w:r>
        <w:br w:type="page"/>
      </w:r>
    </w:p>
    <w:p w14:paraId="261653B4" w14:textId="4F8CD656" w:rsidR="00045395" w:rsidRDefault="00045395" w:rsidP="00C54E07">
      <w:pPr>
        <w:pStyle w:val="Caption"/>
      </w:pPr>
      <w:r w:rsidRPr="00045395">
        <w:rPr>
          <w:b/>
          <w:bCs/>
        </w:rPr>
        <w:lastRenderedPageBreak/>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7</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6</w:t>
      </w:r>
      <w:r w:rsidR="00896F22">
        <w:rPr>
          <w:b/>
          <w:bCs/>
        </w:rPr>
        <w:fldChar w:fldCharType="end"/>
      </w:r>
      <w:r w:rsidRPr="00045395">
        <w:rPr>
          <w:b/>
          <w:bCs/>
        </w:rPr>
        <w:t>:</w:t>
      </w:r>
      <w:r>
        <w:t xml:space="preserve"> </w:t>
      </w:r>
      <w:r w:rsidRPr="00306FAC">
        <w:t xml:space="preserve">Available resources for conducting hazard analysis and developing Food Safety and HACCP </w:t>
      </w:r>
      <w:r>
        <w:t>p</w:t>
      </w:r>
      <w:r w:rsidRPr="00306FAC">
        <w:t>lans</w:t>
      </w:r>
      <w:r>
        <w:t xml:space="preserve"> as it pertains to environmental chemical contaminants.</w:t>
      </w:r>
    </w:p>
    <w:tbl>
      <w:tblPr>
        <w:tblStyle w:val="TableGrid"/>
        <w:tblW w:w="0" w:type="auto"/>
        <w:tblCellMar>
          <w:top w:w="86" w:type="dxa"/>
          <w:left w:w="86" w:type="dxa"/>
          <w:bottom w:w="86" w:type="dxa"/>
          <w:right w:w="86" w:type="dxa"/>
        </w:tblCellMar>
        <w:tblLook w:val="04A0" w:firstRow="1" w:lastRow="0" w:firstColumn="1" w:lastColumn="0" w:noHBand="0" w:noVBand="1"/>
      </w:tblPr>
      <w:tblGrid>
        <w:gridCol w:w="445"/>
        <w:gridCol w:w="3147"/>
        <w:gridCol w:w="5748"/>
      </w:tblGrid>
      <w:tr w:rsidR="00B82556" w14:paraId="6F9D5F2C" w14:textId="77777777" w:rsidTr="00A61B74">
        <w:trPr>
          <w:trHeight w:val="431"/>
          <w:tblHeader/>
        </w:trPr>
        <w:tc>
          <w:tcPr>
            <w:tcW w:w="445" w:type="dxa"/>
            <w:tcBorders>
              <w:top w:val="single" w:sz="8" w:space="0" w:color="0D0D0D" w:themeColor="text1" w:themeTint="F2"/>
              <w:left w:val="single" w:sz="8" w:space="0" w:color="0D0D0D" w:themeColor="text1" w:themeTint="F2"/>
              <w:bottom w:val="single" w:sz="8" w:space="0" w:color="0D0D0D" w:themeColor="text1" w:themeTint="F2"/>
            </w:tcBorders>
            <w:shd w:val="clear" w:color="auto" w:fill="28666E"/>
            <w:vAlign w:val="center"/>
          </w:tcPr>
          <w:p w14:paraId="1546451B" w14:textId="3BE9B2ED" w:rsidR="00B82556" w:rsidRPr="00893C28" w:rsidRDefault="00B82556" w:rsidP="0054509C">
            <w:pPr>
              <w:rPr>
                <w:b/>
                <w:bCs/>
                <w:color w:val="FFFFFF" w:themeColor="background1"/>
              </w:rPr>
            </w:pPr>
            <w:r w:rsidRPr="00893C28">
              <w:rPr>
                <w:b/>
                <w:bCs/>
                <w:color w:val="FFFFFF" w:themeColor="background1"/>
              </w:rPr>
              <w:t>#</w:t>
            </w:r>
          </w:p>
        </w:tc>
        <w:tc>
          <w:tcPr>
            <w:tcW w:w="3150" w:type="dxa"/>
            <w:tcBorders>
              <w:top w:val="single" w:sz="8" w:space="0" w:color="0D0D0D" w:themeColor="text1" w:themeTint="F2"/>
              <w:bottom w:val="single" w:sz="8" w:space="0" w:color="0D0D0D" w:themeColor="text1" w:themeTint="F2"/>
            </w:tcBorders>
            <w:shd w:val="clear" w:color="auto" w:fill="28666E"/>
            <w:vAlign w:val="center"/>
          </w:tcPr>
          <w:p w14:paraId="43D5EBB5" w14:textId="7745EB93" w:rsidR="00B82556" w:rsidRPr="00893C28" w:rsidRDefault="00B82556" w:rsidP="0054509C">
            <w:pPr>
              <w:rPr>
                <w:b/>
                <w:bCs/>
                <w:color w:val="FFFFFF" w:themeColor="background1"/>
              </w:rPr>
            </w:pPr>
            <w:r w:rsidRPr="00893C28">
              <w:rPr>
                <w:b/>
                <w:bCs/>
                <w:color w:val="FFFFFF" w:themeColor="background1"/>
              </w:rPr>
              <w:t>Department</w:t>
            </w:r>
            <w:r w:rsidR="004134D0" w:rsidRPr="00893C28">
              <w:rPr>
                <w:b/>
                <w:bCs/>
                <w:color w:val="FFFFFF" w:themeColor="background1"/>
              </w:rPr>
              <w:t xml:space="preserve"> </w:t>
            </w:r>
            <w:r w:rsidRPr="00893C28">
              <w:rPr>
                <w:b/>
                <w:bCs/>
                <w:color w:val="FFFFFF" w:themeColor="background1"/>
              </w:rPr>
              <w:t>/</w:t>
            </w:r>
            <w:r w:rsidR="004134D0" w:rsidRPr="00893C28">
              <w:rPr>
                <w:b/>
                <w:bCs/>
                <w:color w:val="FFFFFF" w:themeColor="background1"/>
              </w:rPr>
              <w:t xml:space="preserve"> </w:t>
            </w:r>
            <w:r w:rsidRPr="00893C28">
              <w:rPr>
                <w:b/>
                <w:bCs/>
                <w:color w:val="FFFFFF" w:themeColor="background1"/>
              </w:rPr>
              <w:t>Resource</w:t>
            </w:r>
          </w:p>
        </w:tc>
        <w:tc>
          <w:tcPr>
            <w:tcW w:w="5755" w:type="dxa"/>
            <w:tcBorders>
              <w:top w:val="single" w:sz="8" w:space="0" w:color="0D0D0D" w:themeColor="text1" w:themeTint="F2"/>
              <w:bottom w:val="single" w:sz="8" w:space="0" w:color="0D0D0D" w:themeColor="text1" w:themeTint="F2"/>
              <w:right w:val="single" w:sz="8" w:space="0" w:color="0D0D0D" w:themeColor="text1" w:themeTint="F2"/>
            </w:tcBorders>
            <w:shd w:val="clear" w:color="auto" w:fill="28666E"/>
            <w:vAlign w:val="center"/>
          </w:tcPr>
          <w:p w14:paraId="00C062DD" w14:textId="5BAC6D7E" w:rsidR="00B82556" w:rsidRPr="00893C28" w:rsidRDefault="00B82556" w:rsidP="0054509C">
            <w:pPr>
              <w:rPr>
                <w:b/>
                <w:bCs/>
                <w:color w:val="FFFFFF" w:themeColor="background1"/>
              </w:rPr>
            </w:pPr>
            <w:r w:rsidRPr="00893C28">
              <w:rPr>
                <w:b/>
                <w:bCs/>
                <w:color w:val="FFFFFF" w:themeColor="background1"/>
              </w:rPr>
              <w:t>Description</w:t>
            </w:r>
          </w:p>
        </w:tc>
      </w:tr>
      <w:tr w:rsidR="00B82556" w14:paraId="34E31B12" w14:textId="77777777" w:rsidTr="00A61B74">
        <w:tc>
          <w:tcPr>
            <w:tcW w:w="445" w:type="dxa"/>
            <w:tcBorders>
              <w:top w:val="single" w:sz="8" w:space="0" w:color="0D0D0D" w:themeColor="text1" w:themeTint="F2"/>
              <w:left w:val="single" w:sz="8" w:space="0" w:color="0D0D0D" w:themeColor="text1" w:themeTint="F2"/>
            </w:tcBorders>
          </w:tcPr>
          <w:p w14:paraId="0358FF3E" w14:textId="0F81F0F0" w:rsidR="00B82556" w:rsidRDefault="00B82556" w:rsidP="00B82556">
            <w:r>
              <w:t>1</w:t>
            </w:r>
          </w:p>
        </w:tc>
        <w:tc>
          <w:tcPr>
            <w:tcW w:w="3150" w:type="dxa"/>
            <w:tcBorders>
              <w:top w:val="single" w:sz="8" w:space="0" w:color="0D0D0D" w:themeColor="text1" w:themeTint="F2"/>
            </w:tcBorders>
          </w:tcPr>
          <w:p w14:paraId="0844ADE4" w14:textId="041263BE" w:rsidR="00B82556" w:rsidRDefault="00B82556" w:rsidP="00B82556">
            <w:r>
              <w:t>Local Government</w:t>
            </w:r>
          </w:p>
        </w:tc>
        <w:tc>
          <w:tcPr>
            <w:tcW w:w="5755" w:type="dxa"/>
            <w:tcBorders>
              <w:top w:val="single" w:sz="8" w:space="0" w:color="0D0D0D" w:themeColor="text1" w:themeTint="F2"/>
              <w:right w:val="single" w:sz="8" w:space="0" w:color="0D0D0D" w:themeColor="text1" w:themeTint="F2"/>
            </w:tcBorders>
          </w:tcPr>
          <w:p w14:paraId="4DCFB86D" w14:textId="254DA8FA" w:rsidR="00B82556" w:rsidRDefault="004134D0" w:rsidP="00B82556">
            <w:r w:rsidRPr="004134D0">
              <w:t xml:space="preserve">In some states local governments will monitor water bodies for contaminants. For example, in New York, the </w:t>
            </w:r>
            <w:hyperlink r:id="rId63" w:anchor=":~:text=Popular%20fish%20such%20as%20trout,Best%20and%20Good%20Choice%20species." w:history="1">
              <w:r w:rsidRPr="004134D0">
                <w:rPr>
                  <w:rStyle w:val="Hyperlink"/>
                </w:rPr>
                <w:t>Department of Health (DOH)</w:t>
              </w:r>
            </w:hyperlink>
            <w:r w:rsidRPr="004134D0">
              <w:t xml:space="preserve"> monitors contaminants in local water bodies and publishes consumption advisories.</w:t>
            </w:r>
          </w:p>
        </w:tc>
      </w:tr>
      <w:tr w:rsidR="00B82556" w14:paraId="1447DBD1" w14:textId="77777777" w:rsidTr="00A61B74">
        <w:tc>
          <w:tcPr>
            <w:tcW w:w="445" w:type="dxa"/>
            <w:tcBorders>
              <w:left w:val="single" w:sz="8" w:space="0" w:color="0D0D0D" w:themeColor="text1" w:themeTint="F2"/>
            </w:tcBorders>
          </w:tcPr>
          <w:p w14:paraId="0792437B" w14:textId="0704DB91" w:rsidR="00B82556" w:rsidRDefault="00B82556" w:rsidP="00B82556">
            <w:r>
              <w:t>2</w:t>
            </w:r>
          </w:p>
        </w:tc>
        <w:tc>
          <w:tcPr>
            <w:tcW w:w="3150" w:type="dxa"/>
          </w:tcPr>
          <w:p w14:paraId="1133732B" w14:textId="74059123" w:rsidR="00B82556" w:rsidRDefault="00B82556" w:rsidP="00B82556">
            <w:r>
              <w:t>Shellfish Control Authority</w:t>
            </w:r>
          </w:p>
        </w:tc>
        <w:tc>
          <w:tcPr>
            <w:tcW w:w="5755" w:type="dxa"/>
            <w:tcBorders>
              <w:right w:val="single" w:sz="8" w:space="0" w:color="0D0D0D" w:themeColor="text1" w:themeTint="F2"/>
            </w:tcBorders>
          </w:tcPr>
          <w:p w14:paraId="7DD5F5E9" w14:textId="63ED2637" w:rsidR="00B82556" w:rsidRDefault="004134D0" w:rsidP="00B82556">
            <w:r w:rsidRPr="004134D0">
              <w:t>States with shellfish production will have a Shellfish Control Authority that likely monitors marine waters for potential contaminants.</w:t>
            </w:r>
          </w:p>
        </w:tc>
      </w:tr>
      <w:tr w:rsidR="00B82556" w14:paraId="57687118" w14:textId="77777777" w:rsidTr="00A61B74">
        <w:tc>
          <w:tcPr>
            <w:tcW w:w="445" w:type="dxa"/>
            <w:tcBorders>
              <w:left w:val="single" w:sz="8" w:space="0" w:color="0D0D0D" w:themeColor="text1" w:themeTint="F2"/>
            </w:tcBorders>
          </w:tcPr>
          <w:p w14:paraId="23C89142" w14:textId="6067FBE0" w:rsidR="00B82556" w:rsidRDefault="00B82556" w:rsidP="00B82556">
            <w:r>
              <w:t>3</w:t>
            </w:r>
          </w:p>
        </w:tc>
        <w:tc>
          <w:tcPr>
            <w:tcW w:w="3150" w:type="dxa"/>
          </w:tcPr>
          <w:p w14:paraId="60794A85" w14:textId="507209D0" w:rsidR="00B82556" w:rsidRDefault="00B82556" w:rsidP="00B82556">
            <w:r>
              <w:t>Environmental Protection Agency (EPA)</w:t>
            </w:r>
          </w:p>
        </w:tc>
        <w:tc>
          <w:tcPr>
            <w:tcW w:w="5755" w:type="dxa"/>
            <w:tcBorders>
              <w:right w:val="single" w:sz="8" w:space="0" w:color="0D0D0D" w:themeColor="text1" w:themeTint="F2"/>
            </w:tcBorders>
          </w:tcPr>
          <w:p w14:paraId="282CBD57" w14:textId="3E83FC54" w:rsidR="00B82556" w:rsidRDefault="004134D0" w:rsidP="00B82556">
            <w:r w:rsidRPr="004134D0">
              <w:t xml:space="preserve">The EPA manages the </w:t>
            </w:r>
            <w:hyperlink r:id="rId64" w:history="1">
              <w:r w:rsidRPr="004134D0">
                <w:rPr>
                  <w:rStyle w:val="Hyperlink"/>
                </w:rPr>
                <w:t>Enforcement and Compliance History Online database (ECHO)</w:t>
              </w:r>
            </w:hyperlink>
            <w:r w:rsidRPr="004134D0">
              <w:t>, which can be used to identify industrial practices and potential contaminants across the U.S.</w:t>
            </w:r>
          </w:p>
        </w:tc>
      </w:tr>
      <w:tr w:rsidR="00B82556" w14:paraId="111DC42A" w14:textId="77777777" w:rsidTr="00A61B74">
        <w:tc>
          <w:tcPr>
            <w:tcW w:w="445" w:type="dxa"/>
            <w:tcBorders>
              <w:left w:val="single" w:sz="8" w:space="0" w:color="0D0D0D" w:themeColor="text1" w:themeTint="F2"/>
            </w:tcBorders>
          </w:tcPr>
          <w:p w14:paraId="5CC7924A" w14:textId="1036B50B" w:rsidR="00B82556" w:rsidRDefault="00B82556" w:rsidP="00B82556">
            <w:r>
              <w:t>4</w:t>
            </w:r>
          </w:p>
        </w:tc>
        <w:tc>
          <w:tcPr>
            <w:tcW w:w="3150" w:type="dxa"/>
          </w:tcPr>
          <w:p w14:paraId="6F440249" w14:textId="76B6DFE6" w:rsidR="00B82556" w:rsidRDefault="00B82556" w:rsidP="00B82556">
            <w:r>
              <w:t>Regional Integrated Pest Management (IPM) Centers</w:t>
            </w:r>
          </w:p>
        </w:tc>
        <w:tc>
          <w:tcPr>
            <w:tcW w:w="5755" w:type="dxa"/>
            <w:tcBorders>
              <w:right w:val="single" w:sz="8" w:space="0" w:color="0D0D0D" w:themeColor="text1" w:themeTint="F2"/>
            </w:tcBorders>
          </w:tcPr>
          <w:p w14:paraId="1F18AFD2" w14:textId="146CD4C7" w:rsidR="00B82556" w:rsidRDefault="004134D0" w:rsidP="00B82556">
            <w:hyperlink r:id="rId65" w:history="1">
              <w:r w:rsidRPr="004134D0">
                <w:rPr>
                  <w:rStyle w:val="Hyperlink"/>
                </w:rPr>
                <w:t>Regional IPM Centers</w:t>
              </w:r>
            </w:hyperlink>
            <w:r w:rsidRPr="004134D0">
              <w:t xml:space="preserve"> can provide additional insights into agricultural practices and potential pesticide use regionally.</w:t>
            </w:r>
          </w:p>
        </w:tc>
      </w:tr>
      <w:tr w:rsidR="00B82556" w14:paraId="091A7B49" w14:textId="77777777" w:rsidTr="00A61B74">
        <w:tc>
          <w:tcPr>
            <w:tcW w:w="445" w:type="dxa"/>
            <w:tcBorders>
              <w:left w:val="single" w:sz="8" w:space="0" w:color="0D0D0D" w:themeColor="text1" w:themeTint="F2"/>
            </w:tcBorders>
          </w:tcPr>
          <w:p w14:paraId="3DFB2D90" w14:textId="1DCC135B" w:rsidR="00B82556" w:rsidRDefault="00B82556" w:rsidP="00B82556">
            <w:r>
              <w:t>5</w:t>
            </w:r>
          </w:p>
        </w:tc>
        <w:tc>
          <w:tcPr>
            <w:tcW w:w="3150" w:type="dxa"/>
          </w:tcPr>
          <w:p w14:paraId="680FD0E4" w14:textId="66007F56" w:rsidR="00B82556" w:rsidRDefault="00B82556" w:rsidP="00B82556">
            <w:r>
              <w:t>State Department of Agriculture</w:t>
            </w:r>
          </w:p>
        </w:tc>
        <w:tc>
          <w:tcPr>
            <w:tcW w:w="5755" w:type="dxa"/>
            <w:tcBorders>
              <w:right w:val="single" w:sz="8" w:space="0" w:color="0D0D0D" w:themeColor="text1" w:themeTint="F2"/>
            </w:tcBorders>
          </w:tcPr>
          <w:p w14:paraId="41CDA407" w14:textId="15939452" w:rsidR="00B82556" w:rsidRDefault="004134D0" w:rsidP="00B82556">
            <w:r w:rsidRPr="004134D0">
              <w:t xml:space="preserve">Agriculture Departments in States across the country are typically responsible for regulating food safety and agriculture production. Your </w:t>
            </w:r>
            <w:hyperlink r:id="rId66" w:history="1">
              <w:r w:rsidRPr="004134D0">
                <w:rPr>
                  <w:rStyle w:val="Hyperlink"/>
                </w:rPr>
                <w:t>Local Agriculture Department</w:t>
              </w:r>
            </w:hyperlink>
            <w:r w:rsidRPr="004134D0">
              <w:t xml:space="preserve"> may also be able to assist in identifying potential contaminants of concern.</w:t>
            </w:r>
          </w:p>
        </w:tc>
      </w:tr>
      <w:tr w:rsidR="00B82556" w14:paraId="32F9BF22" w14:textId="77777777" w:rsidTr="00A61B74">
        <w:tc>
          <w:tcPr>
            <w:tcW w:w="445" w:type="dxa"/>
            <w:tcBorders>
              <w:left w:val="single" w:sz="8" w:space="0" w:color="0D0D0D" w:themeColor="text1" w:themeTint="F2"/>
            </w:tcBorders>
          </w:tcPr>
          <w:p w14:paraId="57F851B8" w14:textId="390F51EA" w:rsidR="00B82556" w:rsidRDefault="00B82556" w:rsidP="00B82556">
            <w:r>
              <w:t>6</w:t>
            </w:r>
          </w:p>
        </w:tc>
        <w:tc>
          <w:tcPr>
            <w:tcW w:w="3150" w:type="dxa"/>
          </w:tcPr>
          <w:p w14:paraId="6C63F481" w14:textId="536A900D" w:rsidR="00B82556" w:rsidRDefault="00B82556" w:rsidP="00B82556">
            <w:r>
              <w:t>State Land Grant and Sea Grant Extension Programs</w:t>
            </w:r>
          </w:p>
        </w:tc>
        <w:tc>
          <w:tcPr>
            <w:tcW w:w="5755" w:type="dxa"/>
            <w:tcBorders>
              <w:right w:val="single" w:sz="8" w:space="0" w:color="0D0D0D" w:themeColor="text1" w:themeTint="F2"/>
            </w:tcBorders>
          </w:tcPr>
          <w:p w14:paraId="51A7F1F2" w14:textId="27B26EB8" w:rsidR="00B82556" w:rsidRDefault="004134D0" w:rsidP="00B82556">
            <w:r w:rsidRPr="004134D0">
              <w:t xml:space="preserve">State </w:t>
            </w:r>
            <w:hyperlink r:id="rId67" w:history="1">
              <w:r w:rsidRPr="004134D0">
                <w:rPr>
                  <w:rStyle w:val="Hyperlink"/>
                </w:rPr>
                <w:t>Land Grant Extension</w:t>
              </w:r>
            </w:hyperlink>
            <w:r w:rsidRPr="004134D0">
              <w:t xml:space="preserve"> and </w:t>
            </w:r>
            <w:hyperlink r:id="rId68" w:history="1">
              <w:r w:rsidRPr="004134D0">
                <w:rPr>
                  <w:rStyle w:val="Hyperlink"/>
                </w:rPr>
                <w:t>Sea Grant Extension</w:t>
              </w:r>
            </w:hyperlink>
            <w:r w:rsidRPr="004134D0">
              <w:t xml:space="preserve"> programs may have specialists who can assist with identifying contaminants of concern in your region.</w:t>
            </w:r>
          </w:p>
        </w:tc>
      </w:tr>
      <w:tr w:rsidR="00B82556" w14:paraId="340E77EA" w14:textId="77777777" w:rsidTr="00A61B74">
        <w:tc>
          <w:tcPr>
            <w:tcW w:w="445" w:type="dxa"/>
            <w:tcBorders>
              <w:left w:val="single" w:sz="8" w:space="0" w:color="0D0D0D" w:themeColor="text1" w:themeTint="F2"/>
              <w:bottom w:val="single" w:sz="8" w:space="0" w:color="0D0D0D" w:themeColor="text1" w:themeTint="F2"/>
            </w:tcBorders>
          </w:tcPr>
          <w:p w14:paraId="300C7EEA" w14:textId="2A1B26BF" w:rsidR="00B82556" w:rsidRDefault="00B82556" w:rsidP="00B82556">
            <w:r>
              <w:t>7</w:t>
            </w:r>
          </w:p>
        </w:tc>
        <w:tc>
          <w:tcPr>
            <w:tcW w:w="3150" w:type="dxa"/>
            <w:tcBorders>
              <w:bottom w:val="single" w:sz="8" w:space="0" w:color="0D0D0D" w:themeColor="text1" w:themeTint="F2"/>
            </w:tcBorders>
          </w:tcPr>
          <w:p w14:paraId="6A6D9F63" w14:textId="2B84AE1B" w:rsidR="00B82556" w:rsidRDefault="00B82556" w:rsidP="00B82556">
            <w:r>
              <w:t>Business Planning for Kelp Farming: Resources Annex</w:t>
            </w:r>
          </w:p>
        </w:tc>
        <w:tc>
          <w:tcPr>
            <w:tcW w:w="5755" w:type="dxa"/>
            <w:tcBorders>
              <w:bottom w:val="single" w:sz="8" w:space="0" w:color="0D0D0D" w:themeColor="text1" w:themeTint="F2"/>
              <w:right w:val="single" w:sz="8" w:space="0" w:color="0D0D0D" w:themeColor="text1" w:themeTint="F2"/>
            </w:tcBorders>
          </w:tcPr>
          <w:p w14:paraId="0A889024" w14:textId="02455341" w:rsidR="00B82556" w:rsidRDefault="00B82556" w:rsidP="00B82556">
            <w:r w:rsidRPr="004134D0">
              <w:t xml:space="preserve">Connecticut Sea Grant’s </w:t>
            </w:r>
            <w:hyperlink r:id="rId69" w:history="1">
              <w:r w:rsidRPr="004134D0">
                <w:rPr>
                  <w:rStyle w:val="Hyperlink"/>
                  <w:i/>
                  <w:iCs/>
                </w:rPr>
                <w:t>Business Planning Guide for Kelp Farming</w:t>
              </w:r>
            </w:hyperlink>
            <w:r w:rsidR="004134D0">
              <w:t xml:space="preserve"> (PDF)</w:t>
            </w:r>
            <w:r w:rsidRPr="00B82556">
              <w:t xml:space="preserve"> has an annex of resources (page 69) that could provide additional contacts by state who could support in identifying potential contaminants of concern.</w:t>
            </w:r>
          </w:p>
        </w:tc>
      </w:tr>
    </w:tbl>
    <w:p w14:paraId="25F75569" w14:textId="525FCFFE" w:rsidR="00B82556" w:rsidRDefault="00FC742D" w:rsidP="00441BE0">
      <w:pPr>
        <w:pStyle w:val="Heading2"/>
      </w:pPr>
      <w:bookmarkStart w:id="144" w:name="_Toc208503229"/>
      <w:r>
        <w:t>Control Strategies</w:t>
      </w:r>
      <w:bookmarkEnd w:id="144"/>
    </w:p>
    <w:p w14:paraId="0D81AA2F" w14:textId="6E54A0F9" w:rsidR="00FC742D" w:rsidRDefault="00FC742D" w:rsidP="00CB6D27">
      <w:pPr>
        <w:spacing w:before="240"/>
      </w:pPr>
      <w:r w:rsidRPr="00FC742D">
        <w:t xml:space="preserve">The following table provides the recommended control strategies for environmental chemical contaminants. These include source control, supplier certification, and testing of seaweed. Seaweed processors are permitted to use control strategies other than those listed, provided such approaches meet the requirements of relevant food safety regulations. Refer to Chapter 9 </w:t>
      </w:r>
      <w:r w:rsidRPr="00FC742D">
        <w:lastRenderedPageBreak/>
        <w:t>of the FDA</w:t>
      </w:r>
      <w:r w:rsidR="00D31328">
        <w:t>’s</w:t>
      </w:r>
      <w:r w:rsidRPr="00FC742D">
        <w:t xml:space="preserve"> </w:t>
      </w:r>
      <w:r w:rsidRPr="00FC742D">
        <w:rPr>
          <w:i/>
          <w:iCs/>
        </w:rPr>
        <w:t>Fish and Fishery Products Hazards and Controls Guide</w:t>
      </w:r>
      <w:r>
        <w:t xml:space="preserve"> </w:t>
      </w:r>
      <w:r w:rsidRPr="00FC742D">
        <w:t>for additional control strategy options that may be relevant to controlling environmental chemical contaminants (USFDA, 2022).</w:t>
      </w:r>
    </w:p>
    <w:p w14:paraId="787E76B9" w14:textId="1E406D9B" w:rsidR="00FC742D" w:rsidRPr="00FC742D" w:rsidRDefault="00FC742D" w:rsidP="00045395">
      <w:r w:rsidRPr="00FC742D">
        <w:t>Periodic testing of seaweed samples might have been suggested within a specific control strategy for verification; however, this does not mean that the frequency of testing is prescribed</w:t>
      </w:r>
      <w:r>
        <w:t>.</w:t>
      </w:r>
      <w:r w:rsidRPr="00FC742D">
        <w:t xml:space="preserve"> The term “</w:t>
      </w:r>
      <w:r w:rsidRPr="00FC742D">
        <w:rPr>
          <w:i/>
          <w:iCs/>
        </w:rPr>
        <w:t>periodically</w:t>
      </w:r>
      <w:r w:rsidRPr="00FC742D">
        <w:t>” is context-dependent and may vary according to factors such as farm location, cultivation method, and species. Processors may establish monitoring intervals appropriate to their operations and to maintain written records documenting the rationale for these intervals (e.g., environmental conditions, historical farm data, or scientific evidence) to demonstrate that the selected frequency is scientifically justified. This frequency can change over time based on historical testing results (e.g.</w:t>
      </w:r>
      <w:r>
        <w:t>,</w:t>
      </w:r>
      <w:r w:rsidRPr="00FC742D">
        <w:t xml:space="preserve"> years of stable concentrations can be used to justify reduction in testing frequency).</w:t>
      </w:r>
    </w:p>
    <w:p w14:paraId="7177735C" w14:textId="2A0AC464" w:rsidR="00045395" w:rsidRDefault="00045395" w:rsidP="00C54E07">
      <w:pPr>
        <w:pStyle w:val="Caption"/>
      </w:pPr>
      <w:r w:rsidRPr="00045395">
        <w:rPr>
          <w:b/>
          <w:bCs/>
        </w:rPr>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7</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7</w:t>
      </w:r>
      <w:r w:rsidR="00896F22">
        <w:rPr>
          <w:b/>
          <w:bCs/>
        </w:rPr>
        <w:fldChar w:fldCharType="end"/>
      </w:r>
      <w:r w:rsidRPr="00045395">
        <w:rPr>
          <w:b/>
          <w:bCs/>
        </w:rPr>
        <w:t>:</w:t>
      </w:r>
      <w:r>
        <w:t xml:space="preserve"> </w:t>
      </w:r>
      <w:r w:rsidRPr="00155800">
        <w:t>Control Strategies for Environmental Chemical Contaminants in Seaweeds</w:t>
      </w:r>
    </w:p>
    <w:tbl>
      <w:tblPr>
        <w:tblStyle w:val="TableGrid"/>
        <w:tblW w:w="0" w:type="auto"/>
        <w:tblInd w:w="-5" w:type="dxa"/>
        <w:tblLook w:val="04A0" w:firstRow="1" w:lastRow="0" w:firstColumn="1" w:lastColumn="0" w:noHBand="0" w:noVBand="1"/>
      </w:tblPr>
      <w:tblGrid>
        <w:gridCol w:w="2460"/>
        <w:gridCol w:w="2460"/>
        <w:gridCol w:w="2460"/>
      </w:tblGrid>
      <w:tr w:rsidR="00FC742D" w14:paraId="30C5B04C" w14:textId="77777777" w:rsidTr="0070468D">
        <w:trPr>
          <w:trHeight w:val="467"/>
        </w:trPr>
        <w:tc>
          <w:tcPr>
            <w:tcW w:w="2460" w:type="dxa"/>
            <w:vAlign w:val="bottom"/>
          </w:tcPr>
          <w:p w14:paraId="64D557E2" w14:textId="77777777" w:rsidR="00FC742D" w:rsidRPr="00EB199E" w:rsidRDefault="00FC742D" w:rsidP="00DF5603">
            <w:pPr>
              <w:jc w:val="center"/>
              <w:rPr>
                <w:b/>
                <w:bCs/>
              </w:rPr>
            </w:pPr>
            <w:r w:rsidRPr="00EB199E">
              <w:rPr>
                <w:b/>
                <w:bCs/>
              </w:rPr>
              <w:t>Control Strategy</w:t>
            </w:r>
          </w:p>
        </w:tc>
        <w:tc>
          <w:tcPr>
            <w:tcW w:w="2460" w:type="dxa"/>
            <w:vAlign w:val="bottom"/>
          </w:tcPr>
          <w:p w14:paraId="6799696B" w14:textId="41FD0BDA" w:rsidR="00FC742D" w:rsidRPr="00EB199E" w:rsidRDefault="00FC742D" w:rsidP="00DF5603">
            <w:pPr>
              <w:jc w:val="center"/>
              <w:rPr>
                <w:b/>
                <w:bCs/>
              </w:rPr>
            </w:pPr>
            <w:r w:rsidRPr="00893C28">
              <w:rPr>
                <w:b/>
                <w:bCs/>
              </w:rPr>
              <w:t>Primary</w:t>
            </w:r>
            <w:r w:rsidR="00303D03" w:rsidRPr="00893C28">
              <w:rPr>
                <w:b/>
                <w:bCs/>
              </w:rPr>
              <w:t xml:space="preserve"> Processor</w:t>
            </w:r>
          </w:p>
        </w:tc>
        <w:tc>
          <w:tcPr>
            <w:tcW w:w="2460" w:type="dxa"/>
            <w:vAlign w:val="bottom"/>
          </w:tcPr>
          <w:p w14:paraId="036E126E" w14:textId="0DD75A76" w:rsidR="00FC742D" w:rsidRPr="00EB199E" w:rsidRDefault="00FC742D" w:rsidP="00DF5603">
            <w:pPr>
              <w:jc w:val="center"/>
              <w:rPr>
                <w:b/>
                <w:bCs/>
              </w:rPr>
            </w:pPr>
            <w:r w:rsidRPr="00EB199E">
              <w:rPr>
                <w:b/>
                <w:bCs/>
              </w:rPr>
              <w:t>Secondary</w:t>
            </w:r>
            <w:r w:rsidR="00893C28">
              <w:rPr>
                <w:b/>
                <w:bCs/>
              </w:rPr>
              <w:t xml:space="preserve"> Processor</w:t>
            </w:r>
          </w:p>
        </w:tc>
      </w:tr>
      <w:tr w:rsidR="00FC742D" w14:paraId="3CB6201E" w14:textId="77777777" w:rsidTr="0070468D">
        <w:trPr>
          <w:trHeight w:val="521"/>
        </w:trPr>
        <w:tc>
          <w:tcPr>
            <w:tcW w:w="2460" w:type="dxa"/>
            <w:vAlign w:val="center"/>
          </w:tcPr>
          <w:p w14:paraId="2B091F24" w14:textId="77777777" w:rsidR="00FC742D" w:rsidRDefault="00FC742D" w:rsidP="00DF5603">
            <w:r>
              <w:t>Source Control</w:t>
            </w:r>
          </w:p>
        </w:tc>
        <w:tc>
          <w:tcPr>
            <w:tcW w:w="2460" w:type="dxa"/>
            <w:vAlign w:val="center"/>
          </w:tcPr>
          <w:p w14:paraId="17FC5F27" w14:textId="77777777" w:rsidR="00FC742D" w:rsidRDefault="00FC742D" w:rsidP="00DF5603">
            <w:pPr>
              <w:jc w:val="center"/>
            </w:pPr>
            <w:r w:rsidRPr="00587FA2">
              <w:rPr>
                <w:rFonts w:ascii="Wingdings" w:hAnsi="Wingdings" w:cs="Calibri"/>
                <w:b/>
                <w:bCs/>
              </w:rPr>
              <w:t>ü</w:t>
            </w:r>
          </w:p>
        </w:tc>
        <w:tc>
          <w:tcPr>
            <w:tcW w:w="2460" w:type="dxa"/>
            <w:vAlign w:val="center"/>
          </w:tcPr>
          <w:p w14:paraId="47DB220D" w14:textId="77777777" w:rsidR="00FC742D" w:rsidRDefault="00FC742D" w:rsidP="00DF5603">
            <w:pPr>
              <w:jc w:val="center"/>
            </w:pPr>
          </w:p>
        </w:tc>
      </w:tr>
      <w:tr w:rsidR="00FC742D" w14:paraId="5A856087" w14:textId="77777777" w:rsidTr="0070468D">
        <w:trPr>
          <w:trHeight w:val="521"/>
        </w:trPr>
        <w:tc>
          <w:tcPr>
            <w:tcW w:w="2460" w:type="dxa"/>
            <w:vAlign w:val="center"/>
          </w:tcPr>
          <w:p w14:paraId="31FAFF1C" w14:textId="23BC9352" w:rsidR="00FC742D" w:rsidRDefault="00FC742D" w:rsidP="00DF5603">
            <w:r>
              <w:t>Supplier’s Certification</w:t>
            </w:r>
          </w:p>
        </w:tc>
        <w:tc>
          <w:tcPr>
            <w:tcW w:w="2460" w:type="dxa"/>
            <w:vAlign w:val="center"/>
          </w:tcPr>
          <w:p w14:paraId="05199158" w14:textId="77777777" w:rsidR="00FC742D" w:rsidRDefault="00FC742D" w:rsidP="00DF5603">
            <w:pPr>
              <w:jc w:val="center"/>
            </w:pPr>
            <w:r w:rsidRPr="00587FA2">
              <w:rPr>
                <w:rFonts w:ascii="Wingdings" w:hAnsi="Wingdings" w:cs="Calibri"/>
                <w:b/>
                <w:bCs/>
              </w:rPr>
              <w:t>ü</w:t>
            </w:r>
          </w:p>
        </w:tc>
        <w:tc>
          <w:tcPr>
            <w:tcW w:w="2460" w:type="dxa"/>
            <w:vAlign w:val="center"/>
          </w:tcPr>
          <w:p w14:paraId="40E98AFA" w14:textId="77777777" w:rsidR="00FC742D" w:rsidRDefault="00FC742D" w:rsidP="00DF5603">
            <w:pPr>
              <w:jc w:val="center"/>
            </w:pPr>
          </w:p>
        </w:tc>
      </w:tr>
      <w:tr w:rsidR="00FC742D" w14:paraId="61BBEF73" w14:textId="77777777" w:rsidTr="0070468D">
        <w:trPr>
          <w:trHeight w:val="521"/>
        </w:trPr>
        <w:tc>
          <w:tcPr>
            <w:tcW w:w="2460" w:type="dxa"/>
            <w:vAlign w:val="center"/>
          </w:tcPr>
          <w:p w14:paraId="405D186B" w14:textId="3E6226C0" w:rsidR="00FC742D" w:rsidRDefault="00FC742D" w:rsidP="00FC742D">
            <w:r>
              <w:t>Product Testing</w:t>
            </w:r>
          </w:p>
        </w:tc>
        <w:tc>
          <w:tcPr>
            <w:tcW w:w="2460" w:type="dxa"/>
            <w:vAlign w:val="center"/>
          </w:tcPr>
          <w:p w14:paraId="4E7E8D39" w14:textId="3E89DBD8" w:rsidR="00FC742D" w:rsidRPr="00587FA2" w:rsidRDefault="00FC742D" w:rsidP="00FC742D">
            <w:pPr>
              <w:jc w:val="center"/>
              <w:rPr>
                <w:rFonts w:ascii="Wingdings" w:hAnsi="Wingdings" w:cs="Calibri"/>
                <w:b/>
                <w:bCs/>
              </w:rPr>
            </w:pPr>
            <w:r w:rsidRPr="00FC742D">
              <w:rPr>
                <w:rFonts w:ascii="Wingdings" w:hAnsi="Wingdings" w:cs="Calibri"/>
                <w:b/>
                <w:bCs/>
              </w:rPr>
              <w:t>ü</w:t>
            </w:r>
          </w:p>
        </w:tc>
        <w:tc>
          <w:tcPr>
            <w:tcW w:w="2460" w:type="dxa"/>
            <w:vAlign w:val="center"/>
          </w:tcPr>
          <w:p w14:paraId="67FCA111" w14:textId="07167BF4" w:rsidR="00FC742D" w:rsidRDefault="00FC742D" w:rsidP="00FC742D">
            <w:pPr>
              <w:jc w:val="center"/>
            </w:pPr>
            <w:r w:rsidRPr="00FC742D">
              <w:rPr>
                <w:rFonts w:ascii="Wingdings" w:hAnsi="Wingdings" w:cs="Calibri"/>
                <w:b/>
                <w:bCs/>
              </w:rPr>
              <w:t>ü</w:t>
            </w:r>
          </w:p>
        </w:tc>
      </w:tr>
    </w:tbl>
    <w:p w14:paraId="34B5E15E" w14:textId="7D2ACE85" w:rsidR="00FC742D" w:rsidRDefault="00FC742D" w:rsidP="00691E23">
      <w:pPr>
        <w:pStyle w:val="Heading3"/>
      </w:pPr>
      <w:bookmarkStart w:id="145" w:name="_Toc208503230"/>
      <w:r>
        <w:t>Control Strategy 1 – Source Control</w:t>
      </w:r>
      <w:bookmarkEnd w:id="145"/>
    </w:p>
    <w:p w14:paraId="6C33F307" w14:textId="6FA8DFEE" w:rsidR="00FC742D" w:rsidRDefault="00FC742D" w:rsidP="00CB6D27">
      <w:pPr>
        <w:spacing w:before="240"/>
      </w:pPr>
      <w:r w:rsidRPr="00FC742D">
        <w:t>This control strategy can be used in locations where agencies evaluate and certify water bodies for food production and harvest. Note that current testing and evaluation of open certified water bodies is specifically for shellfish and finfish species and may not be sufficient for seaweed given the difference in bioaccumulation. If aware of bioaccumulation of potentially toxic compounds in certified waters, producers are responsible for controlling these hazards.</w:t>
      </w:r>
    </w:p>
    <w:p w14:paraId="479A6080" w14:textId="5A47B368" w:rsidR="00FC742D" w:rsidRDefault="00FC742D" w:rsidP="00691E23">
      <w:pPr>
        <w:pStyle w:val="Heading4"/>
      </w:pPr>
      <w:r>
        <w:t>Critical Limit(s)/Parameter(s) and Value(s)</w:t>
      </w:r>
    </w:p>
    <w:p w14:paraId="42F43250" w14:textId="77777777" w:rsidR="00FC742D" w:rsidRDefault="00FC742D" w:rsidP="00846B8F">
      <w:pPr>
        <w:pStyle w:val="ListParagraph"/>
        <w:numPr>
          <w:ilvl w:val="0"/>
          <w:numId w:val="35"/>
        </w:numPr>
        <w:spacing w:before="240"/>
        <w:contextualSpacing w:val="0"/>
      </w:pPr>
      <w:r>
        <w:t>Seaweed is grown and/or harvested from clean waters without any chemical-related health or consumption advisories by federal, state, tribal, territorial, local, or foreign regulatory authorities.</w:t>
      </w:r>
    </w:p>
    <w:p w14:paraId="0E622109" w14:textId="2D3B0912" w:rsidR="00FC742D" w:rsidRDefault="00FC742D" w:rsidP="00846B8F">
      <w:pPr>
        <w:pStyle w:val="ListParagraph"/>
        <w:numPr>
          <w:ilvl w:val="1"/>
          <w:numId w:val="35"/>
        </w:numPr>
        <w:contextualSpacing w:val="0"/>
      </w:pPr>
      <w:r w:rsidRPr="00FC742D">
        <w:rPr>
          <w:b/>
          <w:bCs/>
        </w:rPr>
        <w:t>NOTE:</w:t>
      </w:r>
      <w:r>
        <w:t xml:space="preserve"> consumption advisories will likely be fish or shellfish specific unless a state has a program/process for testing and certifying seaweed specific growing waters and harvest areas.</w:t>
      </w:r>
    </w:p>
    <w:p w14:paraId="67C59C56" w14:textId="7373CD0C" w:rsidR="00940182" w:rsidRDefault="00940182" w:rsidP="00691E23">
      <w:pPr>
        <w:pStyle w:val="Heading4"/>
      </w:pPr>
      <w:r>
        <w:lastRenderedPageBreak/>
        <w:t>Monitoring – What, How, How Often, Who</w:t>
      </w:r>
    </w:p>
    <w:p w14:paraId="7A00D1C5" w14:textId="77777777" w:rsidR="00940182" w:rsidRDefault="00940182" w:rsidP="00846B8F">
      <w:pPr>
        <w:pStyle w:val="ListParagraph"/>
        <w:numPr>
          <w:ilvl w:val="0"/>
          <w:numId w:val="35"/>
        </w:numPr>
        <w:spacing w:before="240"/>
        <w:contextualSpacing w:val="0"/>
      </w:pPr>
      <w:r>
        <w:t>What will be monitored?</w:t>
      </w:r>
    </w:p>
    <w:p w14:paraId="0C7C5F38" w14:textId="0913B3DE" w:rsidR="00940182" w:rsidRDefault="00940182" w:rsidP="00846B8F">
      <w:pPr>
        <w:pStyle w:val="ListParagraph"/>
        <w:numPr>
          <w:ilvl w:val="1"/>
          <w:numId w:val="35"/>
        </w:numPr>
        <w:contextualSpacing w:val="0"/>
      </w:pPr>
      <w:r>
        <w:t>Producer records including date/time of harvest and harvest location along with verification that the harvest location is not under closure or subject to consumption advisories for environmental contaminants and/or pesticides.</w:t>
      </w:r>
    </w:p>
    <w:p w14:paraId="1A5D9A13" w14:textId="77777777" w:rsidR="00940182" w:rsidRDefault="00940182" w:rsidP="00846B8F">
      <w:pPr>
        <w:pStyle w:val="ListParagraph"/>
        <w:numPr>
          <w:ilvl w:val="0"/>
          <w:numId w:val="35"/>
        </w:numPr>
        <w:contextualSpacing w:val="0"/>
      </w:pPr>
      <w:r>
        <w:t>How will monitoring be done?</w:t>
      </w:r>
    </w:p>
    <w:p w14:paraId="13EC7D42" w14:textId="53E80412" w:rsidR="00940182" w:rsidRDefault="00940182" w:rsidP="00846B8F">
      <w:pPr>
        <w:pStyle w:val="ListParagraph"/>
        <w:numPr>
          <w:ilvl w:val="1"/>
          <w:numId w:val="35"/>
        </w:numPr>
        <w:contextualSpacing w:val="0"/>
      </w:pPr>
      <w:r>
        <w:t xml:space="preserve">Obtain harvester/grower records indicating location of farm or harvest date </w:t>
      </w:r>
      <w:r w:rsidRPr="006D51B6">
        <w:rPr>
          <w:b/>
          <w:bCs/>
        </w:rPr>
        <w:t>AND</w:t>
      </w:r>
      <w:r>
        <w:t xml:space="preserve"> confirm that the harvest site was not closed or under consumption advisory by the state, tribal, territorial, local, federal, or foreign authorities at the time of harvest.</w:t>
      </w:r>
    </w:p>
    <w:p w14:paraId="728E02D9" w14:textId="77777777" w:rsidR="00940182" w:rsidRDefault="00940182" w:rsidP="00846B8F">
      <w:pPr>
        <w:pStyle w:val="ListParagraph"/>
        <w:numPr>
          <w:ilvl w:val="0"/>
          <w:numId w:val="35"/>
        </w:numPr>
        <w:contextualSpacing w:val="0"/>
      </w:pPr>
      <w:r>
        <w:t>How often will monitoring be done?</w:t>
      </w:r>
    </w:p>
    <w:p w14:paraId="4D102FAC" w14:textId="06F0F7C4" w:rsidR="00940182" w:rsidRDefault="00940182" w:rsidP="00846B8F">
      <w:pPr>
        <w:pStyle w:val="ListParagraph"/>
        <w:numPr>
          <w:ilvl w:val="1"/>
          <w:numId w:val="35"/>
        </w:numPr>
        <w:contextualSpacing w:val="0"/>
      </w:pPr>
      <w:r>
        <w:t>At time of receipt for all lots received.</w:t>
      </w:r>
    </w:p>
    <w:p w14:paraId="0101C89B" w14:textId="655DC9C8" w:rsidR="00940182" w:rsidRDefault="00940182" w:rsidP="00846B8F">
      <w:pPr>
        <w:pStyle w:val="ListParagraph"/>
        <w:numPr>
          <w:ilvl w:val="0"/>
          <w:numId w:val="35"/>
        </w:numPr>
        <w:contextualSpacing w:val="0"/>
      </w:pPr>
      <w:r>
        <w:t>Who will do the monitoring?</w:t>
      </w:r>
    </w:p>
    <w:p w14:paraId="39ECCD07" w14:textId="3C79A419" w:rsidR="00940182" w:rsidRDefault="00940182" w:rsidP="00846B8F">
      <w:pPr>
        <w:pStyle w:val="ListParagraph"/>
        <w:numPr>
          <w:ilvl w:val="1"/>
          <w:numId w:val="35"/>
        </w:numPr>
        <w:contextualSpacing w:val="0"/>
      </w:pPr>
      <w:r>
        <w:t>An individual with an understanding and knowledge of the controls and procedures for monitoring.</w:t>
      </w:r>
    </w:p>
    <w:p w14:paraId="53C244D9" w14:textId="2E537BDB" w:rsidR="006D51B6" w:rsidRDefault="006D51B6" w:rsidP="00691E23">
      <w:pPr>
        <w:pStyle w:val="Heading4"/>
      </w:pPr>
      <w:r>
        <w:t>Corrective Action/Corrections</w:t>
      </w:r>
    </w:p>
    <w:p w14:paraId="249FD648" w14:textId="0FD2FD16" w:rsidR="006D51B6" w:rsidRDefault="006D51B6" w:rsidP="00846B8F">
      <w:pPr>
        <w:pStyle w:val="ListParagraph"/>
        <w:numPr>
          <w:ilvl w:val="0"/>
          <w:numId w:val="36"/>
        </w:numPr>
        <w:spacing w:before="240"/>
        <w:contextualSpacing w:val="0"/>
      </w:pPr>
      <w:r w:rsidRPr="006D51B6">
        <w:t xml:space="preserve">If seaweed received is harvested from waters known to be contaminated or under </w:t>
      </w:r>
      <w:r>
        <w:t>consumption advisories, then reject the lot.</w:t>
      </w:r>
    </w:p>
    <w:p w14:paraId="22EC4D78" w14:textId="1E4D6FCF" w:rsidR="006D51B6" w:rsidRDefault="006D51B6" w:rsidP="006D51B6">
      <w:r w:rsidRPr="006D51B6">
        <w:rPr>
          <w:b/>
          <w:bCs/>
        </w:rPr>
        <w:t>AND</w:t>
      </w:r>
      <w:r>
        <w:t xml:space="preserve"> address the root cause to prevent future occurrence.</w:t>
      </w:r>
    </w:p>
    <w:p w14:paraId="5E64A8BE" w14:textId="1BC728D3" w:rsidR="006D51B6" w:rsidRDefault="006D51B6" w:rsidP="00846B8F">
      <w:pPr>
        <w:pStyle w:val="ListParagraph"/>
        <w:numPr>
          <w:ilvl w:val="0"/>
          <w:numId w:val="36"/>
        </w:numPr>
        <w:contextualSpacing w:val="0"/>
      </w:pPr>
      <w:r>
        <w:t>Discontinue use of the supplier until evidence is obtained that harvesting practices have been changed by confirming harvest from approved waters without consumption advisories.</w:t>
      </w:r>
    </w:p>
    <w:p w14:paraId="56AA6B0C" w14:textId="77777777" w:rsidR="006D51B6" w:rsidRDefault="006D51B6" w:rsidP="00691E23">
      <w:pPr>
        <w:pStyle w:val="Heading4"/>
      </w:pPr>
      <w:r>
        <w:t>Verification</w:t>
      </w:r>
    </w:p>
    <w:p w14:paraId="62D98605" w14:textId="28F37147" w:rsidR="006D51B6" w:rsidRDefault="006D51B6" w:rsidP="00846B8F">
      <w:pPr>
        <w:pStyle w:val="ListParagraph"/>
        <w:numPr>
          <w:ilvl w:val="0"/>
          <w:numId w:val="36"/>
        </w:numPr>
        <w:spacing w:before="240"/>
        <w:contextualSpacing w:val="0"/>
      </w:pPr>
      <w:r>
        <w:t>Review of monitoring and corrective action records within one week of preparation to ensure they were completed appropriately.</w:t>
      </w:r>
    </w:p>
    <w:p w14:paraId="4DF765C7" w14:textId="4275EB36" w:rsidR="006D51B6" w:rsidRDefault="006D51B6" w:rsidP="00846B8F">
      <w:pPr>
        <w:pStyle w:val="ListParagraph"/>
        <w:numPr>
          <w:ilvl w:val="0"/>
          <w:numId w:val="36"/>
        </w:numPr>
        <w:contextualSpacing w:val="0"/>
      </w:pPr>
      <w:r>
        <w:t>Periodic monitoring of federal, state, local, or foreign regulatory authorities' websites or reports on harvest restrictions and consumption advisories for water bodies that products are sourced from.</w:t>
      </w:r>
    </w:p>
    <w:p w14:paraId="270855B7" w14:textId="37820171" w:rsidR="006D51B6" w:rsidRDefault="006D51B6" w:rsidP="00846B8F">
      <w:pPr>
        <w:pStyle w:val="ListParagraph"/>
        <w:numPr>
          <w:ilvl w:val="0"/>
          <w:numId w:val="36"/>
        </w:numPr>
        <w:contextualSpacing w:val="0"/>
      </w:pPr>
      <w:r>
        <w:lastRenderedPageBreak/>
        <w:t xml:space="preserve">Periodic product testing to verify that status of harvest waters is effectively controlling the environmental chemical contaminant hazard. Refer to Appendix </w:t>
      </w:r>
      <w:r w:rsidR="002033A6">
        <w:t>F</w:t>
      </w:r>
      <w:r>
        <w:t xml:space="preserve"> for detailed guidance on determining safe consumption levels for seaweed products.</w:t>
      </w:r>
    </w:p>
    <w:p w14:paraId="05CD1FD5" w14:textId="77777777" w:rsidR="006D51B6" w:rsidRDefault="006D51B6" w:rsidP="00691E23">
      <w:pPr>
        <w:pStyle w:val="Heading4"/>
      </w:pPr>
      <w:r>
        <w:t>Records</w:t>
      </w:r>
    </w:p>
    <w:p w14:paraId="294AD365" w14:textId="77777777" w:rsidR="006D51B6" w:rsidRDefault="006D51B6" w:rsidP="00846B8F">
      <w:pPr>
        <w:pStyle w:val="ListParagraph"/>
        <w:numPr>
          <w:ilvl w:val="0"/>
          <w:numId w:val="37"/>
        </w:numPr>
        <w:spacing w:before="240"/>
        <w:contextualSpacing w:val="0"/>
      </w:pPr>
      <w:r w:rsidRPr="006D51B6">
        <w:rPr>
          <w:b/>
          <w:bCs/>
        </w:rPr>
        <w:t>Receiving Records:</w:t>
      </w:r>
      <w:r>
        <w:t xml:space="preserve"> Including the harvest date, harvest location, quantity of seaweed, and harvester contact or permit information (if purchased directly from the producer) along with verification of the harvest location’s current status.</w:t>
      </w:r>
    </w:p>
    <w:p w14:paraId="369C9931" w14:textId="77777777" w:rsidR="006D51B6" w:rsidRDefault="006D51B6" w:rsidP="00846B8F">
      <w:pPr>
        <w:pStyle w:val="ListParagraph"/>
        <w:numPr>
          <w:ilvl w:val="0"/>
          <w:numId w:val="37"/>
        </w:numPr>
        <w:contextualSpacing w:val="0"/>
      </w:pPr>
      <w:r w:rsidRPr="006D51B6">
        <w:rPr>
          <w:b/>
          <w:bCs/>
        </w:rPr>
        <w:t>Corrective Action Records:</w:t>
      </w:r>
      <w:r>
        <w:t xml:space="preserve"> Documentation of any corrective actions taken (if needed).</w:t>
      </w:r>
    </w:p>
    <w:p w14:paraId="30ADBBED" w14:textId="40CD582D" w:rsidR="006D51B6" w:rsidRDefault="006D51B6" w:rsidP="00846B8F">
      <w:pPr>
        <w:pStyle w:val="ListParagraph"/>
        <w:numPr>
          <w:ilvl w:val="0"/>
          <w:numId w:val="37"/>
        </w:numPr>
        <w:contextualSpacing w:val="0"/>
      </w:pPr>
      <w:r w:rsidRPr="006D51B6">
        <w:rPr>
          <w:b/>
          <w:bCs/>
        </w:rPr>
        <w:t>Verification Records:</w:t>
      </w:r>
      <w:r>
        <w:t xml:space="preserve"> Documentation of periodic reviews (at least once a year) of harvest locations for closures or consumption advisories. Testing results from periodic product testing.</w:t>
      </w:r>
    </w:p>
    <w:p w14:paraId="7B75E3CE" w14:textId="61BE9065" w:rsidR="006D51B6" w:rsidRDefault="006D51B6" w:rsidP="00846B8F">
      <w:pPr>
        <w:pStyle w:val="ListParagraph"/>
        <w:numPr>
          <w:ilvl w:val="0"/>
          <w:numId w:val="37"/>
        </w:numPr>
        <w:contextualSpacing w:val="0"/>
        <w:sectPr w:rsidR="006D51B6" w:rsidSect="00B82556">
          <w:pgSz w:w="12240" w:h="15840"/>
          <w:pgMar w:top="1440" w:right="1440" w:bottom="1440" w:left="1440" w:header="720" w:footer="720" w:gutter="0"/>
          <w:pgNumType w:chapStyle="1"/>
          <w:cols w:space="720"/>
          <w:docGrid w:linePitch="360"/>
        </w:sectPr>
      </w:pPr>
      <w:r w:rsidRPr="00AD559E">
        <w:rPr>
          <w:b/>
          <w:bCs/>
        </w:rPr>
        <w:t>Training Records:</w:t>
      </w:r>
      <w:r>
        <w:t xml:space="preserve"> A record of all relevant training completed</w:t>
      </w:r>
    </w:p>
    <w:p w14:paraId="0B05E02D" w14:textId="17DFEC3F" w:rsidR="006D51B6" w:rsidRDefault="00AD559E" w:rsidP="00691E23">
      <w:pPr>
        <w:pStyle w:val="Heading4"/>
      </w:pPr>
      <w:r>
        <w:lastRenderedPageBreak/>
        <w:t>Example HACCP Plan for Source Control</w:t>
      </w:r>
    </w:p>
    <w:p w14:paraId="402AE37B" w14:textId="644606A8" w:rsidR="00AD559E" w:rsidRDefault="00AD559E" w:rsidP="00893C28">
      <w:pPr>
        <w:ind w:left="-1080" w:right="-990"/>
      </w:pPr>
      <w:r>
        <w:t xml:space="preserve">Below is an example showing what a food safety plan could look like. It is intended for illustrative purposes only. Each producer must develop a plan tailored to their unique products, production and processing methods, and regulatory requirements. </w:t>
      </w:r>
      <w:r w:rsidRPr="00AD559E">
        <w:rPr>
          <w:b/>
          <w:bCs/>
        </w:rPr>
        <w:t>These examples should not be copied and used without modification to fit your specific operation.</w:t>
      </w:r>
    </w:p>
    <w:p w14:paraId="4865C78A" w14:textId="77777777" w:rsidR="00AD559E" w:rsidRDefault="00AD559E" w:rsidP="00893C28">
      <w:pPr>
        <w:ind w:left="-1080"/>
        <w:contextualSpacing/>
      </w:pPr>
      <w:r w:rsidRPr="003A3987">
        <w:rPr>
          <w:b/>
          <w:bCs/>
        </w:rPr>
        <w:t>Control Strategy:</w:t>
      </w:r>
      <w:r>
        <w:t xml:space="preserve"> Source Control</w:t>
      </w:r>
    </w:p>
    <w:p w14:paraId="03A4DB85" w14:textId="77777777" w:rsidR="00AD559E" w:rsidRDefault="00AD559E" w:rsidP="00893C28">
      <w:pPr>
        <w:ind w:left="-1080"/>
        <w:contextualSpacing/>
      </w:pPr>
      <w:r w:rsidRPr="00AD559E">
        <w:rPr>
          <w:b/>
          <w:bCs/>
        </w:rPr>
        <w:t>Critical Control Point (HACCP):</w:t>
      </w:r>
      <w:r>
        <w:t xml:space="preserve"> Receiving</w:t>
      </w:r>
    </w:p>
    <w:p w14:paraId="2B35BDDD" w14:textId="66861D62" w:rsidR="00AD559E" w:rsidRPr="00AD559E" w:rsidRDefault="00AD559E" w:rsidP="00893C28">
      <w:pPr>
        <w:ind w:left="-1080"/>
        <w:contextualSpacing/>
      </w:pPr>
      <w:r w:rsidRPr="00AD559E">
        <w:rPr>
          <w:b/>
          <w:bCs/>
        </w:rPr>
        <w:t>Hazard:</w:t>
      </w:r>
      <w:r>
        <w:t xml:space="preserve"> Environmental Contaminants</w:t>
      </w:r>
    </w:p>
    <w:tbl>
      <w:tblPr>
        <w:tblStyle w:val="TableGrid"/>
        <w:tblW w:w="15210" w:type="dxa"/>
        <w:tblInd w:w="-108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tblCellMar>
        <w:tblLook w:val="04A0" w:firstRow="1" w:lastRow="0" w:firstColumn="1" w:lastColumn="0" w:noHBand="0" w:noVBand="1"/>
        <w:tblCaption w:val="Example HACCP Plan for Source Control: Environmental Contaminants"/>
        <w:tblDescription w:val="Column Headers: Parameters/Values/Critical Limits, Monitoring (What/How/When/Who as subheader columns within), Corrective Action, Verification, Records."/>
      </w:tblPr>
      <w:tblGrid>
        <w:gridCol w:w="2340"/>
        <w:gridCol w:w="1710"/>
        <w:gridCol w:w="1530"/>
        <w:gridCol w:w="1260"/>
        <w:gridCol w:w="1080"/>
        <w:gridCol w:w="2250"/>
        <w:gridCol w:w="2970"/>
        <w:gridCol w:w="2070"/>
      </w:tblGrid>
      <w:tr w:rsidR="00AD559E" w14:paraId="18430115" w14:textId="77777777" w:rsidTr="00A61B74">
        <w:trPr>
          <w:trHeight w:val="390"/>
        </w:trPr>
        <w:tc>
          <w:tcPr>
            <w:tcW w:w="2340" w:type="dxa"/>
            <w:vMerge w:val="restart"/>
            <w:shd w:val="clear" w:color="auto" w:fill="D1D1D1" w:themeFill="background2" w:themeFillShade="E6"/>
          </w:tcPr>
          <w:p w14:paraId="436D8EC0" w14:textId="77777777" w:rsidR="00AD559E" w:rsidRPr="0001662C" w:rsidRDefault="00AD559E" w:rsidP="00DF5603">
            <w:pPr>
              <w:jc w:val="center"/>
              <w:rPr>
                <w:b/>
                <w:bCs/>
              </w:rPr>
            </w:pPr>
            <w:r w:rsidRPr="0001662C">
              <w:rPr>
                <w:b/>
                <w:bCs/>
              </w:rPr>
              <w:t>Parameters, Values, Critical Limits</w:t>
            </w:r>
          </w:p>
        </w:tc>
        <w:tc>
          <w:tcPr>
            <w:tcW w:w="5580" w:type="dxa"/>
            <w:gridSpan w:val="4"/>
            <w:shd w:val="clear" w:color="auto" w:fill="D1D1D1" w:themeFill="background2" w:themeFillShade="E6"/>
          </w:tcPr>
          <w:p w14:paraId="5D0A3C1B" w14:textId="77777777" w:rsidR="00AD559E" w:rsidRPr="0001662C" w:rsidRDefault="00AD559E" w:rsidP="00DF5603">
            <w:pPr>
              <w:jc w:val="center"/>
              <w:rPr>
                <w:b/>
                <w:bCs/>
              </w:rPr>
            </w:pPr>
            <w:r w:rsidRPr="0001662C">
              <w:rPr>
                <w:b/>
                <w:bCs/>
              </w:rPr>
              <w:t>Monitoring</w:t>
            </w:r>
          </w:p>
        </w:tc>
        <w:tc>
          <w:tcPr>
            <w:tcW w:w="2250" w:type="dxa"/>
            <w:vMerge w:val="restart"/>
            <w:shd w:val="clear" w:color="auto" w:fill="D1D1D1" w:themeFill="background2" w:themeFillShade="E6"/>
          </w:tcPr>
          <w:p w14:paraId="6CB0C846" w14:textId="77777777" w:rsidR="00AD559E" w:rsidRPr="0001662C" w:rsidRDefault="00AD559E" w:rsidP="00DF5603">
            <w:pPr>
              <w:jc w:val="center"/>
              <w:rPr>
                <w:b/>
                <w:bCs/>
              </w:rPr>
            </w:pPr>
            <w:r w:rsidRPr="0001662C">
              <w:rPr>
                <w:b/>
                <w:bCs/>
              </w:rPr>
              <w:t>Corrective Action</w:t>
            </w:r>
          </w:p>
        </w:tc>
        <w:tc>
          <w:tcPr>
            <w:tcW w:w="2970" w:type="dxa"/>
            <w:vMerge w:val="restart"/>
            <w:shd w:val="clear" w:color="auto" w:fill="D1D1D1" w:themeFill="background2" w:themeFillShade="E6"/>
          </w:tcPr>
          <w:p w14:paraId="550017EB" w14:textId="77777777" w:rsidR="00AD559E" w:rsidRPr="0001662C" w:rsidRDefault="00AD559E" w:rsidP="00DF5603">
            <w:pPr>
              <w:jc w:val="center"/>
              <w:rPr>
                <w:b/>
                <w:bCs/>
              </w:rPr>
            </w:pPr>
            <w:r w:rsidRPr="0001662C">
              <w:rPr>
                <w:b/>
                <w:bCs/>
              </w:rPr>
              <w:t>Verification</w:t>
            </w:r>
          </w:p>
        </w:tc>
        <w:tc>
          <w:tcPr>
            <w:tcW w:w="2070" w:type="dxa"/>
            <w:vMerge w:val="restart"/>
            <w:shd w:val="clear" w:color="auto" w:fill="D1D1D1" w:themeFill="background2" w:themeFillShade="E6"/>
          </w:tcPr>
          <w:p w14:paraId="7FA28130" w14:textId="77777777" w:rsidR="00AD559E" w:rsidRPr="0001662C" w:rsidRDefault="00AD559E" w:rsidP="00DF5603">
            <w:pPr>
              <w:jc w:val="center"/>
              <w:rPr>
                <w:b/>
                <w:bCs/>
              </w:rPr>
            </w:pPr>
            <w:r w:rsidRPr="0001662C">
              <w:rPr>
                <w:b/>
                <w:bCs/>
              </w:rPr>
              <w:t>Records</w:t>
            </w:r>
          </w:p>
        </w:tc>
      </w:tr>
      <w:tr w:rsidR="00AD559E" w14:paraId="4DEC144D" w14:textId="77777777" w:rsidTr="00A61B74">
        <w:trPr>
          <w:trHeight w:val="20"/>
        </w:trPr>
        <w:tc>
          <w:tcPr>
            <w:tcW w:w="2340" w:type="dxa"/>
            <w:vMerge/>
          </w:tcPr>
          <w:p w14:paraId="5D8D32CE" w14:textId="77777777" w:rsidR="00AD559E" w:rsidRPr="0001662C" w:rsidRDefault="00AD559E" w:rsidP="00DF5603">
            <w:pPr>
              <w:rPr>
                <w:b/>
                <w:bCs/>
              </w:rPr>
            </w:pPr>
          </w:p>
        </w:tc>
        <w:tc>
          <w:tcPr>
            <w:tcW w:w="1710" w:type="dxa"/>
            <w:shd w:val="clear" w:color="auto" w:fill="D1D1D1" w:themeFill="background2" w:themeFillShade="E6"/>
          </w:tcPr>
          <w:p w14:paraId="0CE3012D" w14:textId="77777777" w:rsidR="00AD559E" w:rsidRPr="0001662C" w:rsidRDefault="00AD559E" w:rsidP="00DF5603">
            <w:pPr>
              <w:jc w:val="center"/>
              <w:rPr>
                <w:b/>
                <w:bCs/>
              </w:rPr>
            </w:pPr>
            <w:r w:rsidRPr="0001662C">
              <w:rPr>
                <w:b/>
                <w:bCs/>
              </w:rPr>
              <w:t>What</w:t>
            </w:r>
          </w:p>
        </w:tc>
        <w:tc>
          <w:tcPr>
            <w:tcW w:w="1530" w:type="dxa"/>
            <w:shd w:val="clear" w:color="auto" w:fill="D1D1D1" w:themeFill="background2" w:themeFillShade="E6"/>
          </w:tcPr>
          <w:p w14:paraId="7BB0C3E1" w14:textId="77777777" w:rsidR="00AD559E" w:rsidRPr="0001662C" w:rsidRDefault="00AD559E" w:rsidP="00DF5603">
            <w:pPr>
              <w:jc w:val="center"/>
              <w:rPr>
                <w:b/>
                <w:bCs/>
              </w:rPr>
            </w:pPr>
            <w:r w:rsidRPr="0001662C">
              <w:rPr>
                <w:b/>
                <w:bCs/>
              </w:rPr>
              <w:t>How</w:t>
            </w:r>
          </w:p>
        </w:tc>
        <w:tc>
          <w:tcPr>
            <w:tcW w:w="1260" w:type="dxa"/>
            <w:shd w:val="clear" w:color="auto" w:fill="D1D1D1" w:themeFill="background2" w:themeFillShade="E6"/>
          </w:tcPr>
          <w:p w14:paraId="47579935" w14:textId="77777777" w:rsidR="00AD559E" w:rsidRPr="0001662C" w:rsidRDefault="00AD559E" w:rsidP="00DF5603">
            <w:pPr>
              <w:jc w:val="center"/>
              <w:rPr>
                <w:b/>
                <w:bCs/>
              </w:rPr>
            </w:pPr>
            <w:r w:rsidRPr="0001662C">
              <w:rPr>
                <w:b/>
                <w:bCs/>
              </w:rPr>
              <w:t>When</w:t>
            </w:r>
          </w:p>
        </w:tc>
        <w:tc>
          <w:tcPr>
            <w:tcW w:w="1080" w:type="dxa"/>
            <w:shd w:val="clear" w:color="auto" w:fill="D1D1D1" w:themeFill="background2" w:themeFillShade="E6"/>
          </w:tcPr>
          <w:p w14:paraId="069D5382" w14:textId="77777777" w:rsidR="00AD559E" w:rsidRPr="0001662C" w:rsidRDefault="00AD559E" w:rsidP="00DF5603">
            <w:pPr>
              <w:jc w:val="center"/>
              <w:rPr>
                <w:b/>
                <w:bCs/>
              </w:rPr>
            </w:pPr>
            <w:r w:rsidRPr="0001662C">
              <w:rPr>
                <w:b/>
                <w:bCs/>
              </w:rPr>
              <w:t>Who</w:t>
            </w:r>
          </w:p>
        </w:tc>
        <w:tc>
          <w:tcPr>
            <w:tcW w:w="2250" w:type="dxa"/>
            <w:vMerge/>
          </w:tcPr>
          <w:p w14:paraId="5C99601E" w14:textId="77777777" w:rsidR="00AD559E" w:rsidRDefault="00AD559E" w:rsidP="00DF5603"/>
        </w:tc>
        <w:tc>
          <w:tcPr>
            <w:tcW w:w="2970" w:type="dxa"/>
            <w:vMerge/>
          </w:tcPr>
          <w:p w14:paraId="03093A17" w14:textId="77777777" w:rsidR="00AD559E" w:rsidRDefault="00AD559E" w:rsidP="00DF5603"/>
        </w:tc>
        <w:tc>
          <w:tcPr>
            <w:tcW w:w="2070" w:type="dxa"/>
            <w:vMerge/>
          </w:tcPr>
          <w:p w14:paraId="14063A02" w14:textId="77777777" w:rsidR="00AD559E" w:rsidRDefault="00AD559E" w:rsidP="00DF5603"/>
        </w:tc>
      </w:tr>
      <w:tr w:rsidR="00AD559E" w14:paraId="0A89A8D7" w14:textId="77777777" w:rsidTr="00A61B74">
        <w:trPr>
          <w:trHeight w:val="5349"/>
        </w:trPr>
        <w:tc>
          <w:tcPr>
            <w:tcW w:w="2340" w:type="dxa"/>
          </w:tcPr>
          <w:p w14:paraId="74D3B9F1" w14:textId="6D7A43DA" w:rsidR="00AD559E" w:rsidRPr="00677CAA" w:rsidRDefault="00AD559E" w:rsidP="007235FC">
            <w:pPr>
              <w:spacing w:before="240"/>
              <w:rPr>
                <w:sz w:val="22"/>
                <w:szCs w:val="22"/>
              </w:rPr>
            </w:pPr>
            <w:r w:rsidRPr="006D51B6">
              <w:rPr>
                <w:sz w:val="22"/>
                <w:szCs w:val="22"/>
              </w:rPr>
              <w:t>No seaweed is grown and/or harvested from waters with any health or consumption advisories by federal, state, tribal, territorial, local, or foreign regulatory authorities indicating that the water body is unsafe for food production, harvest, or the seaweed itself is unsafe for consumption.</w:t>
            </w:r>
          </w:p>
        </w:tc>
        <w:tc>
          <w:tcPr>
            <w:tcW w:w="1710" w:type="dxa"/>
          </w:tcPr>
          <w:p w14:paraId="799148EF" w14:textId="77777777" w:rsidR="00AD559E" w:rsidRPr="00677CAA" w:rsidRDefault="00AD559E" w:rsidP="007235FC">
            <w:pPr>
              <w:spacing w:before="240"/>
              <w:rPr>
                <w:sz w:val="22"/>
                <w:szCs w:val="22"/>
              </w:rPr>
            </w:pPr>
            <w:r w:rsidRPr="006D51B6">
              <w:rPr>
                <w:sz w:val="22"/>
                <w:szCs w:val="22"/>
              </w:rPr>
              <w:t>Producer records including date/time of harvest and harvest location along with verification that the harvest location is not under closure or subject to consumption advisories for environmental contaminants and/or pesticides.</w:t>
            </w:r>
          </w:p>
        </w:tc>
        <w:tc>
          <w:tcPr>
            <w:tcW w:w="1530" w:type="dxa"/>
          </w:tcPr>
          <w:p w14:paraId="55A7F8BA" w14:textId="77777777" w:rsidR="00AD559E" w:rsidRPr="00677CAA" w:rsidRDefault="00AD559E" w:rsidP="007235FC">
            <w:pPr>
              <w:spacing w:before="240"/>
              <w:rPr>
                <w:sz w:val="22"/>
                <w:szCs w:val="22"/>
              </w:rPr>
            </w:pPr>
            <w:r w:rsidRPr="006D51B6">
              <w:rPr>
                <w:sz w:val="22"/>
                <w:szCs w:val="22"/>
              </w:rPr>
              <w:t>Obtain and review harvester/ grower records and verify that the harvest site is safe for food production and no consumption advisories are in place.</w:t>
            </w:r>
          </w:p>
        </w:tc>
        <w:tc>
          <w:tcPr>
            <w:tcW w:w="1260" w:type="dxa"/>
          </w:tcPr>
          <w:p w14:paraId="27FDD3CF" w14:textId="77777777" w:rsidR="00AD559E" w:rsidRPr="00677CAA" w:rsidRDefault="00AD559E" w:rsidP="007235FC">
            <w:pPr>
              <w:spacing w:before="240"/>
              <w:rPr>
                <w:sz w:val="22"/>
                <w:szCs w:val="22"/>
              </w:rPr>
            </w:pPr>
            <w:r w:rsidRPr="006D51B6">
              <w:rPr>
                <w:sz w:val="22"/>
                <w:szCs w:val="22"/>
              </w:rPr>
              <w:t>At time of receipt for all lots received</w:t>
            </w:r>
            <w:r>
              <w:rPr>
                <w:sz w:val="22"/>
                <w:szCs w:val="22"/>
              </w:rPr>
              <w:t>.</w:t>
            </w:r>
          </w:p>
        </w:tc>
        <w:tc>
          <w:tcPr>
            <w:tcW w:w="1080" w:type="dxa"/>
          </w:tcPr>
          <w:p w14:paraId="4FB376AD" w14:textId="77777777" w:rsidR="00AD559E" w:rsidRPr="00677CAA" w:rsidRDefault="00AD559E" w:rsidP="007235FC">
            <w:pPr>
              <w:spacing w:before="240"/>
              <w:rPr>
                <w:sz w:val="22"/>
                <w:szCs w:val="22"/>
              </w:rPr>
            </w:pPr>
            <w:r w:rsidRPr="00677CAA">
              <w:rPr>
                <w:sz w:val="22"/>
                <w:szCs w:val="22"/>
              </w:rPr>
              <w:t>Receiving Manager</w:t>
            </w:r>
          </w:p>
        </w:tc>
        <w:tc>
          <w:tcPr>
            <w:tcW w:w="2250" w:type="dxa"/>
          </w:tcPr>
          <w:p w14:paraId="05223BE7" w14:textId="77777777" w:rsidR="00893C28" w:rsidRDefault="00AD559E" w:rsidP="007235FC">
            <w:pPr>
              <w:spacing w:before="240"/>
              <w:rPr>
                <w:sz w:val="22"/>
                <w:szCs w:val="22"/>
              </w:rPr>
            </w:pPr>
            <w:r w:rsidRPr="006D51B6">
              <w:rPr>
                <w:sz w:val="22"/>
                <w:szCs w:val="22"/>
              </w:rPr>
              <w:t xml:space="preserve">If seaweed received is harvested from waters known to be contaminated or under consumption advisories, then, reject the lot </w:t>
            </w:r>
          </w:p>
          <w:p w14:paraId="4FA7122A" w14:textId="77777777" w:rsidR="00893C28" w:rsidRDefault="00AD559E" w:rsidP="007235FC">
            <w:pPr>
              <w:spacing w:before="240"/>
              <w:rPr>
                <w:sz w:val="22"/>
                <w:szCs w:val="22"/>
              </w:rPr>
            </w:pPr>
            <w:r w:rsidRPr="006D51B6">
              <w:rPr>
                <w:b/>
                <w:bCs/>
                <w:sz w:val="22"/>
                <w:szCs w:val="22"/>
              </w:rPr>
              <w:t>AND</w:t>
            </w:r>
            <w:r w:rsidRPr="006D51B6">
              <w:rPr>
                <w:sz w:val="22"/>
                <w:szCs w:val="22"/>
              </w:rPr>
              <w:t xml:space="preserve"> </w:t>
            </w:r>
          </w:p>
          <w:p w14:paraId="32DCB9D1" w14:textId="05F97FC3" w:rsidR="00AD559E" w:rsidRPr="00677CAA" w:rsidRDefault="00893C28" w:rsidP="007235FC">
            <w:pPr>
              <w:spacing w:before="240"/>
              <w:rPr>
                <w:sz w:val="22"/>
                <w:szCs w:val="22"/>
              </w:rPr>
            </w:pPr>
            <w:r>
              <w:rPr>
                <w:sz w:val="22"/>
                <w:szCs w:val="22"/>
              </w:rPr>
              <w:t>D</w:t>
            </w:r>
            <w:r w:rsidR="00AD559E" w:rsidRPr="006D51B6">
              <w:rPr>
                <w:sz w:val="22"/>
                <w:szCs w:val="22"/>
              </w:rPr>
              <w:t>iscontinue use of the supplier until evidence is obtained that harvesting practices have been changed by confirming harvest from approved waters without consumption advisories.</w:t>
            </w:r>
          </w:p>
        </w:tc>
        <w:tc>
          <w:tcPr>
            <w:tcW w:w="2970" w:type="dxa"/>
          </w:tcPr>
          <w:p w14:paraId="7388703A" w14:textId="6D47DF0C" w:rsidR="00AD559E" w:rsidRDefault="00AD559E" w:rsidP="007235FC">
            <w:pPr>
              <w:spacing w:before="240"/>
              <w:rPr>
                <w:sz w:val="22"/>
                <w:szCs w:val="22"/>
              </w:rPr>
            </w:pPr>
            <w:r w:rsidRPr="006D51B6">
              <w:rPr>
                <w:sz w:val="22"/>
                <w:szCs w:val="22"/>
              </w:rPr>
              <w:t xml:space="preserve">Review of monitoring and corrective action records within one week </w:t>
            </w:r>
            <w:r w:rsidRPr="00893C28">
              <w:rPr>
                <w:sz w:val="22"/>
                <w:szCs w:val="22"/>
              </w:rPr>
              <w:t>of taking to</w:t>
            </w:r>
            <w:r w:rsidRPr="006D51B6">
              <w:rPr>
                <w:sz w:val="22"/>
                <w:szCs w:val="22"/>
              </w:rPr>
              <w:t xml:space="preserve"> ensure they were completed appropriately.</w:t>
            </w:r>
          </w:p>
          <w:p w14:paraId="54464C38" w14:textId="77777777" w:rsidR="00AD559E" w:rsidRPr="006D51B6" w:rsidRDefault="00AD559E" w:rsidP="007235FC">
            <w:pPr>
              <w:spacing w:before="240"/>
              <w:rPr>
                <w:sz w:val="22"/>
                <w:szCs w:val="22"/>
              </w:rPr>
            </w:pPr>
            <w:r w:rsidRPr="006D51B6">
              <w:rPr>
                <w:sz w:val="22"/>
                <w:szCs w:val="22"/>
              </w:rPr>
              <w:t>Periodic monitoring of federal, state, local, or foreign regulatory authorities’ websites or reports on harvest restrictions and consumption advisories for water bodies the products are sourced from.</w:t>
            </w:r>
          </w:p>
          <w:p w14:paraId="27E6D098" w14:textId="77777777" w:rsidR="00AD559E" w:rsidRPr="00677CAA" w:rsidRDefault="00AD559E" w:rsidP="007235FC">
            <w:pPr>
              <w:spacing w:before="240"/>
              <w:rPr>
                <w:sz w:val="22"/>
                <w:szCs w:val="22"/>
              </w:rPr>
            </w:pPr>
            <w:r w:rsidRPr="006D51B6">
              <w:rPr>
                <w:sz w:val="22"/>
                <w:szCs w:val="22"/>
              </w:rPr>
              <w:t>Periodic product testing to confirm sourcing controls adequately control the contaminant hazard.</w:t>
            </w:r>
          </w:p>
        </w:tc>
        <w:tc>
          <w:tcPr>
            <w:tcW w:w="2070" w:type="dxa"/>
          </w:tcPr>
          <w:p w14:paraId="5CDD1F4C" w14:textId="77777777" w:rsidR="00AD559E" w:rsidRPr="006D51B6" w:rsidRDefault="00AD559E" w:rsidP="007235FC">
            <w:pPr>
              <w:spacing w:before="240"/>
              <w:rPr>
                <w:sz w:val="22"/>
                <w:szCs w:val="22"/>
              </w:rPr>
            </w:pPr>
            <w:r w:rsidRPr="006D51B6">
              <w:rPr>
                <w:sz w:val="22"/>
                <w:szCs w:val="22"/>
              </w:rPr>
              <w:t xml:space="preserve">Receiving log that indicates the location and status check for the harvest area. </w:t>
            </w:r>
          </w:p>
          <w:p w14:paraId="2A069CC6" w14:textId="77777777" w:rsidR="00AD559E" w:rsidRPr="006D51B6" w:rsidRDefault="00AD559E" w:rsidP="007235FC">
            <w:pPr>
              <w:spacing w:before="240"/>
              <w:rPr>
                <w:sz w:val="22"/>
                <w:szCs w:val="22"/>
              </w:rPr>
            </w:pPr>
            <w:r w:rsidRPr="006D51B6">
              <w:rPr>
                <w:sz w:val="22"/>
                <w:szCs w:val="22"/>
              </w:rPr>
              <w:t>Corrective action records, if necessary.</w:t>
            </w:r>
          </w:p>
          <w:p w14:paraId="5AB91C90" w14:textId="77777777" w:rsidR="00AD559E" w:rsidRPr="00677CAA" w:rsidRDefault="00AD559E" w:rsidP="007235FC">
            <w:pPr>
              <w:spacing w:before="240"/>
              <w:rPr>
                <w:sz w:val="22"/>
                <w:szCs w:val="22"/>
              </w:rPr>
            </w:pPr>
            <w:r w:rsidRPr="006D51B6">
              <w:rPr>
                <w:sz w:val="22"/>
                <w:szCs w:val="22"/>
              </w:rPr>
              <w:t>Verification records including harvest restriction reports or checks and testing results</w:t>
            </w:r>
          </w:p>
        </w:tc>
      </w:tr>
    </w:tbl>
    <w:p w14:paraId="2ED85B5F" w14:textId="77777777" w:rsidR="00AD559E" w:rsidRDefault="00AD559E" w:rsidP="00AD559E">
      <w:pPr>
        <w:sectPr w:rsidR="00AD559E" w:rsidSect="006D51B6">
          <w:pgSz w:w="15840" w:h="12240" w:orient="landscape"/>
          <w:pgMar w:top="1440" w:right="1440" w:bottom="1440" w:left="1440" w:header="720" w:footer="720" w:gutter="0"/>
          <w:pgNumType w:chapStyle="1"/>
          <w:cols w:space="720"/>
          <w:docGrid w:linePitch="360"/>
        </w:sectPr>
      </w:pPr>
    </w:p>
    <w:p w14:paraId="189FBEF5" w14:textId="29DCA03C" w:rsidR="00AD559E" w:rsidRDefault="00AD559E" w:rsidP="00691E23">
      <w:pPr>
        <w:pStyle w:val="Heading3"/>
      </w:pPr>
      <w:bookmarkStart w:id="146" w:name="_Toc208503231"/>
      <w:r>
        <w:lastRenderedPageBreak/>
        <w:t>Control Strategy 2 – Supplier Certification Control</w:t>
      </w:r>
      <w:bookmarkEnd w:id="146"/>
    </w:p>
    <w:p w14:paraId="2113E04F" w14:textId="68AD31FF" w:rsidR="00AD559E" w:rsidRDefault="00AD559E" w:rsidP="00CB6D27">
      <w:pPr>
        <w:spacing w:before="240"/>
      </w:pPr>
      <w:r>
        <w:t>This control strategy can be used in locations if open certified bodies of water are regularly tested for potential environmental chemical hazards contaminants, and bioaccumulation is historically not prevalent. This could also be used for farmed seaweeds in land-based systems. Note that current testing and evaluation of open certified water bodies is specifically for shellfish and finfish species and may not be sufficient for seaweed given the difference in bioaccumulation. If aware of bioaccumulation of potentially toxic compounds in certified waters, producers are responsible for controlling these hazards.</w:t>
      </w:r>
    </w:p>
    <w:p w14:paraId="12910514" w14:textId="77777777" w:rsidR="00AD559E" w:rsidRDefault="00AD559E" w:rsidP="00691E23">
      <w:pPr>
        <w:pStyle w:val="Heading4"/>
      </w:pPr>
      <w:r>
        <w:t>Critical Limit(s)/Parameter(s) and Value(s)</w:t>
      </w:r>
    </w:p>
    <w:p w14:paraId="607C8397" w14:textId="77777777" w:rsidR="00AD559E" w:rsidRDefault="00AD559E" w:rsidP="00846B8F">
      <w:pPr>
        <w:pStyle w:val="ListParagraph"/>
        <w:numPr>
          <w:ilvl w:val="0"/>
          <w:numId w:val="38"/>
        </w:numPr>
        <w:spacing w:before="240"/>
        <w:contextualSpacing w:val="0"/>
      </w:pPr>
      <w:r>
        <w:t>A letter of guarantee is provided with each shipment, confirming the seaweed was harvested from waters safe for production, with no history of significant bioaccumulation or contamination.</w:t>
      </w:r>
    </w:p>
    <w:p w14:paraId="23D121F5" w14:textId="77777777" w:rsidR="00AD559E" w:rsidRPr="002D38F4" w:rsidRDefault="00AD559E" w:rsidP="00422940">
      <w:pPr>
        <w:rPr>
          <w:b/>
          <w:bCs/>
        </w:rPr>
      </w:pPr>
      <w:r w:rsidRPr="002D38F4">
        <w:rPr>
          <w:b/>
          <w:bCs/>
        </w:rPr>
        <w:t>OR</w:t>
      </w:r>
    </w:p>
    <w:p w14:paraId="29106F46" w14:textId="2FA00C14" w:rsidR="00AD559E" w:rsidRDefault="00AD559E" w:rsidP="00846B8F">
      <w:pPr>
        <w:pStyle w:val="ListParagraph"/>
        <w:numPr>
          <w:ilvl w:val="0"/>
          <w:numId w:val="38"/>
        </w:numPr>
        <w:contextualSpacing w:val="0"/>
      </w:pPr>
      <w:r>
        <w:t xml:space="preserve">A letter of guarantee is provided with each shipment from the farmer or supplier, certifying that the seaweed products have been tested and found to be free from contaminants at levels that would pose a risk to human health. Refer to Appendix </w:t>
      </w:r>
      <w:r w:rsidR="002033A6">
        <w:t>F</w:t>
      </w:r>
      <w:r>
        <w:t xml:space="preserve"> for detailed guidance on determining safe consumption levels for seaweed products.</w:t>
      </w:r>
    </w:p>
    <w:p w14:paraId="76899DE7" w14:textId="77777777" w:rsidR="00AD559E" w:rsidRDefault="00AD559E" w:rsidP="00691E23">
      <w:pPr>
        <w:pStyle w:val="Heading4"/>
      </w:pPr>
      <w:r>
        <w:t>Monitoring – What, How, How Often, Who</w:t>
      </w:r>
    </w:p>
    <w:p w14:paraId="187BA014" w14:textId="77777777" w:rsidR="00AD559E" w:rsidRDefault="00AD559E" w:rsidP="00846B8F">
      <w:pPr>
        <w:pStyle w:val="ListParagraph"/>
        <w:numPr>
          <w:ilvl w:val="0"/>
          <w:numId w:val="38"/>
        </w:numPr>
        <w:spacing w:before="240"/>
        <w:contextualSpacing w:val="0"/>
      </w:pPr>
      <w:r>
        <w:t>What will be monitored?</w:t>
      </w:r>
    </w:p>
    <w:p w14:paraId="59B8EE2A" w14:textId="5763E9C3" w:rsidR="00AD559E" w:rsidRDefault="00AD559E" w:rsidP="00846B8F">
      <w:pPr>
        <w:pStyle w:val="ListParagraph"/>
        <w:numPr>
          <w:ilvl w:val="1"/>
          <w:numId w:val="38"/>
        </w:numPr>
        <w:contextualSpacing w:val="0"/>
      </w:pPr>
      <w:r>
        <w:t>A signed supplier certification or letter of guarantee indicating that the product was harvested from waters safe for seaweed production that would not cause high levels of contamination in seaweed products.</w:t>
      </w:r>
    </w:p>
    <w:p w14:paraId="2695A55D" w14:textId="77777777" w:rsidR="00AD559E" w:rsidRPr="002D38F4" w:rsidRDefault="00AD559E" w:rsidP="00422940">
      <w:pPr>
        <w:ind w:left="720" w:firstLine="360"/>
        <w:rPr>
          <w:b/>
          <w:bCs/>
        </w:rPr>
      </w:pPr>
      <w:r w:rsidRPr="002D38F4">
        <w:rPr>
          <w:b/>
          <w:bCs/>
        </w:rPr>
        <w:t xml:space="preserve">OR </w:t>
      </w:r>
    </w:p>
    <w:p w14:paraId="55F5AE09" w14:textId="77777777" w:rsidR="00AD559E" w:rsidRDefault="00AD559E" w:rsidP="00846B8F">
      <w:pPr>
        <w:pStyle w:val="ListParagraph"/>
        <w:numPr>
          <w:ilvl w:val="1"/>
          <w:numId w:val="38"/>
        </w:numPr>
        <w:contextualSpacing w:val="0"/>
      </w:pPr>
      <w:r>
        <w:t>A signed supplier certification or letter of guarantee indicating that the product has been tested and does not have high levels of contamination in seaweed products.</w:t>
      </w:r>
    </w:p>
    <w:p w14:paraId="4D227386" w14:textId="77777777" w:rsidR="00AD559E" w:rsidRDefault="00AD559E" w:rsidP="00846B8F">
      <w:pPr>
        <w:pStyle w:val="ListParagraph"/>
        <w:numPr>
          <w:ilvl w:val="0"/>
          <w:numId w:val="38"/>
        </w:numPr>
        <w:contextualSpacing w:val="0"/>
      </w:pPr>
      <w:r>
        <w:t>How will monitoring be done?</w:t>
      </w:r>
    </w:p>
    <w:p w14:paraId="3DB6B6DE" w14:textId="2F0BCDC9" w:rsidR="00AD559E" w:rsidRDefault="00AD559E" w:rsidP="00846B8F">
      <w:pPr>
        <w:pStyle w:val="ListParagraph"/>
        <w:numPr>
          <w:ilvl w:val="1"/>
          <w:numId w:val="38"/>
        </w:numPr>
        <w:contextualSpacing w:val="0"/>
      </w:pPr>
      <w:r>
        <w:t>Visual check for certificate or letter of guarantee</w:t>
      </w:r>
    </w:p>
    <w:p w14:paraId="25923EAA" w14:textId="77777777" w:rsidR="00AD559E" w:rsidRDefault="00AD559E" w:rsidP="00846B8F">
      <w:pPr>
        <w:pStyle w:val="ListParagraph"/>
        <w:numPr>
          <w:ilvl w:val="0"/>
          <w:numId w:val="38"/>
        </w:numPr>
        <w:contextualSpacing w:val="0"/>
      </w:pPr>
      <w:r>
        <w:t>How often will monitoring be done?</w:t>
      </w:r>
    </w:p>
    <w:p w14:paraId="767AB554" w14:textId="72E259BB" w:rsidR="00AD559E" w:rsidRDefault="00AD559E" w:rsidP="00846B8F">
      <w:pPr>
        <w:pStyle w:val="ListParagraph"/>
        <w:numPr>
          <w:ilvl w:val="1"/>
          <w:numId w:val="38"/>
        </w:numPr>
        <w:contextualSpacing w:val="0"/>
      </w:pPr>
      <w:r>
        <w:t>At time of receipt for all lots received.</w:t>
      </w:r>
    </w:p>
    <w:p w14:paraId="5C8B52D9" w14:textId="7099403C" w:rsidR="00AD559E" w:rsidRDefault="00AD559E" w:rsidP="00846B8F">
      <w:pPr>
        <w:pStyle w:val="ListParagraph"/>
        <w:numPr>
          <w:ilvl w:val="0"/>
          <w:numId w:val="38"/>
        </w:numPr>
        <w:contextualSpacing w:val="0"/>
      </w:pPr>
      <w:r>
        <w:lastRenderedPageBreak/>
        <w:t>Who will do the monitoring?</w:t>
      </w:r>
    </w:p>
    <w:p w14:paraId="67F62812" w14:textId="42422DD1" w:rsidR="00AD559E" w:rsidRDefault="00AD559E" w:rsidP="00846B8F">
      <w:pPr>
        <w:pStyle w:val="ListParagraph"/>
        <w:numPr>
          <w:ilvl w:val="1"/>
          <w:numId w:val="38"/>
        </w:numPr>
        <w:contextualSpacing w:val="0"/>
      </w:pPr>
      <w:r>
        <w:t>An individual with an understanding and knowledge of the controls and procedures for monitoring.</w:t>
      </w:r>
    </w:p>
    <w:p w14:paraId="696C2130" w14:textId="77777777" w:rsidR="00AD559E" w:rsidRDefault="00AD559E" w:rsidP="00691E23">
      <w:pPr>
        <w:pStyle w:val="Heading4"/>
      </w:pPr>
      <w:r>
        <w:t>Corrective Action/Corrections</w:t>
      </w:r>
    </w:p>
    <w:p w14:paraId="744228CB" w14:textId="77777777" w:rsidR="00AD559E" w:rsidRDefault="00AD559E" w:rsidP="00846B8F">
      <w:pPr>
        <w:pStyle w:val="ListParagraph"/>
        <w:numPr>
          <w:ilvl w:val="0"/>
          <w:numId w:val="39"/>
        </w:numPr>
        <w:spacing w:before="240"/>
      </w:pPr>
      <w:r>
        <w:t xml:space="preserve">If a product is received without a certificate or letter of guarantee, then reject the lot </w:t>
      </w:r>
      <w:r w:rsidRPr="002D38F4">
        <w:rPr>
          <w:b/>
          <w:bCs/>
        </w:rPr>
        <w:t>OR</w:t>
      </w:r>
      <w:r>
        <w:t xml:space="preserve"> hold the lot until a certificate or letter of guarantee is provided </w:t>
      </w:r>
      <w:r w:rsidRPr="002D38F4">
        <w:rPr>
          <w:b/>
          <w:bCs/>
        </w:rPr>
        <w:t>OR</w:t>
      </w:r>
      <w:r>
        <w:t xml:space="preserve"> hold and test the lot for chemical contaminants that are reasonably likely to be present.</w:t>
      </w:r>
    </w:p>
    <w:p w14:paraId="2923E557" w14:textId="7FE473AD" w:rsidR="00AD559E" w:rsidRDefault="00AD559E" w:rsidP="00AD559E">
      <w:r w:rsidRPr="002D38F4">
        <w:rPr>
          <w:b/>
          <w:bCs/>
        </w:rPr>
        <w:t>AND</w:t>
      </w:r>
      <w:r>
        <w:t xml:space="preserve"> address the root cause to prevent future occurrence.</w:t>
      </w:r>
    </w:p>
    <w:p w14:paraId="6121FC2B" w14:textId="77777777" w:rsidR="00AD559E" w:rsidRDefault="00AD559E" w:rsidP="00846B8F">
      <w:pPr>
        <w:pStyle w:val="ListParagraph"/>
        <w:numPr>
          <w:ilvl w:val="0"/>
          <w:numId w:val="39"/>
        </w:numPr>
      </w:pPr>
      <w:r>
        <w:t>discontinue use of the supplier until evidence is obtained that they will abide by established receiving requirements in place.</w:t>
      </w:r>
    </w:p>
    <w:p w14:paraId="6FD3D4FC" w14:textId="798A093C" w:rsidR="00AD559E" w:rsidRDefault="00AD559E" w:rsidP="00691E23">
      <w:pPr>
        <w:pStyle w:val="Heading4"/>
      </w:pPr>
      <w:r>
        <w:t>Verification</w:t>
      </w:r>
    </w:p>
    <w:p w14:paraId="2C9EBFCF" w14:textId="7A36C25C" w:rsidR="00AD559E" w:rsidRDefault="00AD559E" w:rsidP="00846B8F">
      <w:pPr>
        <w:pStyle w:val="ListParagraph"/>
        <w:numPr>
          <w:ilvl w:val="0"/>
          <w:numId w:val="39"/>
        </w:numPr>
        <w:spacing w:before="240"/>
        <w:contextualSpacing w:val="0"/>
      </w:pPr>
      <w:r>
        <w:t>Review of monitoring and corrective action records within one week of preparation to ensure they were completed appropriately.</w:t>
      </w:r>
    </w:p>
    <w:p w14:paraId="61313034" w14:textId="77777777" w:rsidR="00AD559E" w:rsidRPr="002D38F4" w:rsidRDefault="00AD559E" w:rsidP="002D38F4">
      <w:pPr>
        <w:rPr>
          <w:b/>
          <w:bCs/>
        </w:rPr>
      </w:pPr>
      <w:r w:rsidRPr="002D38F4">
        <w:rPr>
          <w:b/>
          <w:bCs/>
        </w:rPr>
        <w:t>AND</w:t>
      </w:r>
    </w:p>
    <w:p w14:paraId="37132A16" w14:textId="77777777" w:rsidR="00AD559E" w:rsidRDefault="00AD559E" w:rsidP="00846B8F">
      <w:pPr>
        <w:pStyle w:val="ListParagraph"/>
        <w:numPr>
          <w:ilvl w:val="0"/>
          <w:numId w:val="39"/>
        </w:numPr>
        <w:contextualSpacing w:val="0"/>
      </w:pPr>
      <w:r>
        <w:t>Visit all new growers within the year and all existing suppliers at a predetermined frequency to review agricultural and industrial practices in the area immediately surrounding the production site and/or collect and analyze seaweed tissue samples, as appropriate, for those environmental chemical contaminants and pesticides that are reasonably likely to be present.</w:t>
      </w:r>
    </w:p>
    <w:p w14:paraId="754256BF" w14:textId="77777777" w:rsidR="00AD559E" w:rsidRPr="002D38F4" w:rsidRDefault="00AD559E" w:rsidP="002D38F4">
      <w:pPr>
        <w:rPr>
          <w:b/>
          <w:bCs/>
        </w:rPr>
      </w:pPr>
      <w:r w:rsidRPr="002D38F4">
        <w:rPr>
          <w:b/>
          <w:bCs/>
        </w:rPr>
        <w:t>OR</w:t>
      </w:r>
    </w:p>
    <w:p w14:paraId="0D06C58A" w14:textId="21CB2FD8" w:rsidR="00AD559E" w:rsidRDefault="00AD559E" w:rsidP="00846B8F">
      <w:pPr>
        <w:pStyle w:val="ListParagraph"/>
        <w:numPr>
          <w:ilvl w:val="0"/>
          <w:numId w:val="39"/>
        </w:numPr>
        <w:contextualSpacing w:val="0"/>
      </w:pPr>
      <w:r>
        <w:t>If testing is performed in the processor’s laboratory, periodically send the sample to a credible third-party laboratory to verify the adequacy of the testing methods and equipment (e.g., by comparing results with those obtained using an Association of Official Analytical Collaboration (AOAC) International (https:// www.aoac.org/about-aoac-international/) or equivalent method, or by analyzing proficiency samples;</w:t>
      </w:r>
    </w:p>
    <w:p w14:paraId="57D50531" w14:textId="0AF74504" w:rsidR="00AD559E" w:rsidRPr="002D38F4" w:rsidRDefault="00AD559E" w:rsidP="002D38F4">
      <w:pPr>
        <w:rPr>
          <w:b/>
          <w:bCs/>
        </w:rPr>
      </w:pPr>
      <w:r w:rsidRPr="002D38F4">
        <w:rPr>
          <w:b/>
          <w:bCs/>
        </w:rPr>
        <w:t>AND</w:t>
      </w:r>
    </w:p>
    <w:p w14:paraId="2234FC46" w14:textId="77777777" w:rsidR="00AD559E" w:rsidRDefault="00AD559E" w:rsidP="00846B8F">
      <w:pPr>
        <w:pStyle w:val="ListParagraph"/>
        <w:numPr>
          <w:ilvl w:val="0"/>
          <w:numId w:val="39"/>
        </w:numPr>
        <w:contextualSpacing w:val="0"/>
      </w:pPr>
      <w:r>
        <w:t>If raw material is collected and delivered by a middleman, request a list of growers/harvesters the middleman bought from with affiliated lot’s numbers.</w:t>
      </w:r>
    </w:p>
    <w:p w14:paraId="65BECA3E" w14:textId="77777777" w:rsidR="00AD559E" w:rsidRDefault="00AD559E" w:rsidP="00691E23">
      <w:pPr>
        <w:pStyle w:val="Heading4"/>
      </w:pPr>
      <w:r>
        <w:lastRenderedPageBreak/>
        <w:t>Records</w:t>
      </w:r>
    </w:p>
    <w:p w14:paraId="63618AEE" w14:textId="63CBFF5B" w:rsidR="00AD559E" w:rsidRDefault="00AD559E" w:rsidP="00846B8F">
      <w:pPr>
        <w:pStyle w:val="ListParagraph"/>
        <w:numPr>
          <w:ilvl w:val="0"/>
          <w:numId w:val="39"/>
        </w:numPr>
        <w:spacing w:before="240"/>
        <w:contextualSpacing w:val="0"/>
      </w:pPr>
      <w:r w:rsidRPr="002D38F4">
        <w:rPr>
          <w:b/>
          <w:bCs/>
        </w:rPr>
        <w:t>Receiving Records:</w:t>
      </w:r>
      <w:r>
        <w:t xml:space="preserve"> </w:t>
      </w:r>
      <w:r w:rsidR="002D38F4">
        <w:t>T</w:t>
      </w:r>
      <w:r>
        <w:t xml:space="preserve">hat indicate the certificate or letter of guarantee was received with each lot </w:t>
      </w:r>
      <w:r w:rsidRPr="002D38F4">
        <w:rPr>
          <w:b/>
          <w:bCs/>
        </w:rPr>
        <w:t>AND</w:t>
      </w:r>
      <w:r>
        <w:t xml:space="preserve"> a copy of the certificate or letter of guarantee</w:t>
      </w:r>
    </w:p>
    <w:p w14:paraId="301BC792" w14:textId="77777777" w:rsidR="00AD559E" w:rsidRDefault="00AD559E" w:rsidP="00846B8F">
      <w:pPr>
        <w:pStyle w:val="ListParagraph"/>
        <w:numPr>
          <w:ilvl w:val="0"/>
          <w:numId w:val="39"/>
        </w:numPr>
        <w:contextualSpacing w:val="0"/>
      </w:pPr>
      <w:r w:rsidRPr="00422940">
        <w:rPr>
          <w:b/>
          <w:bCs/>
        </w:rPr>
        <w:t>Corrective Action Records:</w:t>
      </w:r>
      <w:r>
        <w:t xml:space="preserve"> Documentation of any corrective actions taken, if necessary.</w:t>
      </w:r>
    </w:p>
    <w:p w14:paraId="34C3F03A" w14:textId="77777777" w:rsidR="00AD559E" w:rsidRDefault="00AD559E" w:rsidP="00846B8F">
      <w:pPr>
        <w:pStyle w:val="ListParagraph"/>
        <w:numPr>
          <w:ilvl w:val="0"/>
          <w:numId w:val="39"/>
        </w:numPr>
        <w:contextualSpacing w:val="0"/>
      </w:pPr>
      <w:r w:rsidRPr="002D38F4">
        <w:rPr>
          <w:b/>
          <w:bCs/>
        </w:rPr>
        <w:t>Verification Records:</w:t>
      </w:r>
      <w:r>
        <w:t xml:space="preserve"> Documentation of initial and periodic farm visits and assessments. Testing records for potential contaminants in seaweed.</w:t>
      </w:r>
    </w:p>
    <w:p w14:paraId="5BE39FC9" w14:textId="4B1F723C" w:rsidR="00AD559E" w:rsidRDefault="00AD559E" w:rsidP="00846B8F">
      <w:pPr>
        <w:pStyle w:val="ListParagraph"/>
        <w:numPr>
          <w:ilvl w:val="0"/>
          <w:numId w:val="39"/>
        </w:numPr>
        <w:contextualSpacing w:val="0"/>
      </w:pPr>
      <w:r w:rsidRPr="002D38F4">
        <w:rPr>
          <w:b/>
          <w:bCs/>
        </w:rPr>
        <w:t>Recall Plan:</w:t>
      </w:r>
      <w:r>
        <w:t xml:space="preserve"> A written recall plan is required for any products with significant hazards if regulated under preventive controls for human foods.</w:t>
      </w:r>
    </w:p>
    <w:p w14:paraId="2DCE8554" w14:textId="77777777" w:rsidR="00422940" w:rsidRDefault="00AD559E" w:rsidP="00846B8F">
      <w:pPr>
        <w:pStyle w:val="ListParagraph"/>
        <w:numPr>
          <w:ilvl w:val="0"/>
          <w:numId w:val="39"/>
        </w:numPr>
        <w:contextualSpacing w:val="0"/>
        <w:sectPr w:rsidR="00422940" w:rsidSect="00AD559E">
          <w:pgSz w:w="12240" w:h="15840"/>
          <w:pgMar w:top="1440" w:right="1440" w:bottom="1440" w:left="1440" w:header="720" w:footer="720" w:gutter="0"/>
          <w:pgNumType w:chapStyle="1"/>
          <w:cols w:space="720"/>
          <w:docGrid w:linePitch="360"/>
        </w:sectPr>
      </w:pPr>
      <w:r w:rsidRPr="002D38F4">
        <w:rPr>
          <w:b/>
          <w:bCs/>
        </w:rPr>
        <w:t>Training Records:</w:t>
      </w:r>
      <w:r>
        <w:t xml:space="preserve"> Training records for the preventive controls qualified individual (PCQI) must be maintained if regulated under preventive controls for human foods. While the HACCP rule requires a HACCP trained individual, records of that training are not explicitly required (federally, may vary by state).</w:t>
      </w:r>
    </w:p>
    <w:p w14:paraId="005D7490" w14:textId="65B96222" w:rsidR="00422940" w:rsidRDefault="00422940" w:rsidP="00691E23">
      <w:pPr>
        <w:pStyle w:val="Heading4"/>
      </w:pPr>
      <w:r>
        <w:lastRenderedPageBreak/>
        <w:t>Example HACCP Plan for Supplier Certification Control</w:t>
      </w:r>
    </w:p>
    <w:p w14:paraId="0121964F" w14:textId="0149BCF0" w:rsidR="00422940" w:rsidRDefault="00422940" w:rsidP="00893C28">
      <w:pPr>
        <w:ind w:left="-900" w:right="-990"/>
        <w:rPr>
          <w:b/>
          <w:bCs/>
        </w:rPr>
      </w:pPr>
      <w:r w:rsidRPr="00422940">
        <w:t xml:space="preserve">Below are examples showing what a food safety plan could look like. It is intended for illustrative purposes only. Each producer must develop a plan tailored to their unique products, production and processing methods, and regulatory requirements. </w:t>
      </w:r>
      <w:r w:rsidRPr="00422940">
        <w:rPr>
          <w:b/>
          <w:bCs/>
        </w:rPr>
        <w:t>These examples should not be copied and used without modification to fit your specific operation.</w:t>
      </w:r>
    </w:p>
    <w:p w14:paraId="4197D877" w14:textId="7A362883" w:rsidR="00422940" w:rsidRPr="00422940" w:rsidRDefault="00422940" w:rsidP="00893C28">
      <w:pPr>
        <w:ind w:left="-900" w:right="-990"/>
        <w:contextualSpacing/>
      </w:pPr>
      <w:r w:rsidRPr="00422940">
        <w:rPr>
          <w:b/>
          <w:bCs/>
        </w:rPr>
        <w:t>Control</w:t>
      </w:r>
      <w:r>
        <w:t xml:space="preserve"> </w:t>
      </w:r>
      <w:r w:rsidRPr="00422940">
        <w:rPr>
          <w:b/>
          <w:bCs/>
        </w:rPr>
        <w:t>Strategy:</w:t>
      </w:r>
      <w:r>
        <w:t xml:space="preserve"> Supplier Certification</w:t>
      </w:r>
    </w:p>
    <w:p w14:paraId="30FF544D" w14:textId="7596201C" w:rsidR="00422940" w:rsidRDefault="00422940" w:rsidP="00893C28">
      <w:pPr>
        <w:ind w:left="-900" w:right="-990"/>
        <w:contextualSpacing/>
      </w:pPr>
      <w:r>
        <w:rPr>
          <w:b/>
          <w:bCs/>
        </w:rPr>
        <w:t>Critical Control Point (HACCP):</w:t>
      </w:r>
      <w:r>
        <w:t xml:space="preserve"> Receiving Step</w:t>
      </w:r>
    </w:p>
    <w:p w14:paraId="049EF190" w14:textId="4158C64D" w:rsidR="00422940" w:rsidRPr="00422940" w:rsidRDefault="00422940" w:rsidP="00893C28">
      <w:pPr>
        <w:ind w:left="-900" w:right="-990"/>
        <w:contextualSpacing/>
      </w:pPr>
      <w:r>
        <w:rPr>
          <w:b/>
          <w:bCs/>
        </w:rPr>
        <w:t>Hazard:</w:t>
      </w:r>
      <w:r>
        <w:t xml:space="preserve"> Environmental Contaminants</w:t>
      </w:r>
    </w:p>
    <w:tbl>
      <w:tblPr>
        <w:tblStyle w:val="TableGrid"/>
        <w:tblW w:w="14850" w:type="dxa"/>
        <w:tblInd w:w="-90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tblCellMar>
        <w:tblLook w:val="04A0" w:firstRow="1" w:lastRow="0" w:firstColumn="1" w:lastColumn="0" w:noHBand="0" w:noVBand="1"/>
        <w:tblCaption w:val="Example HACCP Plan for Supplier Certification Control: Environmental Contaminants"/>
        <w:tblDescription w:val="Column Headers: Parameters/Values/Critical Limits, Monitoring (What/How/When/Who as subheader columns within), Corrective Action, Verification, Records."/>
      </w:tblPr>
      <w:tblGrid>
        <w:gridCol w:w="2250"/>
        <w:gridCol w:w="1260"/>
        <w:gridCol w:w="1350"/>
        <w:gridCol w:w="1350"/>
        <w:gridCol w:w="1080"/>
        <w:gridCol w:w="2430"/>
        <w:gridCol w:w="2730"/>
        <w:gridCol w:w="2400"/>
      </w:tblGrid>
      <w:tr w:rsidR="00422940" w14:paraId="741BDDD4" w14:textId="77777777" w:rsidTr="00A61B74">
        <w:trPr>
          <w:trHeight w:val="390"/>
        </w:trPr>
        <w:tc>
          <w:tcPr>
            <w:tcW w:w="2250" w:type="dxa"/>
            <w:vMerge w:val="restart"/>
            <w:shd w:val="clear" w:color="auto" w:fill="D1D1D1" w:themeFill="background2" w:themeFillShade="E6"/>
          </w:tcPr>
          <w:p w14:paraId="311036E5" w14:textId="77777777" w:rsidR="00422940" w:rsidRPr="0001662C" w:rsidRDefault="00422940" w:rsidP="00DF5603">
            <w:pPr>
              <w:jc w:val="center"/>
              <w:rPr>
                <w:b/>
                <w:bCs/>
              </w:rPr>
            </w:pPr>
            <w:r w:rsidRPr="0001662C">
              <w:rPr>
                <w:b/>
                <w:bCs/>
              </w:rPr>
              <w:t>Parameters, Values, Critical Limits</w:t>
            </w:r>
          </w:p>
        </w:tc>
        <w:tc>
          <w:tcPr>
            <w:tcW w:w="5040" w:type="dxa"/>
            <w:gridSpan w:val="4"/>
            <w:shd w:val="clear" w:color="auto" w:fill="D1D1D1" w:themeFill="background2" w:themeFillShade="E6"/>
          </w:tcPr>
          <w:p w14:paraId="5616B061" w14:textId="77777777" w:rsidR="00422940" w:rsidRPr="0001662C" w:rsidRDefault="00422940" w:rsidP="00DF5603">
            <w:pPr>
              <w:jc w:val="center"/>
              <w:rPr>
                <w:b/>
                <w:bCs/>
              </w:rPr>
            </w:pPr>
            <w:r w:rsidRPr="0001662C">
              <w:rPr>
                <w:b/>
                <w:bCs/>
              </w:rPr>
              <w:t>Monitoring</w:t>
            </w:r>
          </w:p>
        </w:tc>
        <w:tc>
          <w:tcPr>
            <w:tcW w:w="2430" w:type="dxa"/>
            <w:vMerge w:val="restart"/>
            <w:shd w:val="clear" w:color="auto" w:fill="D1D1D1" w:themeFill="background2" w:themeFillShade="E6"/>
          </w:tcPr>
          <w:p w14:paraId="3F795420" w14:textId="77777777" w:rsidR="00422940" w:rsidRPr="0001662C" w:rsidRDefault="00422940" w:rsidP="00DF5603">
            <w:pPr>
              <w:jc w:val="center"/>
              <w:rPr>
                <w:b/>
                <w:bCs/>
              </w:rPr>
            </w:pPr>
            <w:r w:rsidRPr="0001662C">
              <w:rPr>
                <w:b/>
                <w:bCs/>
              </w:rPr>
              <w:t>Corrective Action</w:t>
            </w:r>
          </w:p>
        </w:tc>
        <w:tc>
          <w:tcPr>
            <w:tcW w:w="2730" w:type="dxa"/>
            <w:vMerge w:val="restart"/>
            <w:shd w:val="clear" w:color="auto" w:fill="D1D1D1" w:themeFill="background2" w:themeFillShade="E6"/>
          </w:tcPr>
          <w:p w14:paraId="2C9D3621" w14:textId="77777777" w:rsidR="00422940" w:rsidRPr="0001662C" w:rsidRDefault="00422940" w:rsidP="00DF5603">
            <w:pPr>
              <w:jc w:val="center"/>
              <w:rPr>
                <w:b/>
                <w:bCs/>
              </w:rPr>
            </w:pPr>
            <w:r w:rsidRPr="0001662C">
              <w:rPr>
                <w:b/>
                <w:bCs/>
              </w:rPr>
              <w:t>Verification</w:t>
            </w:r>
          </w:p>
        </w:tc>
        <w:tc>
          <w:tcPr>
            <w:tcW w:w="2400" w:type="dxa"/>
            <w:vMerge w:val="restart"/>
            <w:shd w:val="clear" w:color="auto" w:fill="D1D1D1" w:themeFill="background2" w:themeFillShade="E6"/>
          </w:tcPr>
          <w:p w14:paraId="2632560C" w14:textId="77777777" w:rsidR="00422940" w:rsidRPr="0001662C" w:rsidRDefault="00422940" w:rsidP="00DF5603">
            <w:pPr>
              <w:jc w:val="center"/>
              <w:rPr>
                <w:b/>
                <w:bCs/>
              </w:rPr>
            </w:pPr>
            <w:r w:rsidRPr="0001662C">
              <w:rPr>
                <w:b/>
                <w:bCs/>
              </w:rPr>
              <w:t>Records</w:t>
            </w:r>
          </w:p>
        </w:tc>
      </w:tr>
      <w:tr w:rsidR="00671CAF" w14:paraId="1CD59240" w14:textId="77777777" w:rsidTr="00A61B74">
        <w:trPr>
          <w:trHeight w:val="20"/>
        </w:trPr>
        <w:tc>
          <w:tcPr>
            <w:tcW w:w="2250" w:type="dxa"/>
            <w:vMerge/>
          </w:tcPr>
          <w:p w14:paraId="6C19F531" w14:textId="77777777" w:rsidR="00422940" w:rsidRPr="0001662C" w:rsidRDefault="00422940" w:rsidP="00DF5603">
            <w:pPr>
              <w:rPr>
                <w:b/>
                <w:bCs/>
              </w:rPr>
            </w:pPr>
          </w:p>
        </w:tc>
        <w:tc>
          <w:tcPr>
            <w:tcW w:w="1260" w:type="dxa"/>
            <w:shd w:val="clear" w:color="auto" w:fill="D1D1D1" w:themeFill="background2" w:themeFillShade="E6"/>
          </w:tcPr>
          <w:p w14:paraId="3AE03749" w14:textId="77777777" w:rsidR="00422940" w:rsidRPr="0001662C" w:rsidRDefault="00422940" w:rsidP="00DF5603">
            <w:pPr>
              <w:jc w:val="center"/>
              <w:rPr>
                <w:b/>
                <w:bCs/>
              </w:rPr>
            </w:pPr>
            <w:r w:rsidRPr="0001662C">
              <w:rPr>
                <w:b/>
                <w:bCs/>
              </w:rPr>
              <w:t>What</w:t>
            </w:r>
          </w:p>
        </w:tc>
        <w:tc>
          <w:tcPr>
            <w:tcW w:w="1350" w:type="dxa"/>
            <w:shd w:val="clear" w:color="auto" w:fill="D1D1D1" w:themeFill="background2" w:themeFillShade="E6"/>
          </w:tcPr>
          <w:p w14:paraId="46B5C74E" w14:textId="77777777" w:rsidR="00422940" w:rsidRPr="0001662C" w:rsidRDefault="00422940" w:rsidP="00DF5603">
            <w:pPr>
              <w:jc w:val="center"/>
              <w:rPr>
                <w:b/>
                <w:bCs/>
              </w:rPr>
            </w:pPr>
            <w:r w:rsidRPr="0001662C">
              <w:rPr>
                <w:b/>
                <w:bCs/>
              </w:rPr>
              <w:t>How</w:t>
            </w:r>
          </w:p>
        </w:tc>
        <w:tc>
          <w:tcPr>
            <w:tcW w:w="1350" w:type="dxa"/>
            <w:shd w:val="clear" w:color="auto" w:fill="D1D1D1" w:themeFill="background2" w:themeFillShade="E6"/>
          </w:tcPr>
          <w:p w14:paraId="46ABE8BB" w14:textId="77777777" w:rsidR="00422940" w:rsidRPr="0001662C" w:rsidRDefault="00422940" w:rsidP="00DF5603">
            <w:pPr>
              <w:jc w:val="center"/>
              <w:rPr>
                <w:b/>
                <w:bCs/>
              </w:rPr>
            </w:pPr>
            <w:r w:rsidRPr="0001662C">
              <w:rPr>
                <w:b/>
                <w:bCs/>
              </w:rPr>
              <w:t>When</w:t>
            </w:r>
          </w:p>
        </w:tc>
        <w:tc>
          <w:tcPr>
            <w:tcW w:w="1080" w:type="dxa"/>
            <w:shd w:val="clear" w:color="auto" w:fill="D1D1D1" w:themeFill="background2" w:themeFillShade="E6"/>
          </w:tcPr>
          <w:p w14:paraId="4C0C2F44" w14:textId="77777777" w:rsidR="00422940" w:rsidRPr="0001662C" w:rsidRDefault="00422940" w:rsidP="00DF5603">
            <w:pPr>
              <w:jc w:val="center"/>
              <w:rPr>
                <w:b/>
                <w:bCs/>
              </w:rPr>
            </w:pPr>
            <w:r w:rsidRPr="0001662C">
              <w:rPr>
                <w:b/>
                <w:bCs/>
              </w:rPr>
              <w:t>Who</w:t>
            </w:r>
          </w:p>
        </w:tc>
        <w:tc>
          <w:tcPr>
            <w:tcW w:w="2430" w:type="dxa"/>
            <w:vMerge/>
          </w:tcPr>
          <w:p w14:paraId="0A7E1BAC" w14:textId="77777777" w:rsidR="00422940" w:rsidRDefault="00422940" w:rsidP="00DF5603"/>
        </w:tc>
        <w:tc>
          <w:tcPr>
            <w:tcW w:w="2730" w:type="dxa"/>
            <w:vMerge/>
          </w:tcPr>
          <w:p w14:paraId="22F85267" w14:textId="77777777" w:rsidR="00422940" w:rsidRDefault="00422940" w:rsidP="00DF5603"/>
        </w:tc>
        <w:tc>
          <w:tcPr>
            <w:tcW w:w="2400" w:type="dxa"/>
            <w:vMerge/>
          </w:tcPr>
          <w:p w14:paraId="2B7E06BF" w14:textId="77777777" w:rsidR="00422940" w:rsidRDefault="00422940" w:rsidP="00DF5603"/>
        </w:tc>
      </w:tr>
      <w:tr w:rsidR="00422940" w14:paraId="7928F964" w14:textId="77777777" w:rsidTr="00A61B74">
        <w:trPr>
          <w:trHeight w:val="5448"/>
        </w:trPr>
        <w:tc>
          <w:tcPr>
            <w:tcW w:w="2250" w:type="dxa"/>
          </w:tcPr>
          <w:p w14:paraId="485851F4" w14:textId="2C559903" w:rsidR="00422940" w:rsidRPr="00677CAA" w:rsidRDefault="00422940" w:rsidP="007235FC">
            <w:pPr>
              <w:spacing w:before="240"/>
            </w:pPr>
            <w:r w:rsidRPr="00422940">
              <w:t xml:space="preserve">A </w:t>
            </w:r>
            <w:r>
              <w:t>L</w:t>
            </w:r>
            <w:r w:rsidRPr="00422940">
              <w:t xml:space="preserve">etter of </w:t>
            </w:r>
            <w:r>
              <w:t>G</w:t>
            </w:r>
            <w:r w:rsidRPr="00422940">
              <w:t>uarantee is provided with each shipment</w:t>
            </w:r>
            <w:r>
              <w:t>.</w:t>
            </w:r>
          </w:p>
        </w:tc>
        <w:tc>
          <w:tcPr>
            <w:tcW w:w="1260" w:type="dxa"/>
          </w:tcPr>
          <w:p w14:paraId="7F4CDA06" w14:textId="26E0FE48" w:rsidR="00422940" w:rsidRPr="00677CAA" w:rsidRDefault="00422940" w:rsidP="007235FC">
            <w:pPr>
              <w:spacing w:before="240"/>
              <w:rPr>
                <w:sz w:val="22"/>
                <w:szCs w:val="22"/>
              </w:rPr>
            </w:pPr>
            <w:r w:rsidRPr="00422940">
              <w:rPr>
                <w:sz w:val="22"/>
                <w:szCs w:val="22"/>
              </w:rPr>
              <w:t>Presence of Letter of Guarantee</w:t>
            </w:r>
            <w:r>
              <w:rPr>
                <w:sz w:val="22"/>
                <w:szCs w:val="22"/>
              </w:rPr>
              <w:t>.</w:t>
            </w:r>
          </w:p>
        </w:tc>
        <w:tc>
          <w:tcPr>
            <w:tcW w:w="1350" w:type="dxa"/>
          </w:tcPr>
          <w:p w14:paraId="425516F5" w14:textId="16E91A6E" w:rsidR="00422940" w:rsidRPr="00677CAA" w:rsidRDefault="00422940" w:rsidP="007235FC">
            <w:pPr>
              <w:spacing w:before="240"/>
              <w:rPr>
                <w:sz w:val="22"/>
                <w:szCs w:val="22"/>
              </w:rPr>
            </w:pPr>
            <w:r>
              <w:rPr>
                <w:sz w:val="22"/>
                <w:szCs w:val="22"/>
              </w:rPr>
              <w:t>Visual observatio</w:t>
            </w:r>
            <w:r w:rsidR="002F4249">
              <w:rPr>
                <w:sz w:val="22"/>
                <w:szCs w:val="22"/>
              </w:rPr>
              <w:t>n</w:t>
            </w:r>
            <w:r>
              <w:rPr>
                <w:sz w:val="22"/>
                <w:szCs w:val="22"/>
              </w:rPr>
              <w:t>.</w:t>
            </w:r>
          </w:p>
        </w:tc>
        <w:tc>
          <w:tcPr>
            <w:tcW w:w="1350" w:type="dxa"/>
          </w:tcPr>
          <w:p w14:paraId="555E9BBB" w14:textId="29E4E959" w:rsidR="00422940" w:rsidRPr="00677CAA" w:rsidRDefault="00422940" w:rsidP="007235FC">
            <w:pPr>
              <w:spacing w:before="240"/>
              <w:rPr>
                <w:sz w:val="22"/>
                <w:szCs w:val="22"/>
              </w:rPr>
            </w:pPr>
            <w:r w:rsidRPr="006D51B6">
              <w:rPr>
                <w:sz w:val="22"/>
                <w:szCs w:val="22"/>
              </w:rPr>
              <w:t xml:space="preserve">At </w:t>
            </w:r>
            <w:r w:rsidR="00671CAF">
              <w:rPr>
                <w:sz w:val="22"/>
                <w:szCs w:val="22"/>
              </w:rPr>
              <w:t>receipt of each lot.</w:t>
            </w:r>
          </w:p>
        </w:tc>
        <w:tc>
          <w:tcPr>
            <w:tcW w:w="1080" w:type="dxa"/>
          </w:tcPr>
          <w:p w14:paraId="29892FE6" w14:textId="77777777" w:rsidR="00422940" w:rsidRPr="00677CAA" w:rsidRDefault="00422940" w:rsidP="007235FC">
            <w:pPr>
              <w:spacing w:before="240"/>
              <w:rPr>
                <w:sz w:val="22"/>
                <w:szCs w:val="22"/>
              </w:rPr>
            </w:pPr>
            <w:r w:rsidRPr="00677CAA">
              <w:rPr>
                <w:sz w:val="22"/>
                <w:szCs w:val="22"/>
              </w:rPr>
              <w:t>Receiving Manager</w:t>
            </w:r>
          </w:p>
        </w:tc>
        <w:tc>
          <w:tcPr>
            <w:tcW w:w="2430" w:type="dxa"/>
          </w:tcPr>
          <w:p w14:paraId="4E2D92DF" w14:textId="77777777" w:rsidR="00893C28" w:rsidRDefault="00671CAF" w:rsidP="007235FC">
            <w:pPr>
              <w:spacing w:before="240"/>
              <w:rPr>
                <w:sz w:val="22"/>
                <w:szCs w:val="22"/>
              </w:rPr>
            </w:pPr>
            <w:r w:rsidRPr="00671CAF">
              <w:rPr>
                <w:sz w:val="22"/>
                <w:szCs w:val="22"/>
              </w:rPr>
              <w:t xml:space="preserve">If a product is received without a certificate or letter of guarantee, then, reject the lot </w:t>
            </w:r>
          </w:p>
          <w:p w14:paraId="02CE1F98" w14:textId="77777777" w:rsidR="00893C28" w:rsidRDefault="00671CAF" w:rsidP="007235FC">
            <w:pPr>
              <w:spacing w:before="240"/>
              <w:rPr>
                <w:sz w:val="22"/>
                <w:szCs w:val="22"/>
              </w:rPr>
            </w:pPr>
            <w:r w:rsidRPr="00671CAF">
              <w:rPr>
                <w:b/>
                <w:bCs/>
                <w:sz w:val="22"/>
                <w:szCs w:val="22"/>
              </w:rPr>
              <w:t>AND</w:t>
            </w:r>
            <w:r w:rsidRPr="00671CAF">
              <w:rPr>
                <w:sz w:val="22"/>
                <w:szCs w:val="22"/>
              </w:rPr>
              <w:t xml:space="preserve"> </w:t>
            </w:r>
          </w:p>
          <w:p w14:paraId="0EFF51AA" w14:textId="1ACB42CB" w:rsidR="00422940" w:rsidRPr="00677CAA" w:rsidRDefault="00893C28" w:rsidP="007235FC">
            <w:pPr>
              <w:spacing w:before="240"/>
              <w:rPr>
                <w:sz w:val="22"/>
                <w:szCs w:val="22"/>
              </w:rPr>
            </w:pPr>
            <w:r>
              <w:rPr>
                <w:sz w:val="22"/>
                <w:szCs w:val="22"/>
              </w:rPr>
              <w:t>D</w:t>
            </w:r>
            <w:r w:rsidR="00671CAF" w:rsidRPr="00671CAF">
              <w:rPr>
                <w:sz w:val="22"/>
                <w:szCs w:val="22"/>
              </w:rPr>
              <w:t>iscontinue use of the supplier until evidence is obtained that they will abide by established receiving requirements in place.</w:t>
            </w:r>
          </w:p>
        </w:tc>
        <w:tc>
          <w:tcPr>
            <w:tcW w:w="2730" w:type="dxa"/>
          </w:tcPr>
          <w:p w14:paraId="3E2D9856" w14:textId="77777777" w:rsidR="00893C28" w:rsidRDefault="00671CAF" w:rsidP="007235FC">
            <w:pPr>
              <w:spacing w:before="240"/>
              <w:rPr>
                <w:sz w:val="22"/>
                <w:szCs w:val="22"/>
              </w:rPr>
            </w:pPr>
            <w:r>
              <w:rPr>
                <w:sz w:val="22"/>
                <w:szCs w:val="22"/>
              </w:rPr>
              <w:t xml:space="preserve">Review monitoring and corrective action records within one week </w:t>
            </w:r>
          </w:p>
          <w:p w14:paraId="3F79AA10" w14:textId="77777777" w:rsidR="00893C28" w:rsidRDefault="00671CAF" w:rsidP="007235FC">
            <w:pPr>
              <w:spacing w:before="240"/>
              <w:rPr>
                <w:sz w:val="22"/>
                <w:szCs w:val="22"/>
              </w:rPr>
            </w:pPr>
            <w:r>
              <w:rPr>
                <w:b/>
                <w:bCs/>
                <w:sz w:val="22"/>
                <w:szCs w:val="22"/>
              </w:rPr>
              <w:t>AND</w:t>
            </w:r>
            <w:r>
              <w:rPr>
                <w:sz w:val="22"/>
                <w:szCs w:val="22"/>
              </w:rPr>
              <w:t xml:space="preserve"> </w:t>
            </w:r>
          </w:p>
          <w:p w14:paraId="5E4A75C6" w14:textId="36D25E55" w:rsidR="00422940" w:rsidRPr="00671CAF" w:rsidRDefault="00893C28" w:rsidP="007235FC">
            <w:pPr>
              <w:spacing w:before="240"/>
              <w:rPr>
                <w:sz w:val="22"/>
                <w:szCs w:val="22"/>
              </w:rPr>
            </w:pPr>
            <w:r>
              <w:rPr>
                <w:sz w:val="22"/>
                <w:szCs w:val="22"/>
              </w:rPr>
              <w:t>V</w:t>
            </w:r>
            <w:r w:rsidR="00671CAF">
              <w:rPr>
                <w:sz w:val="22"/>
                <w:szCs w:val="22"/>
              </w:rPr>
              <w:t>isit all new growers within the year and all existing suppliers at least annually to review agricultural and industrial practices in the area immediately surrounding the production site and/or collect and analyze seaweed tissue samples, as appropriate, for those environmental chemical contaminants and pesticides</w:t>
            </w:r>
          </w:p>
        </w:tc>
        <w:tc>
          <w:tcPr>
            <w:tcW w:w="2400" w:type="dxa"/>
          </w:tcPr>
          <w:p w14:paraId="3EE835E9" w14:textId="491FBBA3" w:rsidR="00671CAF" w:rsidRPr="00671CAF" w:rsidRDefault="00671CAF" w:rsidP="007235FC">
            <w:pPr>
              <w:spacing w:before="240"/>
              <w:rPr>
                <w:sz w:val="22"/>
                <w:szCs w:val="22"/>
              </w:rPr>
            </w:pPr>
            <w:r w:rsidRPr="00671CAF">
              <w:rPr>
                <w:sz w:val="22"/>
                <w:szCs w:val="22"/>
              </w:rPr>
              <w:t xml:space="preserve">Receiving records that indicate the certificate or letter of guarantee was received with each lot </w:t>
            </w:r>
            <w:r w:rsidRPr="00671CAF">
              <w:rPr>
                <w:b/>
                <w:bCs/>
                <w:sz w:val="22"/>
                <w:szCs w:val="22"/>
              </w:rPr>
              <w:t>AND</w:t>
            </w:r>
            <w:r w:rsidRPr="00671CAF">
              <w:rPr>
                <w:sz w:val="22"/>
                <w:szCs w:val="22"/>
              </w:rPr>
              <w:t xml:space="preserve"> a copy of the certificate or </w:t>
            </w:r>
            <w:r>
              <w:rPr>
                <w:sz w:val="22"/>
                <w:szCs w:val="22"/>
              </w:rPr>
              <w:t>L</w:t>
            </w:r>
            <w:r w:rsidRPr="00671CAF">
              <w:rPr>
                <w:sz w:val="22"/>
                <w:szCs w:val="22"/>
              </w:rPr>
              <w:t xml:space="preserve">etter of </w:t>
            </w:r>
            <w:r>
              <w:rPr>
                <w:sz w:val="22"/>
                <w:szCs w:val="22"/>
              </w:rPr>
              <w:t>G</w:t>
            </w:r>
            <w:r w:rsidRPr="00671CAF">
              <w:rPr>
                <w:sz w:val="22"/>
                <w:szCs w:val="22"/>
              </w:rPr>
              <w:t>uarantee.</w:t>
            </w:r>
          </w:p>
          <w:p w14:paraId="6D68FC91" w14:textId="616E38AD" w:rsidR="00671CAF" w:rsidRPr="00671CAF" w:rsidRDefault="00671CAF" w:rsidP="007235FC">
            <w:pPr>
              <w:spacing w:before="240"/>
              <w:rPr>
                <w:sz w:val="22"/>
                <w:szCs w:val="22"/>
              </w:rPr>
            </w:pPr>
            <w:r w:rsidRPr="00671CAF">
              <w:rPr>
                <w:sz w:val="22"/>
                <w:szCs w:val="22"/>
              </w:rPr>
              <w:t>Corrective action records as needed</w:t>
            </w:r>
            <w:r>
              <w:rPr>
                <w:sz w:val="22"/>
                <w:szCs w:val="22"/>
              </w:rPr>
              <w:t>.</w:t>
            </w:r>
          </w:p>
          <w:p w14:paraId="6FAE271B" w14:textId="77777777" w:rsidR="00671CAF" w:rsidRPr="00671CAF" w:rsidRDefault="00671CAF" w:rsidP="007235FC">
            <w:pPr>
              <w:spacing w:before="240"/>
              <w:rPr>
                <w:sz w:val="22"/>
                <w:szCs w:val="22"/>
              </w:rPr>
            </w:pPr>
            <w:r w:rsidRPr="00671CAF">
              <w:rPr>
                <w:sz w:val="22"/>
                <w:szCs w:val="22"/>
              </w:rPr>
              <w:t xml:space="preserve">Verification records including report of farm/harvester visit and testing results if applicable. </w:t>
            </w:r>
          </w:p>
          <w:p w14:paraId="7DB08D48" w14:textId="5C81243B" w:rsidR="00422940" w:rsidRPr="00677CAA" w:rsidRDefault="00671CAF" w:rsidP="007235FC">
            <w:pPr>
              <w:spacing w:before="240"/>
              <w:rPr>
                <w:sz w:val="22"/>
                <w:szCs w:val="22"/>
              </w:rPr>
            </w:pPr>
            <w:r w:rsidRPr="00671CAF">
              <w:rPr>
                <w:sz w:val="22"/>
                <w:szCs w:val="22"/>
              </w:rPr>
              <w:t>PCQI training records (PCHF only)</w:t>
            </w:r>
            <w:r>
              <w:rPr>
                <w:sz w:val="22"/>
                <w:szCs w:val="22"/>
              </w:rPr>
              <w:t>.</w:t>
            </w:r>
          </w:p>
        </w:tc>
      </w:tr>
    </w:tbl>
    <w:p w14:paraId="66DDA900" w14:textId="77777777" w:rsidR="00422940" w:rsidRDefault="00422940" w:rsidP="00CB6D27">
      <w:pPr>
        <w:sectPr w:rsidR="00422940" w:rsidSect="00422940">
          <w:pgSz w:w="15840" w:h="12240" w:orient="landscape"/>
          <w:pgMar w:top="1440" w:right="1440" w:bottom="1440" w:left="1440" w:header="720" w:footer="720" w:gutter="0"/>
          <w:pgNumType w:chapStyle="1"/>
          <w:cols w:space="720"/>
          <w:docGrid w:linePitch="360"/>
        </w:sectPr>
      </w:pPr>
    </w:p>
    <w:p w14:paraId="4FF35E6A" w14:textId="4E06F1E3" w:rsidR="00AD559E" w:rsidRDefault="00671CAF" w:rsidP="00691E23">
      <w:pPr>
        <w:pStyle w:val="Heading4"/>
      </w:pPr>
      <w:r w:rsidRPr="00671CAF">
        <w:lastRenderedPageBreak/>
        <w:t xml:space="preserve">Example </w:t>
      </w:r>
      <w:r>
        <w:t>Food Safety Plan</w:t>
      </w:r>
      <w:r w:rsidRPr="00671CAF">
        <w:t xml:space="preserve"> for Supplier </w:t>
      </w:r>
      <w:r w:rsidRPr="00AD6D21">
        <w:t>Certification</w:t>
      </w:r>
      <w:r w:rsidRPr="00671CAF">
        <w:t xml:space="preserve"> Control</w:t>
      </w:r>
    </w:p>
    <w:p w14:paraId="2610F75E" w14:textId="09694051" w:rsidR="00671CAF" w:rsidRDefault="00671CAF" w:rsidP="00893C28">
      <w:pPr>
        <w:ind w:left="-900" w:right="-900"/>
      </w:pPr>
      <w:r w:rsidRPr="00671CAF">
        <w:t>Facilities regulated under the Preventive Controls for Human Food (PCHF) rule that identify a supply-chain-applied preventive control must establish and implement a supply-chain program. This program should detail how suppliers are selected, approved, and verified to ensure they effectively control the identified hazard. For more detailed guidance, refer to Chapter 15 of the FDA</w:t>
      </w:r>
      <w:r w:rsidR="00D31328">
        <w:t>’s</w:t>
      </w:r>
      <w:r w:rsidRPr="00671CAF">
        <w:t xml:space="preserve"> </w:t>
      </w:r>
      <w:r w:rsidRPr="00E36F42">
        <w:rPr>
          <w:i/>
          <w:iCs/>
        </w:rPr>
        <w:t xml:space="preserve">Draft Guidance for Industry: Hazard Analysis and Risk-Based Preventive Controls for Human </w:t>
      </w:r>
      <w:r w:rsidRPr="00671CAF">
        <w:t>Food (USFDA, 2024).</w:t>
      </w:r>
    </w:p>
    <w:p w14:paraId="3ABE98A3" w14:textId="77777777" w:rsidR="00671CAF" w:rsidRDefault="00671CAF" w:rsidP="00893C28">
      <w:pPr>
        <w:ind w:left="-900" w:right="-900"/>
        <w:contextualSpacing/>
      </w:pPr>
      <w:r w:rsidRPr="00671CAF">
        <w:rPr>
          <w:b/>
          <w:bCs/>
        </w:rPr>
        <w:t>Control Strategy:</w:t>
      </w:r>
      <w:r>
        <w:t xml:space="preserve"> Supplier Certification</w:t>
      </w:r>
    </w:p>
    <w:p w14:paraId="3CF26BA6" w14:textId="77777777" w:rsidR="00671CAF" w:rsidRDefault="00671CAF" w:rsidP="00893C28">
      <w:pPr>
        <w:ind w:left="-900" w:right="-900"/>
        <w:contextualSpacing/>
      </w:pPr>
      <w:r w:rsidRPr="00671CAF">
        <w:rPr>
          <w:b/>
          <w:bCs/>
        </w:rPr>
        <w:t>Supply Chain Preventive Control (PCHF):</w:t>
      </w:r>
      <w:r>
        <w:t xml:space="preserve"> Receiving Step</w:t>
      </w:r>
    </w:p>
    <w:p w14:paraId="697B60C7" w14:textId="3B189AB8" w:rsidR="00671CAF" w:rsidRDefault="00671CAF" w:rsidP="00893C28">
      <w:pPr>
        <w:ind w:left="-900" w:right="-900"/>
        <w:contextualSpacing/>
      </w:pPr>
      <w:r w:rsidRPr="00671CAF">
        <w:rPr>
          <w:b/>
          <w:bCs/>
        </w:rPr>
        <w:t>Hazard:</w:t>
      </w:r>
      <w:r>
        <w:t xml:space="preserve"> Environmental Contaminants</w:t>
      </w:r>
    </w:p>
    <w:tbl>
      <w:tblPr>
        <w:tblStyle w:val="TableGrid"/>
        <w:tblW w:w="14760" w:type="dxa"/>
        <w:tblInd w:w="-90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43" w:type="dxa"/>
          <w:left w:w="58" w:type="dxa"/>
          <w:right w:w="58" w:type="dxa"/>
        </w:tblCellMar>
        <w:tblLook w:val="04A0" w:firstRow="1" w:lastRow="0" w:firstColumn="1" w:lastColumn="0" w:noHBand="0" w:noVBand="1"/>
        <w:tblCaption w:val="Example Food Safety Plan for Supplier Certification Control: Environmental Contaminants"/>
      </w:tblPr>
      <w:tblGrid>
        <w:gridCol w:w="1260"/>
        <w:gridCol w:w="1350"/>
        <w:gridCol w:w="1170"/>
        <w:gridCol w:w="1530"/>
        <w:gridCol w:w="1440"/>
        <w:gridCol w:w="1440"/>
        <w:gridCol w:w="2070"/>
        <w:gridCol w:w="2250"/>
        <w:gridCol w:w="2250"/>
      </w:tblGrid>
      <w:tr w:rsidR="006947D8" w14:paraId="1474F3CC" w14:textId="77777777" w:rsidTr="00A61B74">
        <w:tc>
          <w:tcPr>
            <w:tcW w:w="1260" w:type="dxa"/>
            <w:shd w:val="clear" w:color="auto" w:fill="D1D1D1" w:themeFill="background2" w:themeFillShade="E6"/>
          </w:tcPr>
          <w:p w14:paraId="51342AF0" w14:textId="77777777" w:rsidR="00671CAF" w:rsidRPr="006C63B7" w:rsidRDefault="00671CAF" w:rsidP="00DF5603">
            <w:pPr>
              <w:contextualSpacing/>
              <w:jc w:val="center"/>
              <w:rPr>
                <w:b/>
                <w:bCs/>
              </w:rPr>
            </w:pPr>
            <w:r w:rsidRPr="006C63B7">
              <w:rPr>
                <w:b/>
                <w:bCs/>
              </w:rPr>
              <w:t>Raw Material / Ingredient</w:t>
            </w:r>
          </w:p>
        </w:tc>
        <w:tc>
          <w:tcPr>
            <w:tcW w:w="1350" w:type="dxa"/>
            <w:shd w:val="clear" w:color="auto" w:fill="D1D1D1" w:themeFill="background2" w:themeFillShade="E6"/>
          </w:tcPr>
          <w:p w14:paraId="59602C80" w14:textId="77777777" w:rsidR="00671CAF" w:rsidRPr="006C63B7" w:rsidRDefault="00671CAF" w:rsidP="00DF5603">
            <w:pPr>
              <w:contextualSpacing/>
              <w:jc w:val="center"/>
              <w:rPr>
                <w:b/>
                <w:bCs/>
              </w:rPr>
            </w:pPr>
            <w:r w:rsidRPr="006C63B7">
              <w:rPr>
                <w:b/>
                <w:bCs/>
              </w:rPr>
              <w:t>Approved Supplier</w:t>
            </w:r>
          </w:p>
        </w:tc>
        <w:tc>
          <w:tcPr>
            <w:tcW w:w="1170" w:type="dxa"/>
            <w:shd w:val="clear" w:color="auto" w:fill="D1D1D1" w:themeFill="background2" w:themeFillShade="E6"/>
          </w:tcPr>
          <w:p w14:paraId="5998193E" w14:textId="77777777" w:rsidR="00671CAF" w:rsidRPr="006C63B7" w:rsidRDefault="00671CAF" w:rsidP="00DF5603">
            <w:pPr>
              <w:contextualSpacing/>
              <w:jc w:val="center"/>
              <w:rPr>
                <w:b/>
                <w:bCs/>
              </w:rPr>
            </w:pPr>
            <w:r w:rsidRPr="006C63B7">
              <w:rPr>
                <w:b/>
                <w:bCs/>
              </w:rPr>
              <w:t>Date of Approval</w:t>
            </w:r>
          </w:p>
        </w:tc>
        <w:tc>
          <w:tcPr>
            <w:tcW w:w="1530" w:type="dxa"/>
            <w:shd w:val="clear" w:color="auto" w:fill="D1D1D1" w:themeFill="background2" w:themeFillShade="E6"/>
          </w:tcPr>
          <w:p w14:paraId="3B0D4B32" w14:textId="77777777" w:rsidR="00671CAF" w:rsidRPr="006C63B7" w:rsidRDefault="00671CAF" w:rsidP="00DF5603">
            <w:pPr>
              <w:contextualSpacing/>
              <w:jc w:val="center"/>
              <w:rPr>
                <w:b/>
                <w:bCs/>
              </w:rPr>
            </w:pPr>
            <w:r w:rsidRPr="006C63B7">
              <w:rPr>
                <w:b/>
                <w:bCs/>
              </w:rPr>
              <w:t>Hazard Requiring PC</w:t>
            </w:r>
          </w:p>
        </w:tc>
        <w:tc>
          <w:tcPr>
            <w:tcW w:w="1440" w:type="dxa"/>
            <w:shd w:val="clear" w:color="auto" w:fill="D1D1D1" w:themeFill="background2" w:themeFillShade="E6"/>
          </w:tcPr>
          <w:p w14:paraId="080A97AE" w14:textId="77777777" w:rsidR="00671CAF" w:rsidRPr="006C63B7" w:rsidRDefault="00671CAF" w:rsidP="00DF5603">
            <w:pPr>
              <w:contextualSpacing/>
              <w:jc w:val="center"/>
              <w:rPr>
                <w:b/>
                <w:bCs/>
              </w:rPr>
            </w:pPr>
            <w:r w:rsidRPr="006C63B7">
              <w:rPr>
                <w:b/>
                <w:bCs/>
              </w:rPr>
              <w:t>Preventiv</w:t>
            </w:r>
            <w:r>
              <w:rPr>
                <w:b/>
                <w:bCs/>
              </w:rPr>
              <w:t xml:space="preserve">e </w:t>
            </w:r>
            <w:r w:rsidRPr="006C63B7">
              <w:rPr>
                <w:b/>
                <w:bCs/>
              </w:rPr>
              <w:t>Control Applied by Supplier</w:t>
            </w:r>
          </w:p>
        </w:tc>
        <w:tc>
          <w:tcPr>
            <w:tcW w:w="1440" w:type="dxa"/>
            <w:shd w:val="clear" w:color="auto" w:fill="D1D1D1" w:themeFill="background2" w:themeFillShade="E6"/>
          </w:tcPr>
          <w:p w14:paraId="1969B1E0" w14:textId="77777777" w:rsidR="00671CAF" w:rsidRDefault="00671CAF" w:rsidP="00DF5603">
            <w:pPr>
              <w:jc w:val="center"/>
              <w:rPr>
                <w:b/>
                <w:bCs/>
              </w:rPr>
            </w:pPr>
            <w:r w:rsidRPr="006C63B7">
              <w:rPr>
                <w:b/>
                <w:bCs/>
              </w:rPr>
              <w:t>Verification Activities</w:t>
            </w:r>
          </w:p>
          <w:p w14:paraId="06D992AE" w14:textId="77777777" w:rsidR="00671CAF" w:rsidRPr="006C63B7" w:rsidRDefault="00671CAF" w:rsidP="00DF5603">
            <w:pPr>
              <w:spacing w:before="240"/>
              <w:jc w:val="center"/>
              <w:rPr>
                <w:b/>
                <w:bCs/>
              </w:rPr>
            </w:pPr>
            <w:r w:rsidRPr="006C63B7">
              <w:rPr>
                <w:b/>
                <w:bCs/>
              </w:rPr>
              <w:t>Supplier</w:t>
            </w:r>
          </w:p>
        </w:tc>
        <w:tc>
          <w:tcPr>
            <w:tcW w:w="2070" w:type="dxa"/>
            <w:shd w:val="clear" w:color="auto" w:fill="D1D1D1" w:themeFill="background2" w:themeFillShade="E6"/>
          </w:tcPr>
          <w:p w14:paraId="63DCC871" w14:textId="77777777" w:rsidR="00671CAF" w:rsidRPr="006C63B7" w:rsidRDefault="00671CAF" w:rsidP="00DF5603">
            <w:pPr>
              <w:jc w:val="center"/>
              <w:rPr>
                <w:b/>
                <w:bCs/>
              </w:rPr>
            </w:pPr>
            <w:r w:rsidRPr="006C63B7">
              <w:rPr>
                <w:b/>
                <w:bCs/>
              </w:rPr>
              <w:t>Verification Procedures</w:t>
            </w:r>
          </w:p>
          <w:p w14:paraId="28028FD6" w14:textId="77777777" w:rsidR="00671CAF" w:rsidRPr="006C63B7" w:rsidRDefault="00671CAF" w:rsidP="00DF5603">
            <w:pPr>
              <w:spacing w:before="240"/>
              <w:jc w:val="center"/>
              <w:rPr>
                <w:b/>
                <w:bCs/>
              </w:rPr>
            </w:pPr>
            <w:r w:rsidRPr="006C63B7">
              <w:rPr>
                <w:b/>
                <w:bCs/>
              </w:rPr>
              <w:t>Buyer</w:t>
            </w:r>
          </w:p>
        </w:tc>
        <w:tc>
          <w:tcPr>
            <w:tcW w:w="2250" w:type="dxa"/>
            <w:shd w:val="clear" w:color="auto" w:fill="D1D1D1" w:themeFill="background2" w:themeFillShade="E6"/>
          </w:tcPr>
          <w:p w14:paraId="0554D718" w14:textId="77777777" w:rsidR="00671CAF" w:rsidRPr="006C63B7" w:rsidRDefault="00671CAF" w:rsidP="00DF5603">
            <w:pPr>
              <w:contextualSpacing/>
              <w:jc w:val="center"/>
              <w:rPr>
                <w:b/>
                <w:bCs/>
              </w:rPr>
            </w:pPr>
            <w:r w:rsidRPr="006C63B7">
              <w:rPr>
                <w:b/>
                <w:bCs/>
              </w:rPr>
              <w:t>Corrective Actions</w:t>
            </w:r>
          </w:p>
        </w:tc>
        <w:tc>
          <w:tcPr>
            <w:tcW w:w="2250" w:type="dxa"/>
            <w:shd w:val="clear" w:color="auto" w:fill="D1D1D1" w:themeFill="background2" w:themeFillShade="E6"/>
          </w:tcPr>
          <w:p w14:paraId="22CC58BC" w14:textId="77777777" w:rsidR="00671CAF" w:rsidRPr="006C63B7" w:rsidRDefault="00671CAF" w:rsidP="00DF5603">
            <w:pPr>
              <w:contextualSpacing/>
              <w:jc w:val="center"/>
              <w:rPr>
                <w:b/>
                <w:bCs/>
              </w:rPr>
            </w:pPr>
            <w:r w:rsidRPr="006C63B7">
              <w:rPr>
                <w:b/>
                <w:bCs/>
              </w:rPr>
              <w:t>Records</w:t>
            </w:r>
          </w:p>
        </w:tc>
      </w:tr>
      <w:tr w:rsidR="006947D8" w14:paraId="6F672E5E" w14:textId="77777777" w:rsidTr="00A61B74">
        <w:trPr>
          <w:trHeight w:val="714"/>
        </w:trPr>
        <w:tc>
          <w:tcPr>
            <w:tcW w:w="1260" w:type="dxa"/>
          </w:tcPr>
          <w:p w14:paraId="0DB9B3EC" w14:textId="77777777" w:rsidR="00671CAF" w:rsidRPr="00671CAF" w:rsidRDefault="00671CAF" w:rsidP="007235FC">
            <w:pPr>
              <w:spacing w:before="240"/>
              <w:rPr>
                <w:i/>
                <w:iCs/>
                <w:sz w:val="22"/>
                <w:szCs w:val="22"/>
              </w:rPr>
            </w:pPr>
            <w:r w:rsidRPr="00671CAF">
              <w:rPr>
                <w:i/>
                <w:iCs/>
                <w:sz w:val="22"/>
                <w:szCs w:val="22"/>
              </w:rPr>
              <w:t>Gracilaria</w:t>
            </w:r>
          </w:p>
          <w:p w14:paraId="65B9A83B" w14:textId="28382C71" w:rsidR="00671CAF" w:rsidRPr="006C63B7" w:rsidRDefault="00671CAF" w:rsidP="007235FC">
            <w:pPr>
              <w:spacing w:before="240"/>
              <w:rPr>
                <w:sz w:val="22"/>
                <w:szCs w:val="22"/>
              </w:rPr>
            </w:pPr>
            <w:r w:rsidRPr="00671CAF">
              <w:rPr>
                <w:i/>
                <w:iCs/>
                <w:sz w:val="22"/>
                <w:szCs w:val="22"/>
              </w:rPr>
              <w:t>Gracilaria tikvahiae</w:t>
            </w:r>
          </w:p>
        </w:tc>
        <w:tc>
          <w:tcPr>
            <w:tcW w:w="1350" w:type="dxa"/>
          </w:tcPr>
          <w:p w14:paraId="521FE6E9" w14:textId="1FF6C0ED" w:rsidR="006947D8" w:rsidRPr="006947D8" w:rsidRDefault="006947D8" w:rsidP="007235FC">
            <w:pPr>
              <w:spacing w:before="240"/>
              <w:rPr>
                <w:sz w:val="22"/>
                <w:szCs w:val="22"/>
              </w:rPr>
            </w:pPr>
            <w:r w:rsidRPr="006947D8">
              <w:rPr>
                <w:sz w:val="22"/>
                <w:szCs w:val="22"/>
              </w:rPr>
              <w:t xml:space="preserve">Gracilaria </w:t>
            </w:r>
            <w:r>
              <w:rPr>
                <w:sz w:val="22"/>
                <w:szCs w:val="22"/>
              </w:rPr>
              <w:t>L</w:t>
            </w:r>
            <w:r w:rsidRPr="006947D8">
              <w:rPr>
                <w:sz w:val="22"/>
                <w:szCs w:val="22"/>
              </w:rPr>
              <w:t>td.</w:t>
            </w:r>
          </w:p>
          <w:p w14:paraId="2CEA4FDD" w14:textId="77777777" w:rsidR="006947D8" w:rsidRPr="006947D8" w:rsidRDefault="006947D8" w:rsidP="007235FC">
            <w:pPr>
              <w:spacing w:before="240"/>
              <w:rPr>
                <w:sz w:val="22"/>
                <w:szCs w:val="22"/>
              </w:rPr>
            </w:pPr>
            <w:r w:rsidRPr="006947D8">
              <w:rPr>
                <w:sz w:val="22"/>
                <w:szCs w:val="22"/>
              </w:rPr>
              <w:t>123 Red Dr.</w:t>
            </w:r>
          </w:p>
          <w:p w14:paraId="76B74E4D" w14:textId="3406953F" w:rsidR="00671CAF" w:rsidRPr="006C63B7" w:rsidRDefault="006947D8" w:rsidP="007235FC">
            <w:pPr>
              <w:spacing w:before="240"/>
              <w:rPr>
                <w:sz w:val="22"/>
                <w:szCs w:val="22"/>
              </w:rPr>
            </w:pPr>
            <w:r w:rsidRPr="006947D8">
              <w:rPr>
                <w:sz w:val="22"/>
                <w:szCs w:val="22"/>
              </w:rPr>
              <w:t>Somewhere, NY 55555.</w:t>
            </w:r>
          </w:p>
        </w:tc>
        <w:tc>
          <w:tcPr>
            <w:tcW w:w="1170" w:type="dxa"/>
          </w:tcPr>
          <w:p w14:paraId="7143C559" w14:textId="2D2D1BF3" w:rsidR="00671CAF" w:rsidRPr="006C63B7" w:rsidRDefault="00671CAF" w:rsidP="007235FC">
            <w:pPr>
              <w:spacing w:before="240"/>
              <w:rPr>
                <w:sz w:val="22"/>
                <w:szCs w:val="22"/>
              </w:rPr>
            </w:pPr>
            <w:r w:rsidRPr="006C63B7">
              <w:rPr>
                <w:sz w:val="22"/>
                <w:szCs w:val="22"/>
              </w:rPr>
              <w:t>Jan. 2, 202</w:t>
            </w:r>
            <w:r w:rsidR="006947D8">
              <w:rPr>
                <w:sz w:val="22"/>
                <w:szCs w:val="22"/>
              </w:rPr>
              <w:t>2</w:t>
            </w:r>
          </w:p>
        </w:tc>
        <w:tc>
          <w:tcPr>
            <w:tcW w:w="1530" w:type="dxa"/>
          </w:tcPr>
          <w:p w14:paraId="4FF6DE64" w14:textId="01E6EBF2" w:rsidR="00671CAF" w:rsidRPr="006C63B7" w:rsidRDefault="006947D8" w:rsidP="007235FC">
            <w:pPr>
              <w:spacing w:before="240"/>
              <w:rPr>
                <w:sz w:val="22"/>
                <w:szCs w:val="22"/>
              </w:rPr>
            </w:pPr>
            <w:r>
              <w:rPr>
                <w:sz w:val="22"/>
                <w:szCs w:val="22"/>
              </w:rPr>
              <w:t>Environmental Contaminants</w:t>
            </w:r>
          </w:p>
        </w:tc>
        <w:tc>
          <w:tcPr>
            <w:tcW w:w="1440" w:type="dxa"/>
          </w:tcPr>
          <w:p w14:paraId="4CBE944B" w14:textId="41CE4B06" w:rsidR="00671CAF" w:rsidRPr="006C63B7" w:rsidRDefault="00671CAF" w:rsidP="007235FC">
            <w:pPr>
              <w:spacing w:before="240"/>
              <w:rPr>
                <w:sz w:val="22"/>
                <w:szCs w:val="22"/>
              </w:rPr>
            </w:pPr>
            <w:r w:rsidRPr="006C63B7">
              <w:rPr>
                <w:sz w:val="22"/>
                <w:szCs w:val="22"/>
              </w:rPr>
              <w:t xml:space="preserve">Pre-harvest </w:t>
            </w:r>
            <w:r w:rsidR="006947D8">
              <w:rPr>
                <w:sz w:val="22"/>
                <w:szCs w:val="22"/>
              </w:rPr>
              <w:t>laboratory testing for contaminants of concern.</w:t>
            </w:r>
          </w:p>
        </w:tc>
        <w:tc>
          <w:tcPr>
            <w:tcW w:w="1440" w:type="dxa"/>
          </w:tcPr>
          <w:p w14:paraId="464BE5A6" w14:textId="5CBDBA75" w:rsidR="00671CAF" w:rsidRPr="006C63B7" w:rsidRDefault="006947D8" w:rsidP="007235FC">
            <w:pPr>
              <w:spacing w:before="240"/>
              <w:rPr>
                <w:sz w:val="22"/>
                <w:szCs w:val="22"/>
              </w:rPr>
            </w:pPr>
            <w:r w:rsidRPr="006947D8">
              <w:rPr>
                <w:sz w:val="22"/>
                <w:szCs w:val="22"/>
              </w:rPr>
              <w:t>Annual evaluation of land use and industrial practices and local, state, tribal advisories to identify new contaminants of concern around harvest site.</w:t>
            </w:r>
          </w:p>
        </w:tc>
        <w:tc>
          <w:tcPr>
            <w:tcW w:w="2070" w:type="dxa"/>
          </w:tcPr>
          <w:p w14:paraId="59893CDF" w14:textId="77777777" w:rsidR="007047C9" w:rsidRDefault="006947D8" w:rsidP="007235FC">
            <w:pPr>
              <w:spacing w:before="240"/>
              <w:rPr>
                <w:sz w:val="22"/>
                <w:szCs w:val="22"/>
              </w:rPr>
            </w:pPr>
            <w:r w:rsidRPr="006947D8">
              <w:rPr>
                <w:sz w:val="22"/>
                <w:szCs w:val="22"/>
              </w:rPr>
              <w:t>A letter of guarantee is provided with each shipment from the farmer or supplier, certifying that the seaweed products have been tested and found to be free from contaminants at levels that would pose a risk to human health.</w:t>
            </w:r>
          </w:p>
          <w:p w14:paraId="68B5FA6D" w14:textId="724844ED" w:rsidR="00671CAF" w:rsidRPr="006C63B7" w:rsidRDefault="006947D8" w:rsidP="007235FC">
            <w:pPr>
              <w:spacing w:before="240"/>
              <w:rPr>
                <w:sz w:val="22"/>
                <w:szCs w:val="22"/>
              </w:rPr>
            </w:pPr>
            <w:r w:rsidRPr="006947D8">
              <w:rPr>
                <w:sz w:val="22"/>
                <w:szCs w:val="22"/>
              </w:rPr>
              <w:t>Annual review of supplier land use report.</w:t>
            </w:r>
          </w:p>
        </w:tc>
        <w:tc>
          <w:tcPr>
            <w:tcW w:w="2250" w:type="dxa"/>
          </w:tcPr>
          <w:p w14:paraId="316AE7B5" w14:textId="77777777" w:rsidR="007235FC" w:rsidRDefault="006947D8" w:rsidP="007235FC">
            <w:pPr>
              <w:spacing w:before="240"/>
              <w:rPr>
                <w:sz w:val="22"/>
                <w:szCs w:val="22"/>
              </w:rPr>
            </w:pPr>
            <w:r w:rsidRPr="00632241">
              <w:rPr>
                <w:sz w:val="22"/>
                <w:szCs w:val="22"/>
              </w:rPr>
              <w:t>If seaweed</w:t>
            </w:r>
            <w:r w:rsidRPr="006947D8">
              <w:rPr>
                <w:sz w:val="22"/>
                <w:szCs w:val="22"/>
              </w:rPr>
              <w:t xml:space="preserve"> is received without the letter of guarantee, then hold product until documentation is received </w:t>
            </w:r>
            <w:r w:rsidRPr="00F167D7">
              <w:rPr>
                <w:b/>
                <w:bCs/>
                <w:sz w:val="22"/>
                <w:szCs w:val="22"/>
              </w:rPr>
              <w:t>OR</w:t>
            </w:r>
            <w:r w:rsidRPr="006947D8">
              <w:rPr>
                <w:sz w:val="22"/>
                <w:szCs w:val="22"/>
              </w:rPr>
              <w:t xml:space="preserve"> reject the lot </w:t>
            </w:r>
            <w:r w:rsidRPr="00F167D7">
              <w:rPr>
                <w:b/>
                <w:bCs/>
                <w:sz w:val="22"/>
                <w:szCs w:val="22"/>
              </w:rPr>
              <w:t>OR</w:t>
            </w:r>
            <w:r w:rsidRPr="006947D8">
              <w:rPr>
                <w:sz w:val="22"/>
                <w:szCs w:val="22"/>
              </w:rPr>
              <w:t xml:space="preserve"> test product before use</w:t>
            </w:r>
          </w:p>
          <w:p w14:paraId="7A471315" w14:textId="12D5DC23" w:rsidR="007235FC" w:rsidRDefault="006947D8" w:rsidP="00893C28">
            <w:pPr>
              <w:rPr>
                <w:sz w:val="22"/>
                <w:szCs w:val="22"/>
              </w:rPr>
            </w:pPr>
            <w:r w:rsidRPr="00F167D7">
              <w:rPr>
                <w:b/>
                <w:bCs/>
                <w:sz w:val="22"/>
                <w:szCs w:val="22"/>
              </w:rPr>
              <w:t>AND</w:t>
            </w:r>
            <w:r w:rsidRPr="006947D8">
              <w:rPr>
                <w:sz w:val="22"/>
                <w:szCs w:val="22"/>
              </w:rPr>
              <w:t xml:space="preserve"> </w:t>
            </w:r>
          </w:p>
          <w:p w14:paraId="285521BC" w14:textId="3A5CD5A9" w:rsidR="00671CAF" w:rsidRPr="006C63B7" w:rsidRDefault="007235FC" w:rsidP="00893C28">
            <w:pPr>
              <w:rPr>
                <w:sz w:val="22"/>
                <w:szCs w:val="22"/>
              </w:rPr>
            </w:pPr>
            <w:r>
              <w:rPr>
                <w:sz w:val="22"/>
                <w:szCs w:val="22"/>
              </w:rPr>
              <w:t>D</w:t>
            </w:r>
            <w:r w:rsidR="006947D8" w:rsidRPr="006947D8">
              <w:rPr>
                <w:sz w:val="22"/>
                <w:szCs w:val="22"/>
              </w:rPr>
              <w:t>iscontinue use of the supplier until receiving practices are modified and a valid</w:t>
            </w:r>
            <w:r w:rsidR="007047C9">
              <w:rPr>
                <w:sz w:val="22"/>
                <w:szCs w:val="22"/>
              </w:rPr>
              <w:t xml:space="preserve"> </w:t>
            </w:r>
            <w:r w:rsidR="006947D8" w:rsidRPr="006947D8">
              <w:rPr>
                <w:sz w:val="22"/>
                <w:szCs w:val="22"/>
              </w:rPr>
              <w:t>documentation can be provided upon receipt of future shipments.</w:t>
            </w:r>
          </w:p>
        </w:tc>
        <w:tc>
          <w:tcPr>
            <w:tcW w:w="2250" w:type="dxa"/>
          </w:tcPr>
          <w:p w14:paraId="2CCAD3B4" w14:textId="77777777" w:rsidR="007235FC" w:rsidRDefault="006947D8" w:rsidP="007235FC">
            <w:pPr>
              <w:spacing w:before="240"/>
              <w:rPr>
                <w:sz w:val="22"/>
                <w:szCs w:val="22"/>
              </w:rPr>
            </w:pPr>
            <w:r w:rsidRPr="006947D8">
              <w:rPr>
                <w:sz w:val="22"/>
                <w:szCs w:val="22"/>
              </w:rPr>
              <w:t>Receiving log that indicates shipment arrived with a letter of guarantee indicating seaweed is free from contaminants at levels that would pose a risk to human health.</w:t>
            </w:r>
          </w:p>
          <w:p w14:paraId="791F7CEA" w14:textId="77777777" w:rsidR="007235FC" w:rsidRDefault="006947D8" w:rsidP="007235FC">
            <w:pPr>
              <w:spacing w:before="240"/>
              <w:rPr>
                <w:sz w:val="22"/>
                <w:szCs w:val="22"/>
              </w:rPr>
            </w:pPr>
            <w:r w:rsidRPr="006947D8">
              <w:rPr>
                <w:sz w:val="22"/>
                <w:szCs w:val="22"/>
              </w:rPr>
              <w:t>Corrective action records, if necessary.</w:t>
            </w:r>
          </w:p>
          <w:p w14:paraId="10CC837D" w14:textId="383C373A" w:rsidR="006947D8" w:rsidRPr="006947D8" w:rsidRDefault="006947D8" w:rsidP="007235FC">
            <w:pPr>
              <w:spacing w:before="240"/>
              <w:rPr>
                <w:sz w:val="22"/>
                <w:szCs w:val="22"/>
              </w:rPr>
            </w:pPr>
            <w:r w:rsidRPr="006947D8">
              <w:rPr>
                <w:sz w:val="22"/>
                <w:szCs w:val="22"/>
              </w:rPr>
              <w:t>Supplier verification records land use reports.</w:t>
            </w:r>
          </w:p>
          <w:p w14:paraId="5019232C" w14:textId="10DD0CB5" w:rsidR="00671CAF" w:rsidRPr="006C63B7" w:rsidRDefault="006947D8" w:rsidP="007235FC">
            <w:pPr>
              <w:spacing w:before="240"/>
              <w:rPr>
                <w:sz w:val="22"/>
                <w:szCs w:val="22"/>
              </w:rPr>
            </w:pPr>
            <w:r w:rsidRPr="006947D8">
              <w:rPr>
                <w:sz w:val="22"/>
                <w:szCs w:val="22"/>
              </w:rPr>
              <w:t>PCQI Training records</w:t>
            </w:r>
          </w:p>
        </w:tc>
      </w:tr>
    </w:tbl>
    <w:p w14:paraId="75E67749" w14:textId="77777777" w:rsidR="00422940" w:rsidRDefault="00422940" w:rsidP="00422940">
      <w:pPr>
        <w:sectPr w:rsidR="00422940" w:rsidSect="00671CAF">
          <w:pgSz w:w="15840" w:h="12240" w:orient="landscape"/>
          <w:pgMar w:top="1440" w:right="1440" w:bottom="1440" w:left="1440" w:header="720" w:footer="720" w:gutter="0"/>
          <w:pgNumType w:chapStyle="1"/>
          <w:cols w:space="720"/>
          <w:docGrid w:linePitch="360"/>
        </w:sectPr>
      </w:pPr>
    </w:p>
    <w:p w14:paraId="27F6C852" w14:textId="172696AB" w:rsidR="00422940" w:rsidRDefault="006947D8" w:rsidP="00691E23">
      <w:pPr>
        <w:pStyle w:val="Heading3"/>
      </w:pPr>
      <w:bookmarkStart w:id="147" w:name="_Toc208503232"/>
      <w:r>
        <w:lastRenderedPageBreak/>
        <w:t>Control Strategy 3 – Product Testing</w:t>
      </w:r>
      <w:bookmarkEnd w:id="147"/>
    </w:p>
    <w:p w14:paraId="1760C024" w14:textId="77777777" w:rsidR="006947D8" w:rsidRDefault="006947D8" w:rsidP="00CB6D27">
      <w:pPr>
        <w:spacing w:before="240"/>
      </w:pPr>
      <w:r>
        <w:t>If you are processing a species of seaweed for which heavy metals or other environmental chemical contaminants may be a concern, product testing can be used as a control strategy to prevent these hazards. This approach is particularly relevant when historical data or scientific literature indicate that certain contaminants—such as As, Cd, Hg, or Pb—are likely to be present at levels that could pose a public health risk. Product testing should be conducted as needed to reflect the specific species, harvest location, and seasonality, as these factors can significantly influence contaminant levels. Testing may be especially important for species known to accumulate particular heavy metals or for products intended for sensitive populations (e.g., young children or pregnant individuals).</w:t>
      </w:r>
    </w:p>
    <w:p w14:paraId="75B7F3AD" w14:textId="77777777" w:rsidR="006947D8" w:rsidRDefault="006947D8" w:rsidP="00691E23">
      <w:pPr>
        <w:pStyle w:val="Heading4"/>
      </w:pPr>
      <w:r>
        <w:t>Critical Limit(s)/Parameter(s) and Value(s)</w:t>
      </w:r>
    </w:p>
    <w:p w14:paraId="2D0C2271" w14:textId="4A718B49" w:rsidR="006947D8" w:rsidRDefault="006947D8" w:rsidP="00846B8F">
      <w:pPr>
        <w:pStyle w:val="ListParagraph"/>
        <w:numPr>
          <w:ilvl w:val="0"/>
          <w:numId w:val="40"/>
        </w:numPr>
        <w:spacing w:before="240"/>
      </w:pPr>
      <w:r>
        <w:t xml:space="preserve">No lot may contain residues of environmental chemical contaminants or pesticides at levels that pose a risk to human health. Refer to Appendix </w:t>
      </w:r>
      <w:r w:rsidR="002033A6">
        <w:t>F</w:t>
      </w:r>
      <w:r>
        <w:t xml:space="preserve"> for detailed guidance on determining safe consumption levels for seaweed products.</w:t>
      </w:r>
    </w:p>
    <w:p w14:paraId="459226C9" w14:textId="77777777" w:rsidR="006947D8" w:rsidRDefault="006947D8" w:rsidP="00691E23">
      <w:pPr>
        <w:pStyle w:val="Heading4"/>
      </w:pPr>
      <w:r>
        <w:t>Monitoring – What, How, How Often, Who</w:t>
      </w:r>
    </w:p>
    <w:p w14:paraId="12E6CFC7" w14:textId="77777777" w:rsidR="006947D8" w:rsidRDefault="006947D8" w:rsidP="00846B8F">
      <w:pPr>
        <w:pStyle w:val="ListParagraph"/>
        <w:numPr>
          <w:ilvl w:val="0"/>
          <w:numId w:val="40"/>
        </w:numPr>
        <w:spacing w:before="240"/>
        <w:contextualSpacing w:val="0"/>
      </w:pPr>
      <w:r>
        <w:t>What will be monitored?</w:t>
      </w:r>
    </w:p>
    <w:p w14:paraId="3BBDC834" w14:textId="77777777" w:rsidR="006947D8" w:rsidRDefault="006947D8" w:rsidP="00846B8F">
      <w:pPr>
        <w:pStyle w:val="ListParagraph"/>
        <w:numPr>
          <w:ilvl w:val="1"/>
          <w:numId w:val="40"/>
        </w:numPr>
        <w:contextualSpacing w:val="0"/>
      </w:pPr>
      <w:r>
        <w:t>Contaminant level in seaweed</w:t>
      </w:r>
    </w:p>
    <w:p w14:paraId="7AB65498" w14:textId="77777777" w:rsidR="006947D8" w:rsidRDefault="006947D8" w:rsidP="00846B8F">
      <w:pPr>
        <w:pStyle w:val="ListParagraph"/>
        <w:numPr>
          <w:ilvl w:val="0"/>
          <w:numId w:val="40"/>
        </w:numPr>
        <w:contextualSpacing w:val="0"/>
      </w:pPr>
      <w:r>
        <w:t>How will monitoring be done?</w:t>
      </w:r>
    </w:p>
    <w:p w14:paraId="3FD84607" w14:textId="77777777" w:rsidR="006947D8" w:rsidRDefault="006947D8" w:rsidP="00846B8F">
      <w:pPr>
        <w:pStyle w:val="ListParagraph"/>
        <w:numPr>
          <w:ilvl w:val="1"/>
          <w:numId w:val="40"/>
        </w:numPr>
        <w:contextualSpacing w:val="0"/>
      </w:pPr>
      <w:r>
        <w:t>A representative number of samples are analyzed using a validated method.</w:t>
      </w:r>
    </w:p>
    <w:p w14:paraId="6703494A" w14:textId="77777777" w:rsidR="006947D8" w:rsidRDefault="006947D8" w:rsidP="00846B8F">
      <w:pPr>
        <w:pStyle w:val="ListParagraph"/>
        <w:numPr>
          <w:ilvl w:val="0"/>
          <w:numId w:val="40"/>
        </w:numPr>
        <w:contextualSpacing w:val="0"/>
      </w:pPr>
      <w:r>
        <w:t>How often will monitoring be done (frequency)?</w:t>
      </w:r>
    </w:p>
    <w:p w14:paraId="041F986B" w14:textId="0EF7A6AC" w:rsidR="006947D8" w:rsidRDefault="006947D8" w:rsidP="00846B8F">
      <w:pPr>
        <w:pStyle w:val="ListParagraph"/>
        <w:numPr>
          <w:ilvl w:val="1"/>
          <w:numId w:val="40"/>
        </w:numPr>
        <w:contextualSpacing w:val="0"/>
      </w:pPr>
      <w:r>
        <w:t>At time of receipt for all lots received.</w:t>
      </w:r>
    </w:p>
    <w:p w14:paraId="4B26F000" w14:textId="77777777" w:rsidR="006947D8" w:rsidRDefault="006947D8" w:rsidP="00846B8F">
      <w:pPr>
        <w:pStyle w:val="ListParagraph"/>
        <w:numPr>
          <w:ilvl w:val="0"/>
          <w:numId w:val="40"/>
        </w:numPr>
        <w:contextualSpacing w:val="0"/>
      </w:pPr>
      <w:r>
        <w:t>Who will do the monitoring?</w:t>
      </w:r>
    </w:p>
    <w:p w14:paraId="2FD21382" w14:textId="4A44C2AA" w:rsidR="006947D8" w:rsidRDefault="006947D8" w:rsidP="00846B8F">
      <w:pPr>
        <w:pStyle w:val="ListParagraph"/>
        <w:numPr>
          <w:ilvl w:val="1"/>
          <w:numId w:val="40"/>
        </w:numPr>
        <w:contextualSpacing w:val="0"/>
      </w:pPr>
      <w:r>
        <w:t>Individual with an understanding and knowledge of the controls and procedures for monitoring, sample collection and testing.</w:t>
      </w:r>
    </w:p>
    <w:p w14:paraId="29431E19" w14:textId="77777777" w:rsidR="006947D8" w:rsidRPr="006947D8" w:rsidRDefault="006947D8" w:rsidP="00691E23">
      <w:pPr>
        <w:pStyle w:val="Heading4"/>
      </w:pPr>
      <w:r w:rsidRPr="006947D8">
        <w:t>Corrective Action/Corrections</w:t>
      </w:r>
    </w:p>
    <w:p w14:paraId="0EE65D95" w14:textId="77777777" w:rsidR="006947D8" w:rsidRDefault="006947D8" w:rsidP="00846B8F">
      <w:pPr>
        <w:pStyle w:val="ListParagraph"/>
        <w:numPr>
          <w:ilvl w:val="0"/>
          <w:numId w:val="41"/>
        </w:numPr>
        <w:spacing w:before="240"/>
        <w:contextualSpacing w:val="0"/>
      </w:pPr>
      <w:r>
        <w:t>If the contaminant concentration is above levels that would pose a risk to human health, then reject the lot OR redirect for non-food purposes</w:t>
      </w:r>
    </w:p>
    <w:p w14:paraId="36A0CEF5" w14:textId="4AECC7AD" w:rsidR="006947D8" w:rsidRDefault="006947D8" w:rsidP="006947D8">
      <w:r w:rsidRPr="006947D8">
        <w:rPr>
          <w:b/>
          <w:bCs/>
        </w:rPr>
        <w:t>AND</w:t>
      </w:r>
      <w:r>
        <w:t xml:space="preserve"> address the root cause to prevent future occurrence.</w:t>
      </w:r>
    </w:p>
    <w:p w14:paraId="52305ED3" w14:textId="77777777" w:rsidR="006947D8" w:rsidRDefault="006947D8" w:rsidP="00846B8F">
      <w:pPr>
        <w:pStyle w:val="ListParagraph"/>
        <w:numPr>
          <w:ilvl w:val="0"/>
          <w:numId w:val="41"/>
        </w:numPr>
        <w:contextualSpacing w:val="0"/>
      </w:pPr>
      <w:r>
        <w:lastRenderedPageBreak/>
        <w:t>discontinue use of the supplier until evidence is obtained that production or harvest practices have been adjusted to address the contamination and contaminant concentrations are within safe limits.</w:t>
      </w:r>
    </w:p>
    <w:p w14:paraId="24B2ABFB" w14:textId="77777777" w:rsidR="006947D8" w:rsidRDefault="006947D8" w:rsidP="00691E23">
      <w:pPr>
        <w:pStyle w:val="Heading4"/>
      </w:pPr>
      <w:r>
        <w:t>Verification</w:t>
      </w:r>
    </w:p>
    <w:p w14:paraId="757C822A" w14:textId="78B52278" w:rsidR="006947D8" w:rsidRDefault="006947D8" w:rsidP="00846B8F">
      <w:pPr>
        <w:pStyle w:val="ListParagraph"/>
        <w:numPr>
          <w:ilvl w:val="0"/>
          <w:numId w:val="41"/>
        </w:numPr>
        <w:spacing w:before="240"/>
        <w:contextualSpacing w:val="0"/>
      </w:pPr>
      <w:r>
        <w:t>Review of monitoring and corrective action records within one week of preparation to ensure they were completed appropriately.</w:t>
      </w:r>
    </w:p>
    <w:p w14:paraId="449A781F" w14:textId="57F841A4" w:rsidR="006947D8" w:rsidRDefault="006947D8" w:rsidP="00846B8F">
      <w:pPr>
        <w:pStyle w:val="ListParagraph"/>
        <w:numPr>
          <w:ilvl w:val="0"/>
          <w:numId w:val="41"/>
        </w:numPr>
        <w:contextualSpacing w:val="0"/>
      </w:pPr>
      <w:r>
        <w:t xml:space="preserve">Validate testing methods for contaminant analysis if the analysis will be performed in an in-house laboratory </w:t>
      </w:r>
      <w:r w:rsidRPr="00F167D7">
        <w:rPr>
          <w:b/>
          <w:bCs/>
        </w:rPr>
        <w:t>AND</w:t>
      </w:r>
      <w:r>
        <w:t xml:space="preserve"> periodically send the sample to a credible third-party laboratory to verify the adequacy of the testing methods and equipment</w:t>
      </w:r>
    </w:p>
    <w:p w14:paraId="74FF28A2" w14:textId="69FB07B8" w:rsidR="006947D8" w:rsidRDefault="006947D8" w:rsidP="00846B8F">
      <w:pPr>
        <w:pStyle w:val="ListParagraph"/>
        <w:numPr>
          <w:ilvl w:val="0"/>
          <w:numId w:val="41"/>
        </w:numPr>
        <w:contextualSpacing w:val="0"/>
      </w:pPr>
      <w:r>
        <w:t>Periodic monitoring of federal, state, local, or foreign regulatory authorities’ websites or reports on harvest restrictions and consumption advisories for water bodies products are sourced from.</w:t>
      </w:r>
    </w:p>
    <w:p w14:paraId="7BC6B3DA" w14:textId="77777777" w:rsidR="006947D8" w:rsidRDefault="006947D8" w:rsidP="00846B8F">
      <w:pPr>
        <w:pStyle w:val="ListParagraph"/>
        <w:numPr>
          <w:ilvl w:val="0"/>
          <w:numId w:val="41"/>
        </w:numPr>
        <w:contextualSpacing w:val="0"/>
      </w:pPr>
      <w:r>
        <w:t>Periodic review of testing standards and requirements as well as actionable or tolerable levels.</w:t>
      </w:r>
    </w:p>
    <w:p w14:paraId="10EEACB5" w14:textId="77777777" w:rsidR="006947D8" w:rsidRDefault="006947D8" w:rsidP="00691E23">
      <w:pPr>
        <w:pStyle w:val="Heading4"/>
      </w:pPr>
      <w:r>
        <w:t>Records</w:t>
      </w:r>
    </w:p>
    <w:p w14:paraId="2F644EA2" w14:textId="77777777" w:rsidR="006947D8" w:rsidRDefault="006947D8" w:rsidP="00846B8F">
      <w:pPr>
        <w:pStyle w:val="ListParagraph"/>
        <w:numPr>
          <w:ilvl w:val="0"/>
          <w:numId w:val="40"/>
        </w:numPr>
        <w:spacing w:before="240"/>
        <w:contextualSpacing w:val="0"/>
      </w:pPr>
      <w:r w:rsidRPr="006947D8">
        <w:rPr>
          <w:b/>
          <w:bCs/>
        </w:rPr>
        <w:t>Monitoring Records:</w:t>
      </w:r>
      <w:r>
        <w:t xml:space="preserve"> Testing results records.</w:t>
      </w:r>
    </w:p>
    <w:p w14:paraId="36295D24" w14:textId="2410F884" w:rsidR="006947D8" w:rsidRDefault="006947D8" w:rsidP="00846B8F">
      <w:pPr>
        <w:pStyle w:val="ListParagraph"/>
        <w:numPr>
          <w:ilvl w:val="0"/>
          <w:numId w:val="40"/>
        </w:numPr>
        <w:contextualSpacing w:val="0"/>
      </w:pPr>
      <w:r w:rsidRPr="006947D8">
        <w:rPr>
          <w:b/>
          <w:bCs/>
        </w:rPr>
        <w:t>Corrective Action Records:</w:t>
      </w:r>
      <w:r>
        <w:t xml:space="preserve"> Documentation of any corrective actions taken, if necessary.</w:t>
      </w:r>
    </w:p>
    <w:p w14:paraId="6BE70212" w14:textId="12581BA2" w:rsidR="006947D8" w:rsidRDefault="006947D8" w:rsidP="00846B8F">
      <w:pPr>
        <w:pStyle w:val="ListParagraph"/>
        <w:numPr>
          <w:ilvl w:val="0"/>
          <w:numId w:val="40"/>
        </w:numPr>
        <w:contextualSpacing w:val="0"/>
      </w:pPr>
      <w:r w:rsidRPr="006947D8">
        <w:rPr>
          <w:b/>
          <w:bCs/>
        </w:rPr>
        <w:t>Verification Records:</w:t>
      </w:r>
      <w:r>
        <w:t xml:space="preserve"> Documentation of periodic reviews (at least once a year) of harvest locations for closures or consumption advisories, review of testing standards/procedures and changes to safe levels for contaminants. Validation of </w:t>
      </w:r>
      <w:r w:rsidR="00F167D7">
        <w:t>in-house</w:t>
      </w:r>
      <w:r>
        <w:t xml:space="preserve"> testing methods, if applicable.</w:t>
      </w:r>
    </w:p>
    <w:p w14:paraId="18475E22" w14:textId="5E640132" w:rsidR="006947D8" w:rsidRDefault="006947D8" w:rsidP="00846B8F">
      <w:pPr>
        <w:pStyle w:val="ListParagraph"/>
        <w:numPr>
          <w:ilvl w:val="0"/>
          <w:numId w:val="40"/>
        </w:numPr>
        <w:contextualSpacing w:val="0"/>
      </w:pPr>
      <w:r w:rsidRPr="006947D8">
        <w:rPr>
          <w:b/>
          <w:bCs/>
        </w:rPr>
        <w:t>Recall Plan:</w:t>
      </w:r>
      <w:r>
        <w:t xml:space="preserve"> A written recall plan is required for any products with significant hazards if regulated under preventive controls for human foods.</w:t>
      </w:r>
    </w:p>
    <w:p w14:paraId="0BE85CB5" w14:textId="77777777" w:rsidR="00F167D7" w:rsidRDefault="006947D8" w:rsidP="00846B8F">
      <w:pPr>
        <w:pStyle w:val="ListParagraph"/>
        <w:numPr>
          <w:ilvl w:val="0"/>
          <w:numId w:val="40"/>
        </w:numPr>
        <w:contextualSpacing w:val="0"/>
        <w:sectPr w:rsidR="00F167D7" w:rsidSect="00AD559E">
          <w:pgSz w:w="12240" w:h="15840"/>
          <w:pgMar w:top="1440" w:right="1440" w:bottom="1440" w:left="1440" w:header="720" w:footer="720" w:gutter="0"/>
          <w:pgNumType w:chapStyle="1"/>
          <w:cols w:space="720"/>
          <w:docGrid w:linePitch="360"/>
        </w:sectPr>
      </w:pPr>
      <w:r w:rsidRPr="006947D8">
        <w:rPr>
          <w:b/>
          <w:bCs/>
        </w:rPr>
        <w:t>Training Records:</w:t>
      </w:r>
      <w:r>
        <w:t xml:space="preserve"> Training records for the preventive controls qualified individual (PCQI) must be maintained if regulated under preventive controls for human foods. While the HACCP rule requires a HACCP trained individual, records of that training are not explicitly required (federally, may vary by state).</w:t>
      </w:r>
    </w:p>
    <w:p w14:paraId="2BB03092" w14:textId="3EC024A1" w:rsidR="00F167D7" w:rsidRDefault="00F167D7" w:rsidP="00691E23">
      <w:pPr>
        <w:pStyle w:val="Heading4"/>
      </w:pPr>
      <w:r>
        <w:lastRenderedPageBreak/>
        <w:t>Example HACCP/Food Safety Plan for Product Testing Control</w:t>
      </w:r>
    </w:p>
    <w:p w14:paraId="21440DBC" w14:textId="78346D3E" w:rsidR="00F167D7" w:rsidRDefault="00F167D7" w:rsidP="0020794B">
      <w:pPr>
        <w:ind w:left="-1080" w:right="-990"/>
      </w:pPr>
      <w:r>
        <w:t>Below is an example showing what a food safety plan could look like. It is intended for illustrative purposes only. Each producer must develop a plan tailored to their unique products, production and processing methods, and regulatory requirements. This example should not be copied and used without modification to fit your specific operation.</w:t>
      </w:r>
    </w:p>
    <w:p w14:paraId="4ACF9DB8" w14:textId="77777777" w:rsidR="00F167D7" w:rsidRDefault="00F167D7" w:rsidP="0020794B">
      <w:pPr>
        <w:spacing w:after="0"/>
        <w:ind w:left="-1080" w:right="-990"/>
      </w:pPr>
      <w:r w:rsidRPr="002F4249">
        <w:rPr>
          <w:b/>
          <w:bCs/>
        </w:rPr>
        <w:t>Control Strategy:</w:t>
      </w:r>
      <w:r>
        <w:t xml:space="preserve"> Product Testing</w:t>
      </w:r>
    </w:p>
    <w:p w14:paraId="19E26D12" w14:textId="77777777" w:rsidR="00F167D7" w:rsidRDefault="00F167D7" w:rsidP="0020794B">
      <w:pPr>
        <w:pStyle w:val="ListParagraph"/>
        <w:spacing w:after="0"/>
        <w:ind w:left="-1080" w:right="-990"/>
      </w:pPr>
      <w:r w:rsidRPr="002F4249">
        <w:rPr>
          <w:b/>
          <w:bCs/>
        </w:rPr>
        <w:t>Critical Control Point/Process Preventive Control Step:</w:t>
      </w:r>
      <w:r>
        <w:t xml:space="preserve"> Receiving Step</w:t>
      </w:r>
    </w:p>
    <w:p w14:paraId="3E65A0FF" w14:textId="1E7EFB1F" w:rsidR="006947D8" w:rsidRDefault="00F167D7" w:rsidP="0020794B">
      <w:pPr>
        <w:pStyle w:val="ListParagraph"/>
        <w:ind w:left="-1080" w:right="-990"/>
        <w:contextualSpacing w:val="0"/>
      </w:pPr>
      <w:r w:rsidRPr="002F4249">
        <w:rPr>
          <w:b/>
          <w:bCs/>
        </w:rPr>
        <w:t>Hazard:</w:t>
      </w:r>
      <w:r>
        <w:t xml:space="preserve"> Environmental Contaminants</w:t>
      </w:r>
    </w:p>
    <w:tbl>
      <w:tblPr>
        <w:tblStyle w:val="TableGrid"/>
        <w:tblW w:w="15210" w:type="dxa"/>
        <w:tblInd w:w="-108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tblCellMar>
        <w:tblLook w:val="04A0" w:firstRow="1" w:lastRow="0" w:firstColumn="1" w:lastColumn="0" w:noHBand="0" w:noVBand="1"/>
        <w:tblCaption w:val="Example HACCP/Food Safety Plan for Product Testing Control: Environmental Contaminants"/>
        <w:tblDescription w:val="Column Headers: Parameters/Values/Critical Limits, Monitoring (What/How/When/Who as subheader columns within), Corrective Action, Verification, Records."/>
      </w:tblPr>
      <w:tblGrid>
        <w:gridCol w:w="2160"/>
        <w:gridCol w:w="1620"/>
        <w:gridCol w:w="1440"/>
        <w:gridCol w:w="900"/>
        <w:gridCol w:w="1170"/>
        <w:gridCol w:w="2520"/>
        <w:gridCol w:w="2820"/>
        <w:gridCol w:w="2580"/>
      </w:tblGrid>
      <w:tr w:rsidR="002F4249" w14:paraId="4997B8FF" w14:textId="77777777" w:rsidTr="00A61B74">
        <w:trPr>
          <w:trHeight w:val="390"/>
        </w:trPr>
        <w:tc>
          <w:tcPr>
            <w:tcW w:w="2160" w:type="dxa"/>
            <w:vMerge w:val="restart"/>
            <w:shd w:val="clear" w:color="auto" w:fill="D1D1D1" w:themeFill="background2" w:themeFillShade="E6"/>
          </w:tcPr>
          <w:p w14:paraId="04E2F94D" w14:textId="77777777" w:rsidR="002F4249" w:rsidRPr="0001662C" w:rsidRDefault="002F4249" w:rsidP="00DF5603">
            <w:pPr>
              <w:jc w:val="center"/>
              <w:rPr>
                <w:b/>
                <w:bCs/>
              </w:rPr>
            </w:pPr>
            <w:r w:rsidRPr="0001662C">
              <w:rPr>
                <w:b/>
                <w:bCs/>
              </w:rPr>
              <w:t>Parameters, Values, Critical Limits</w:t>
            </w:r>
          </w:p>
        </w:tc>
        <w:tc>
          <w:tcPr>
            <w:tcW w:w="5130" w:type="dxa"/>
            <w:gridSpan w:val="4"/>
            <w:shd w:val="clear" w:color="auto" w:fill="D1D1D1" w:themeFill="background2" w:themeFillShade="E6"/>
          </w:tcPr>
          <w:p w14:paraId="1282AA36" w14:textId="77777777" w:rsidR="002F4249" w:rsidRPr="0001662C" w:rsidRDefault="002F4249" w:rsidP="00DF5603">
            <w:pPr>
              <w:jc w:val="center"/>
              <w:rPr>
                <w:b/>
                <w:bCs/>
              </w:rPr>
            </w:pPr>
            <w:r w:rsidRPr="0001662C">
              <w:rPr>
                <w:b/>
                <w:bCs/>
              </w:rPr>
              <w:t>Monitoring</w:t>
            </w:r>
          </w:p>
        </w:tc>
        <w:tc>
          <w:tcPr>
            <w:tcW w:w="2520" w:type="dxa"/>
            <w:vMerge w:val="restart"/>
            <w:shd w:val="clear" w:color="auto" w:fill="D1D1D1" w:themeFill="background2" w:themeFillShade="E6"/>
          </w:tcPr>
          <w:p w14:paraId="39C885AD" w14:textId="77777777" w:rsidR="002F4249" w:rsidRPr="0001662C" w:rsidRDefault="002F4249" w:rsidP="00DF5603">
            <w:pPr>
              <w:jc w:val="center"/>
              <w:rPr>
                <w:b/>
                <w:bCs/>
              </w:rPr>
            </w:pPr>
            <w:r w:rsidRPr="0001662C">
              <w:rPr>
                <w:b/>
                <w:bCs/>
              </w:rPr>
              <w:t>Corrective Action</w:t>
            </w:r>
          </w:p>
        </w:tc>
        <w:tc>
          <w:tcPr>
            <w:tcW w:w="2820" w:type="dxa"/>
            <w:vMerge w:val="restart"/>
            <w:shd w:val="clear" w:color="auto" w:fill="D1D1D1" w:themeFill="background2" w:themeFillShade="E6"/>
          </w:tcPr>
          <w:p w14:paraId="5CBD1031" w14:textId="77777777" w:rsidR="002F4249" w:rsidRPr="0001662C" w:rsidRDefault="002F4249" w:rsidP="00DF5603">
            <w:pPr>
              <w:jc w:val="center"/>
              <w:rPr>
                <w:b/>
                <w:bCs/>
              </w:rPr>
            </w:pPr>
            <w:r w:rsidRPr="0001662C">
              <w:rPr>
                <w:b/>
                <w:bCs/>
              </w:rPr>
              <w:t>Verification</w:t>
            </w:r>
          </w:p>
        </w:tc>
        <w:tc>
          <w:tcPr>
            <w:tcW w:w="2580" w:type="dxa"/>
            <w:vMerge w:val="restart"/>
            <w:shd w:val="clear" w:color="auto" w:fill="D1D1D1" w:themeFill="background2" w:themeFillShade="E6"/>
          </w:tcPr>
          <w:p w14:paraId="5C23198A" w14:textId="77777777" w:rsidR="002F4249" w:rsidRPr="0001662C" w:rsidRDefault="002F4249" w:rsidP="00DF5603">
            <w:pPr>
              <w:jc w:val="center"/>
              <w:rPr>
                <w:b/>
                <w:bCs/>
              </w:rPr>
            </w:pPr>
            <w:r w:rsidRPr="0001662C">
              <w:rPr>
                <w:b/>
                <w:bCs/>
              </w:rPr>
              <w:t>Records</w:t>
            </w:r>
          </w:p>
        </w:tc>
      </w:tr>
      <w:tr w:rsidR="0020794B" w14:paraId="6FE98C0F" w14:textId="77777777" w:rsidTr="00A61B74">
        <w:trPr>
          <w:trHeight w:val="20"/>
        </w:trPr>
        <w:tc>
          <w:tcPr>
            <w:tcW w:w="2160" w:type="dxa"/>
            <w:vMerge/>
          </w:tcPr>
          <w:p w14:paraId="5CA0DDC2" w14:textId="77777777" w:rsidR="002F4249" w:rsidRPr="0001662C" w:rsidRDefault="002F4249" w:rsidP="00DF5603">
            <w:pPr>
              <w:rPr>
                <w:b/>
                <w:bCs/>
              </w:rPr>
            </w:pPr>
          </w:p>
        </w:tc>
        <w:tc>
          <w:tcPr>
            <w:tcW w:w="1620" w:type="dxa"/>
            <w:shd w:val="clear" w:color="auto" w:fill="D1D1D1" w:themeFill="background2" w:themeFillShade="E6"/>
          </w:tcPr>
          <w:p w14:paraId="2268547D" w14:textId="77777777" w:rsidR="002F4249" w:rsidRPr="0001662C" w:rsidRDefault="002F4249" w:rsidP="00DF5603">
            <w:pPr>
              <w:jc w:val="center"/>
              <w:rPr>
                <w:b/>
                <w:bCs/>
              </w:rPr>
            </w:pPr>
            <w:r w:rsidRPr="0001662C">
              <w:rPr>
                <w:b/>
                <w:bCs/>
              </w:rPr>
              <w:t>What</w:t>
            </w:r>
          </w:p>
        </w:tc>
        <w:tc>
          <w:tcPr>
            <w:tcW w:w="1440" w:type="dxa"/>
            <w:shd w:val="clear" w:color="auto" w:fill="D1D1D1" w:themeFill="background2" w:themeFillShade="E6"/>
          </w:tcPr>
          <w:p w14:paraId="177E004D" w14:textId="77777777" w:rsidR="002F4249" w:rsidRPr="0001662C" w:rsidRDefault="002F4249" w:rsidP="00DF5603">
            <w:pPr>
              <w:jc w:val="center"/>
              <w:rPr>
                <w:b/>
                <w:bCs/>
              </w:rPr>
            </w:pPr>
            <w:r w:rsidRPr="0001662C">
              <w:rPr>
                <w:b/>
                <w:bCs/>
              </w:rPr>
              <w:t>How</w:t>
            </w:r>
          </w:p>
        </w:tc>
        <w:tc>
          <w:tcPr>
            <w:tcW w:w="900" w:type="dxa"/>
            <w:shd w:val="clear" w:color="auto" w:fill="D1D1D1" w:themeFill="background2" w:themeFillShade="E6"/>
          </w:tcPr>
          <w:p w14:paraId="57DE48FC" w14:textId="77777777" w:rsidR="002F4249" w:rsidRPr="0001662C" w:rsidRDefault="002F4249" w:rsidP="00DF5603">
            <w:pPr>
              <w:jc w:val="center"/>
              <w:rPr>
                <w:b/>
                <w:bCs/>
              </w:rPr>
            </w:pPr>
            <w:r w:rsidRPr="0001662C">
              <w:rPr>
                <w:b/>
                <w:bCs/>
              </w:rPr>
              <w:t>When</w:t>
            </w:r>
          </w:p>
        </w:tc>
        <w:tc>
          <w:tcPr>
            <w:tcW w:w="1170" w:type="dxa"/>
            <w:shd w:val="clear" w:color="auto" w:fill="D1D1D1" w:themeFill="background2" w:themeFillShade="E6"/>
          </w:tcPr>
          <w:p w14:paraId="05A2E289" w14:textId="77777777" w:rsidR="002F4249" w:rsidRPr="0001662C" w:rsidRDefault="002F4249" w:rsidP="00DF5603">
            <w:pPr>
              <w:jc w:val="center"/>
              <w:rPr>
                <w:b/>
                <w:bCs/>
              </w:rPr>
            </w:pPr>
            <w:r w:rsidRPr="0001662C">
              <w:rPr>
                <w:b/>
                <w:bCs/>
              </w:rPr>
              <w:t>Who</w:t>
            </w:r>
          </w:p>
        </w:tc>
        <w:tc>
          <w:tcPr>
            <w:tcW w:w="2520" w:type="dxa"/>
            <w:vMerge/>
          </w:tcPr>
          <w:p w14:paraId="54D96654" w14:textId="77777777" w:rsidR="002F4249" w:rsidRDefault="002F4249" w:rsidP="00DF5603"/>
        </w:tc>
        <w:tc>
          <w:tcPr>
            <w:tcW w:w="2820" w:type="dxa"/>
            <w:vMerge/>
          </w:tcPr>
          <w:p w14:paraId="33378613" w14:textId="77777777" w:rsidR="002F4249" w:rsidRDefault="002F4249" w:rsidP="00DF5603"/>
        </w:tc>
        <w:tc>
          <w:tcPr>
            <w:tcW w:w="2580" w:type="dxa"/>
            <w:vMerge/>
          </w:tcPr>
          <w:p w14:paraId="741F4D68" w14:textId="77777777" w:rsidR="002F4249" w:rsidRDefault="002F4249" w:rsidP="00DF5603"/>
        </w:tc>
      </w:tr>
      <w:tr w:rsidR="002F4249" w14:paraId="6B188A8A" w14:textId="77777777" w:rsidTr="00A61B74">
        <w:trPr>
          <w:trHeight w:val="5196"/>
        </w:trPr>
        <w:tc>
          <w:tcPr>
            <w:tcW w:w="2160" w:type="dxa"/>
          </w:tcPr>
          <w:p w14:paraId="6DAF1043" w14:textId="7B5DB66F" w:rsidR="002F4249" w:rsidRPr="00677CAA" w:rsidRDefault="002F4249" w:rsidP="0020794B">
            <w:pPr>
              <w:spacing w:before="240"/>
            </w:pPr>
            <w:r w:rsidRPr="002F4249">
              <w:t>No lot may contain residues of environmental chemical contaminants or pesticides at levels that pose a risk to human health.</w:t>
            </w:r>
          </w:p>
        </w:tc>
        <w:tc>
          <w:tcPr>
            <w:tcW w:w="1620" w:type="dxa"/>
          </w:tcPr>
          <w:p w14:paraId="700FBB12" w14:textId="194BDD26" w:rsidR="002F4249" w:rsidRPr="00677CAA" w:rsidRDefault="002F4249" w:rsidP="0020794B">
            <w:pPr>
              <w:spacing w:before="240"/>
              <w:rPr>
                <w:sz w:val="22"/>
                <w:szCs w:val="22"/>
              </w:rPr>
            </w:pPr>
            <w:r w:rsidRPr="002F4249">
              <w:rPr>
                <w:sz w:val="22"/>
                <w:szCs w:val="22"/>
              </w:rPr>
              <w:t>Environmental Chemicals contaminant concentrations.</w:t>
            </w:r>
          </w:p>
        </w:tc>
        <w:tc>
          <w:tcPr>
            <w:tcW w:w="1440" w:type="dxa"/>
          </w:tcPr>
          <w:p w14:paraId="26888E90" w14:textId="09121CD7" w:rsidR="002F4249" w:rsidRPr="00677CAA" w:rsidRDefault="002F4249" w:rsidP="0020794B">
            <w:pPr>
              <w:spacing w:before="240"/>
              <w:rPr>
                <w:sz w:val="22"/>
                <w:szCs w:val="22"/>
              </w:rPr>
            </w:pPr>
            <w:r w:rsidRPr="002F4249">
              <w:rPr>
                <w:sz w:val="22"/>
                <w:szCs w:val="22"/>
              </w:rPr>
              <w:t>Product testing will be done on each lot using a validated technique for contaminants of concern.</w:t>
            </w:r>
          </w:p>
        </w:tc>
        <w:tc>
          <w:tcPr>
            <w:tcW w:w="900" w:type="dxa"/>
          </w:tcPr>
          <w:p w14:paraId="5FD1E8E0" w14:textId="4B1295F0" w:rsidR="002F4249" w:rsidRPr="00677CAA" w:rsidRDefault="002F4249" w:rsidP="0020794B">
            <w:pPr>
              <w:spacing w:before="240"/>
              <w:rPr>
                <w:sz w:val="22"/>
                <w:szCs w:val="22"/>
              </w:rPr>
            </w:pPr>
            <w:r>
              <w:rPr>
                <w:sz w:val="22"/>
                <w:szCs w:val="22"/>
              </w:rPr>
              <w:t>Before harvest</w:t>
            </w:r>
          </w:p>
        </w:tc>
        <w:tc>
          <w:tcPr>
            <w:tcW w:w="1170" w:type="dxa"/>
          </w:tcPr>
          <w:p w14:paraId="12DFCCEB" w14:textId="4D1BB542" w:rsidR="002F4249" w:rsidRPr="00677CAA" w:rsidRDefault="002F4249" w:rsidP="0020794B">
            <w:pPr>
              <w:spacing w:before="240"/>
              <w:rPr>
                <w:sz w:val="22"/>
                <w:szCs w:val="22"/>
              </w:rPr>
            </w:pPr>
            <w:r w:rsidRPr="002F4249">
              <w:rPr>
                <w:sz w:val="22"/>
                <w:szCs w:val="22"/>
              </w:rPr>
              <w:t>Quality Assurance Manager</w:t>
            </w:r>
          </w:p>
        </w:tc>
        <w:tc>
          <w:tcPr>
            <w:tcW w:w="2520" w:type="dxa"/>
          </w:tcPr>
          <w:p w14:paraId="67F929AE" w14:textId="0E4FE441" w:rsidR="0020794B" w:rsidRDefault="00021F51" w:rsidP="0020794B">
            <w:pPr>
              <w:spacing w:before="240"/>
              <w:rPr>
                <w:sz w:val="22"/>
                <w:szCs w:val="22"/>
              </w:rPr>
            </w:pPr>
            <w:r w:rsidRPr="00021F51">
              <w:rPr>
                <w:sz w:val="22"/>
                <w:szCs w:val="22"/>
              </w:rPr>
              <w:t xml:space="preserve">If the contaminant concentration is at levels that pose a risk to human health, then discard the lot OR redirect the lot to other non-food use </w:t>
            </w:r>
          </w:p>
          <w:p w14:paraId="4F74D543" w14:textId="77777777" w:rsidR="0020794B" w:rsidRDefault="00021F51" w:rsidP="0020794B">
            <w:pPr>
              <w:spacing w:before="240"/>
              <w:rPr>
                <w:sz w:val="22"/>
                <w:szCs w:val="22"/>
              </w:rPr>
            </w:pPr>
            <w:r w:rsidRPr="00021F51">
              <w:rPr>
                <w:b/>
                <w:bCs/>
                <w:sz w:val="22"/>
                <w:szCs w:val="22"/>
              </w:rPr>
              <w:t>AND</w:t>
            </w:r>
            <w:r w:rsidRPr="00021F51">
              <w:rPr>
                <w:sz w:val="22"/>
                <w:szCs w:val="22"/>
              </w:rPr>
              <w:t xml:space="preserve"> </w:t>
            </w:r>
          </w:p>
          <w:p w14:paraId="2EC50A4B" w14:textId="5F5B5FBE" w:rsidR="002F4249" w:rsidRPr="00677CAA" w:rsidRDefault="0020794B" w:rsidP="0020794B">
            <w:pPr>
              <w:spacing w:before="240"/>
              <w:rPr>
                <w:sz w:val="22"/>
                <w:szCs w:val="22"/>
              </w:rPr>
            </w:pPr>
            <w:r>
              <w:rPr>
                <w:sz w:val="22"/>
                <w:szCs w:val="22"/>
              </w:rPr>
              <w:t>D</w:t>
            </w:r>
            <w:r w:rsidR="00021F51" w:rsidRPr="00021F51">
              <w:rPr>
                <w:sz w:val="22"/>
                <w:szCs w:val="22"/>
              </w:rPr>
              <w:t>iscontinue use of the supplier until evidence is obtained that production or harvest practices have been adjusted to address the contamination and contaminant concentrations are within safe limits.</w:t>
            </w:r>
          </w:p>
        </w:tc>
        <w:tc>
          <w:tcPr>
            <w:tcW w:w="2820" w:type="dxa"/>
          </w:tcPr>
          <w:p w14:paraId="4DBA813F" w14:textId="77777777" w:rsidR="0020794B" w:rsidRDefault="00021F51" w:rsidP="0020794B">
            <w:pPr>
              <w:spacing w:before="240"/>
              <w:rPr>
                <w:sz w:val="22"/>
                <w:szCs w:val="22"/>
              </w:rPr>
            </w:pPr>
            <w:r w:rsidRPr="00021F51">
              <w:rPr>
                <w:sz w:val="22"/>
                <w:szCs w:val="22"/>
              </w:rPr>
              <w:t xml:space="preserve">Review or monitoring and corrective action records within one week of taking to ensure they were completed appropriately, </w:t>
            </w:r>
          </w:p>
          <w:p w14:paraId="44681F5A" w14:textId="005165C9" w:rsidR="00021F51" w:rsidRPr="00021F51" w:rsidRDefault="00021F51" w:rsidP="0020794B">
            <w:pPr>
              <w:spacing w:before="240"/>
              <w:rPr>
                <w:sz w:val="22"/>
                <w:szCs w:val="22"/>
              </w:rPr>
            </w:pPr>
            <w:r w:rsidRPr="00021F51">
              <w:rPr>
                <w:b/>
                <w:bCs/>
                <w:sz w:val="22"/>
                <w:szCs w:val="22"/>
              </w:rPr>
              <w:t>AND</w:t>
            </w:r>
          </w:p>
          <w:p w14:paraId="5828BE8E" w14:textId="21C9BC5E" w:rsidR="002F4249" w:rsidRPr="00671CAF" w:rsidRDefault="00021F51" w:rsidP="0020794B">
            <w:pPr>
              <w:spacing w:before="240"/>
              <w:rPr>
                <w:sz w:val="22"/>
                <w:szCs w:val="22"/>
              </w:rPr>
            </w:pPr>
            <w:r w:rsidRPr="00021F51">
              <w:rPr>
                <w:sz w:val="22"/>
                <w:szCs w:val="22"/>
              </w:rPr>
              <w:t>Periodic monitoring of state, local, or foreign regulatory authorities’ websites or reports on harvest restrictions and consumption advisories for water bodies products are sourced from to identify new contaminants of concern.</w:t>
            </w:r>
          </w:p>
        </w:tc>
        <w:tc>
          <w:tcPr>
            <w:tcW w:w="2580" w:type="dxa"/>
          </w:tcPr>
          <w:p w14:paraId="3D3E0398" w14:textId="77777777" w:rsidR="00021F51" w:rsidRPr="00021F51" w:rsidRDefault="00021F51" w:rsidP="0020794B">
            <w:pPr>
              <w:spacing w:before="240"/>
              <w:rPr>
                <w:sz w:val="22"/>
                <w:szCs w:val="22"/>
              </w:rPr>
            </w:pPr>
            <w:r w:rsidRPr="00021F51">
              <w:rPr>
                <w:sz w:val="22"/>
                <w:szCs w:val="22"/>
              </w:rPr>
              <w:t>Testing results records</w:t>
            </w:r>
          </w:p>
          <w:p w14:paraId="0F1CAD45" w14:textId="77777777" w:rsidR="00021F51" w:rsidRPr="00021F51" w:rsidRDefault="00021F51" w:rsidP="0020794B">
            <w:pPr>
              <w:spacing w:before="240"/>
              <w:rPr>
                <w:sz w:val="22"/>
                <w:szCs w:val="22"/>
              </w:rPr>
            </w:pPr>
            <w:r w:rsidRPr="00021F51">
              <w:rPr>
                <w:sz w:val="22"/>
                <w:szCs w:val="22"/>
              </w:rPr>
              <w:t>Corrective action records, if necessary.</w:t>
            </w:r>
          </w:p>
          <w:p w14:paraId="5A2FFBBE" w14:textId="77777777" w:rsidR="00021F51" w:rsidRPr="00021F51" w:rsidRDefault="00021F51" w:rsidP="0020794B">
            <w:pPr>
              <w:spacing w:before="240"/>
              <w:rPr>
                <w:sz w:val="22"/>
                <w:szCs w:val="22"/>
              </w:rPr>
            </w:pPr>
            <w:r w:rsidRPr="00021F51">
              <w:rPr>
                <w:sz w:val="22"/>
                <w:szCs w:val="22"/>
              </w:rPr>
              <w:t>Verification records</w:t>
            </w:r>
          </w:p>
          <w:p w14:paraId="1DA8AD99" w14:textId="7DD99364" w:rsidR="002F4249" w:rsidRPr="00677CAA" w:rsidRDefault="00021F51" w:rsidP="0020794B">
            <w:pPr>
              <w:spacing w:before="240"/>
              <w:rPr>
                <w:sz w:val="22"/>
                <w:szCs w:val="22"/>
              </w:rPr>
            </w:pPr>
            <w:r w:rsidRPr="00021F51">
              <w:rPr>
                <w:sz w:val="22"/>
                <w:szCs w:val="22"/>
              </w:rPr>
              <w:t>PCQI training records (PCHF only)</w:t>
            </w:r>
          </w:p>
        </w:tc>
      </w:tr>
    </w:tbl>
    <w:p w14:paraId="7F65B689" w14:textId="77777777" w:rsidR="00021F51" w:rsidRDefault="00021F51" w:rsidP="00021F51">
      <w:pPr>
        <w:sectPr w:rsidR="00021F51" w:rsidSect="00F167D7">
          <w:pgSz w:w="15840" w:h="12240" w:orient="landscape"/>
          <w:pgMar w:top="1440" w:right="1440" w:bottom="1440" w:left="1440" w:header="720" w:footer="720" w:gutter="0"/>
          <w:pgNumType w:chapStyle="1"/>
          <w:cols w:space="720"/>
          <w:docGrid w:linePitch="360"/>
        </w:sectPr>
      </w:pPr>
    </w:p>
    <w:p w14:paraId="11CCF87E" w14:textId="198807A7" w:rsidR="00F167D7" w:rsidRDefault="00021F51" w:rsidP="00846B8F">
      <w:pPr>
        <w:pStyle w:val="Heading2"/>
        <w:numPr>
          <w:ilvl w:val="1"/>
          <w:numId w:val="144"/>
        </w:numPr>
      </w:pPr>
      <w:bookmarkStart w:id="148" w:name="_Toc208503233"/>
      <w:r>
        <w:lastRenderedPageBreak/>
        <w:t>References</w:t>
      </w:r>
      <w:bookmarkEnd w:id="148"/>
    </w:p>
    <w:p w14:paraId="0A44BE1F" w14:textId="77777777" w:rsidR="000B5E2E" w:rsidRDefault="000B5E2E" w:rsidP="000B5E2E">
      <w:pPr>
        <w:rPr>
          <w:rFonts w:ascii="Times New Roman" w:hAnsi="Times New Roman"/>
        </w:rPr>
      </w:pPr>
      <w:r>
        <w:t xml:space="preserve">Abbasi, A., Almousa, N., &amp; Zakaly, H. M. H. (2023). The distribution of radiotoxic 137Cs concentrations in seaweed and mussel species in the Mediterranean Sea. Marine Pollution Bulletin, 197(August), 115737. </w:t>
      </w:r>
      <w:hyperlink r:id="rId70" w:history="1">
        <w:r>
          <w:rPr>
            <w:rStyle w:val="Hyperlink"/>
            <w:rFonts w:cs="Calibri"/>
            <w:color w:val="1155CC"/>
          </w:rPr>
          <w:t>https://doi.org/10.1016/j.marpolbul.2023.115737</w:t>
        </w:r>
      </w:hyperlink>
    </w:p>
    <w:p w14:paraId="0A3E6110" w14:textId="77777777" w:rsidR="000B5E2E" w:rsidRDefault="000B5E2E" w:rsidP="000B5E2E">
      <w:r>
        <w:t>Akomea-Frempong, S., Skonberg, D. I., Camire, M. E., &amp; Perry, J. J. (2021). Impact of blanching, freezing, and fermentation on physicochemical, microbial, and sensory quality of sugar kelp (Saccharina latissima). Foods, 10(10), 2258</w:t>
      </w:r>
      <w:r>
        <w:rPr>
          <w:color w:val="1155CC"/>
          <w:u w:val="single"/>
        </w:rPr>
        <w:t xml:space="preserve">. </w:t>
      </w:r>
      <w:hyperlink r:id="rId71" w:history="1">
        <w:r>
          <w:rPr>
            <w:rStyle w:val="Hyperlink"/>
            <w:rFonts w:cs="Calibri"/>
            <w:color w:val="1155CC"/>
          </w:rPr>
          <w:t>https://doi.org/10.3390/foods10102258</w:t>
        </w:r>
      </w:hyperlink>
    </w:p>
    <w:p w14:paraId="161E6653" w14:textId="77777777" w:rsidR="000B5E2E" w:rsidRDefault="000B5E2E" w:rsidP="000B5E2E">
      <w:r>
        <w:t>ANSES. (2020). Opinion of the French Agency for Food, Environmental and Occupational Health &amp; Safety on “maximum cadmium levels for seaweed intended for human consumption” (Request No 2017-SA-0070). Maisons-Alfort, France: ANSES. Retrieved from</w:t>
      </w:r>
      <w:hyperlink r:id="rId72" w:history="1">
        <w:r>
          <w:rPr>
            <w:rStyle w:val="Hyperlink"/>
            <w:rFonts w:cs="Calibri"/>
            <w:color w:val="000000"/>
          </w:rPr>
          <w:t xml:space="preserve"> </w:t>
        </w:r>
        <w:r>
          <w:rPr>
            <w:rStyle w:val="Hyperlink"/>
            <w:rFonts w:cs="Calibri"/>
          </w:rPr>
          <w:t>https://www.anses.fr/en/system/files/ERCA2017SA0070EN.pdf</w:t>
        </w:r>
      </w:hyperlink>
    </w:p>
    <w:p w14:paraId="27484AE1" w14:textId="77777777" w:rsidR="000B5E2E" w:rsidRDefault="000B5E2E" w:rsidP="000B5E2E">
      <w:r>
        <w:t xml:space="preserve">Banach, J. L., Hoek-van den Hil, E. F., &amp; van der Fels-Klerx, H. J. (2020). Food safety hazards in the European seaweed chain. </w:t>
      </w:r>
      <w:r>
        <w:rPr>
          <w:i/>
          <w:iCs/>
        </w:rPr>
        <w:t>Comprehensive Reviews in Food Science and Food Safety, 19</w:t>
      </w:r>
      <w:r>
        <w:t xml:space="preserve">(2), 332–364. </w:t>
      </w:r>
      <w:hyperlink r:id="rId73" w:history="1">
        <w:r>
          <w:rPr>
            <w:rStyle w:val="Hyperlink"/>
            <w:rFonts w:cs="Calibri"/>
            <w:color w:val="467886"/>
          </w:rPr>
          <w:t>https://doi.org/10.1111/1541-4337.12523</w:t>
        </w:r>
      </w:hyperlink>
      <w:r>
        <w:t> </w:t>
      </w:r>
    </w:p>
    <w:p w14:paraId="1B6D7394" w14:textId="54936610" w:rsidR="000B5E2E" w:rsidRDefault="000B5E2E" w:rsidP="000B5E2E">
      <w:r w:rsidRPr="00E125EA">
        <w:rPr>
          <w:shd w:val="clear" w:color="auto" w:fill="FFFFFF"/>
          <w:lang w:val="es-ES"/>
        </w:rPr>
        <w:t xml:space="preserve">Besada, V., Andrade, J. M., Schultze, F., &amp; González, J. J. (2009). </w:t>
      </w:r>
      <w:r>
        <w:rPr>
          <w:shd w:val="clear" w:color="auto" w:fill="FFFFFF"/>
        </w:rPr>
        <w:t xml:space="preserve">Heavy metals in edible seaweeds commercialised for human consumption. </w:t>
      </w:r>
      <w:r>
        <w:rPr>
          <w:i/>
          <w:iCs/>
          <w:shd w:val="clear" w:color="auto" w:fill="FFFFFF"/>
        </w:rPr>
        <w:t>Journal of Marine Systems, 75</w:t>
      </w:r>
      <w:r>
        <w:rPr>
          <w:shd w:val="clear" w:color="auto" w:fill="FFFFFF"/>
        </w:rPr>
        <w:t>(1–2), 305–313.</w:t>
      </w:r>
      <w:hyperlink r:id="rId74" w:history="1">
        <w:r>
          <w:rPr>
            <w:rStyle w:val="Hyperlink"/>
            <w:rFonts w:cs="Calibri"/>
            <w:color w:val="000000"/>
            <w:shd w:val="clear" w:color="auto" w:fill="FFFFFF"/>
          </w:rPr>
          <w:t xml:space="preserve"> https://doi.org/10.1016/j.jmarsys.2008.10.010</w:t>
        </w:r>
      </w:hyperlink>
    </w:p>
    <w:p w14:paraId="50F7C670" w14:textId="77777777" w:rsidR="000B5E2E" w:rsidRDefault="000B5E2E" w:rsidP="000B5E2E">
      <w:r>
        <w:t xml:space="preserve">Bruhn, A., Brynning, G., Johansen, A., Lindegaard, M. S., Sveigaard, H. H., Aarup, B.,  &amp; Børsting, M. E. (2019). Fermentation of sugar kelp (Saccharina latissima)—effects on sensory properties, and content of minerals and metals. Journal of Applied Phycology, 31. </w:t>
      </w:r>
      <w:hyperlink r:id="rId75" w:history="1">
        <w:r>
          <w:rPr>
            <w:rStyle w:val="Hyperlink"/>
            <w:rFonts w:cs="Calibri"/>
            <w:color w:val="1155CC"/>
          </w:rPr>
          <w:t>https://link.springer.com/article/10.1007/s10811-019-01827-4</w:t>
        </w:r>
      </w:hyperlink>
    </w:p>
    <w:p w14:paraId="4C849014" w14:textId="77777777" w:rsidR="000B5E2E" w:rsidRDefault="000B5E2E" w:rsidP="000B5E2E">
      <w:r>
        <w:rPr>
          <w:shd w:val="clear" w:color="auto" w:fill="FFFFFF"/>
        </w:rPr>
        <w:t>Cai, J., Lovatelli, A., Aguilar-Manjarrez, J., Cornish, L., Dabbadie, L., Desrochers, A., ... &amp; Yuan, X. (2021). Seaweeds and microalgae: an overview for unlocking their potential in global aquaculture development. FAO Fisheries and Aquaculture Circular, (1229).</w:t>
      </w:r>
    </w:p>
    <w:p w14:paraId="14981D7E" w14:textId="77777777" w:rsidR="000B5E2E" w:rsidRDefault="000B5E2E" w:rsidP="000B5E2E">
      <w:r>
        <w:rPr>
          <w:shd w:val="clear" w:color="auto" w:fill="FFFFFF"/>
        </w:rPr>
        <w:t>Carafa, R., Wollgast, J., Canuti, E., Ligthart, J., Dueri, S., Hanke, G., Eisenreich, S.J., Viaroli, P. and Zaldívar, J.M., 2007. Seasonal variations of selected herbicides and related metabolites in water, sediment, seaweed and clams in the Sacca di Goro coastal lagoon (Northern Adriatic). </w:t>
      </w:r>
      <w:r>
        <w:rPr>
          <w:i/>
          <w:iCs/>
          <w:shd w:val="clear" w:color="auto" w:fill="FFFFFF"/>
        </w:rPr>
        <w:t>Chemosphere</w:t>
      </w:r>
      <w:r>
        <w:rPr>
          <w:shd w:val="clear" w:color="auto" w:fill="FFFFFF"/>
        </w:rPr>
        <w:t>, </w:t>
      </w:r>
      <w:r>
        <w:rPr>
          <w:i/>
          <w:iCs/>
          <w:shd w:val="clear" w:color="auto" w:fill="FFFFFF"/>
        </w:rPr>
        <w:t>69</w:t>
      </w:r>
      <w:r>
        <w:rPr>
          <w:shd w:val="clear" w:color="auto" w:fill="FFFFFF"/>
        </w:rPr>
        <w:t>(10), pp.1625-1637.</w:t>
      </w:r>
    </w:p>
    <w:p w14:paraId="2AB03687" w14:textId="77777777" w:rsidR="000B5E2E" w:rsidRDefault="000B5E2E" w:rsidP="000B5E2E">
      <w:r>
        <w:t xml:space="preserve">Cheyns, K., Waegeneers, N., Van de Wiele, T., &amp; Ruttens, A. (2017). Arsenic release from foodstuffs upon food preparation. Journal of agricultural and food chemistry, 65(11), 2443-2453. </w:t>
      </w:r>
      <w:hyperlink r:id="rId76" w:history="1">
        <w:r>
          <w:rPr>
            <w:rStyle w:val="Hyperlink"/>
            <w:rFonts w:cs="Calibri"/>
            <w:color w:val="1155CC"/>
          </w:rPr>
          <w:t>https://pubs.acs.org/doi/full/10.1021/acs.jafc.6b05721</w:t>
        </w:r>
      </w:hyperlink>
    </w:p>
    <w:p w14:paraId="4528A505" w14:textId="35BF4C14" w:rsidR="000B5E2E" w:rsidRDefault="000B5E2E" w:rsidP="000B5E2E">
      <w:r>
        <w:lastRenderedPageBreak/>
        <w:t>Cheng, R., Sun, J., Liu, Z. T., Wu, W., Song, M., Lu, Y. T., &amp; Hang, T. J. (2024). Kelp as a biomonitor of persistent organic pollutants in coastal areas of China: Contamination levels and human health risk. Ecotoxicology and Environmental Safety, 272, 116021.</w:t>
      </w:r>
    </w:p>
    <w:p w14:paraId="434F91B3" w14:textId="06D6740F" w:rsidR="000B5E2E" w:rsidRDefault="000B5E2E" w:rsidP="000B5E2E">
      <w:r>
        <w:t xml:space="preserve">Choi, J., Kim, Y., Lee, M., &amp; Park, J. (2021). Mercury exposure in association with decrease of liver function in adults. Science of The Total Environment, 754, 142172. </w:t>
      </w:r>
      <w:hyperlink r:id="rId77" w:history="1">
        <w:r>
          <w:rPr>
            <w:rStyle w:val="Hyperlink"/>
            <w:rFonts w:cs="Calibri"/>
            <w:color w:val="467886"/>
          </w:rPr>
          <w:t>https://doi.org/10.1016/j.scitotenv.2020.142172</w:t>
        </w:r>
      </w:hyperlink>
    </w:p>
    <w:p w14:paraId="5E95548B" w14:textId="6C2F204A" w:rsidR="000B5E2E" w:rsidRDefault="000B5E2E" w:rsidP="000B5E2E">
      <w:r>
        <w:t xml:space="preserve">Chowdhury, R., Ramond, A., O’Keeffe, L. M., Shahzad, S., Kunutsor, S. K., Muka, T., Gregson, J., Willeit, P., Warnakula, S., Khan, H., Chowdhury, S., &amp; Franco, O. H. (2018). Environmental toxic metal contaminants and risk of cardiovascular disease: Systematic review and meta-analysis. *BMJ, 362*, k3310. </w:t>
      </w:r>
      <w:hyperlink r:id="rId78" w:history="1">
        <w:r>
          <w:rPr>
            <w:rStyle w:val="Hyperlink"/>
            <w:rFonts w:cs="Calibri"/>
            <w:color w:val="467886"/>
          </w:rPr>
          <w:t>https://doi.org/10.1136/bmj.k3310</w:t>
        </w:r>
      </w:hyperlink>
    </w:p>
    <w:p w14:paraId="21D95481" w14:textId="77777777" w:rsidR="000B5E2E" w:rsidRDefault="000B5E2E" w:rsidP="000B5E2E">
      <w:r>
        <w:rPr>
          <w:shd w:val="clear" w:color="auto" w:fill="FFFFFF"/>
        </w:rPr>
        <w:t>Desideri, D., Cantaluppi, C., Ceccotto, F., Meli, M. A., Roselli, C., &amp; Feduzi, L. (2016). Essential and toxic elements in seaweeds for human consumption. Journal of Toxicology and Environmental Health, Part A, 79(3), 112–122</w:t>
      </w:r>
      <w:r>
        <w:rPr>
          <w:u w:val="single"/>
        </w:rPr>
        <w:t>.</w:t>
      </w:r>
      <w:hyperlink r:id="rId79" w:history="1">
        <w:r>
          <w:rPr>
            <w:rStyle w:val="Hyperlink"/>
            <w:rFonts w:cs="Calibri"/>
            <w:color w:val="1155CC"/>
          </w:rPr>
          <w:t>https://doi.org/10.1080/15287394.2015.1113598</w:t>
        </w:r>
      </w:hyperlink>
    </w:p>
    <w:p w14:paraId="6D1D2E8A" w14:textId="66F6A39A" w:rsidR="000B5E2E" w:rsidRDefault="000B5E2E" w:rsidP="000B5E2E">
      <w:r>
        <w:t xml:space="preserve">Ding, W., Hudson, L. G., &amp; Liu, K. J. (2005). Inorganic Arsenic compounds cause oxidative damage to DNA and protein by inducing ROS and RNS generation in human keratinocytes. Molecular and Cellular Biochemistry, 279(1–2), 105–112. </w:t>
      </w:r>
      <w:hyperlink r:id="rId80" w:history="1">
        <w:r>
          <w:rPr>
            <w:rStyle w:val="Hyperlink"/>
            <w:rFonts w:ascii="system-ui" w:hAnsi="system-ui"/>
            <w:color w:val="205493"/>
          </w:rPr>
          <w:t>10.1007/s11010-005-8227-y</w:t>
        </w:r>
      </w:hyperlink>
    </w:p>
    <w:p w14:paraId="138F43BF" w14:textId="4E87A4EC" w:rsidR="000B5E2E" w:rsidRDefault="000B5E2E" w:rsidP="000B5E2E">
      <w:r>
        <w:t xml:space="preserve">Duffus, J. H. (2002). "Heavy metals" a meaningless term? (IUPAC Technical Report). </w:t>
      </w:r>
      <w:r>
        <w:rPr>
          <w:i/>
          <w:iCs/>
        </w:rPr>
        <w:t>Pure and Applied Chemistry</w:t>
      </w:r>
      <w:r>
        <w:t>, 74(5), 793–807.</w:t>
      </w:r>
    </w:p>
    <w:p w14:paraId="3701E3F6" w14:textId="1EEF3A5E" w:rsidR="000B5E2E" w:rsidRDefault="000B5E2E" w:rsidP="000B5E2E">
      <w:r>
        <w:rPr>
          <w:shd w:val="clear" w:color="auto" w:fill="FFFFFF"/>
        </w:rPr>
        <w:t>Duinker, A., Kleppe, M., Fjære, E., Biancarosa, I., Heldal, H. E., Dahl, L., &amp; Lunestad, B. T. (2020). Knowledge update on macroalgae food and feed safety based on data generated in the period 2014–2019 by the Institute of Marine Research, Norway. Havforskningsinstituttet</w:t>
      </w:r>
      <w:r>
        <w:rPr>
          <w:color w:val="1155CC"/>
          <w:u w:val="single"/>
        </w:rPr>
        <w:t>. Retrieved from</w:t>
      </w:r>
      <w:hyperlink r:id="rId81" w:history="1">
        <w:r>
          <w:rPr>
            <w:rStyle w:val="Hyperlink"/>
            <w:rFonts w:cs="Calibri"/>
            <w:color w:val="1155CC"/>
          </w:rPr>
          <w:t xml:space="preserve"> https://www.hi.no/hi/nettrapporter/rapport-fra-havforskningen-en-2020-44</w:t>
        </w:r>
      </w:hyperlink>
    </w:p>
    <w:p w14:paraId="5E93193A" w14:textId="77777777" w:rsidR="000B5E2E" w:rsidRDefault="000B5E2E" w:rsidP="000B5E2E">
      <w:r>
        <w:rPr>
          <w:shd w:val="clear" w:color="auto" w:fill="FFFFFF"/>
        </w:rPr>
        <w:t>El-Maradny, A., Salem, D.M.S.A. and Mohamed, L.A., 2022. Utilization of algae for bio-extraction of POPs in highly polluted coastal area, eastern Alexandria, Mediterranean Sea. </w:t>
      </w:r>
      <w:r>
        <w:rPr>
          <w:i/>
          <w:iCs/>
          <w:shd w:val="clear" w:color="auto" w:fill="FFFFFF"/>
        </w:rPr>
        <w:t>International Journal of Environmental Science and Technology</w:t>
      </w:r>
      <w:r>
        <w:rPr>
          <w:shd w:val="clear" w:color="auto" w:fill="FFFFFF"/>
        </w:rPr>
        <w:t>, </w:t>
      </w:r>
      <w:r>
        <w:rPr>
          <w:i/>
          <w:iCs/>
          <w:shd w:val="clear" w:color="auto" w:fill="FFFFFF"/>
        </w:rPr>
        <w:t>19</w:t>
      </w:r>
      <w:r>
        <w:rPr>
          <w:shd w:val="clear" w:color="auto" w:fill="FFFFFF"/>
        </w:rPr>
        <w:t>(5), pp.3975-3988.</w:t>
      </w:r>
    </w:p>
    <w:p w14:paraId="4C3B9D23" w14:textId="77777777" w:rsidR="000B5E2E" w:rsidRDefault="000B5E2E" w:rsidP="000B5E2E">
      <w:r>
        <w:t>European Food Safety Authority (EFSA), Dujardin, B., Ferreira de Sousa, R., &amp; Gómez Ruiz, J. Á. (2023). Dietary exposure to heavy metals and iodine intake via consumption of seaweeds and halophytes in the European population. EFSA Journal, 21(1), e07798.</w:t>
      </w:r>
    </w:p>
    <w:p w14:paraId="215DD1DD" w14:textId="5A9EDF72" w:rsidR="000B5E2E" w:rsidRDefault="000B5E2E" w:rsidP="000B5E2E">
      <w:r>
        <w:t xml:space="preserve">Food Standards Australia New Zealand (FSANZ). (2011). </w:t>
      </w:r>
      <w:r>
        <w:rPr>
          <w:i/>
          <w:iCs/>
        </w:rPr>
        <w:t>Consumer – Food safety and recalls – Brown seaweed: Advice for pregnant women, breastfeeding women and children</w:t>
      </w:r>
      <w:r>
        <w:t>. Food Standards Australia New Zealand. Retrieved January 7, 2025, from</w:t>
      </w:r>
      <w:hyperlink r:id="rId82" w:history="1">
        <w:r>
          <w:rPr>
            <w:rStyle w:val="Hyperlink"/>
            <w:rFonts w:cs="Calibri"/>
            <w:color w:val="000000"/>
          </w:rPr>
          <w:t xml:space="preserve"> </w:t>
        </w:r>
      </w:hyperlink>
      <w:hyperlink r:id="rId83" w:history="1">
        <w:r>
          <w:rPr>
            <w:rStyle w:val="Hyperlink"/>
            <w:rFonts w:cs="Calibri"/>
            <w:color w:val="467886"/>
          </w:rPr>
          <w:t>https://www.foodstandards.gov.au/consumer</w:t>
        </w:r>
      </w:hyperlink>
    </w:p>
    <w:p w14:paraId="2748CBA7" w14:textId="77777777" w:rsidR="000B5E2E" w:rsidRDefault="000B5E2E" w:rsidP="000B5E2E">
      <w:r>
        <w:rPr>
          <w:color w:val="222222"/>
          <w:shd w:val="clear" w:color="auto" w:fill="FFFFFF"/>
        </w:rPr>
        <w:lastRenderedPageBreak/>
        <w:t>Leffers, L., Unterberg, M., Bartel, M., Hoppe, C., Pieper, I., Stertmann, J., ... &amp; Schwerdtle, T. (2013). In vitro toxicological characterisation of the S-containing arsenic metabolites thio-dimethylarsinic acid and dimethylarsinic glutathione. </w:t>
      </w:r>
      <w:r>
        <w:rPr>
          <w:i/>
          <w:iCs/>
          <w:color w:val="222222"/>
          <w:shd w:val="clear" w:color="auto" w:fill="FFFFFF"/>
        </w:rPr>
        <w:t>Toxicology</w:t>
      </w:r>
      <w:r>
        <w:rPr>
          <w:color w:val="222222"/>
          <w:shd w:val="clear" w:color="auto" w:fill="FFFFFF"/>
        </w:rPr>
        <w:t>, </w:t>
      </w:r>
      <w:r>
        <w:rPr>
          <w:i/>
          <w:iCs/>
          <w:color w:val="222222"/>
          <w:shd w:val="clear" w:color="auto" w:fill="FFFFFF"/>
        </w:rPr>
        <w:t>305</w:t>
      </w:r>
      <w:r>
        <w:rPr>
          <w:color w:val="222222"/>
          <w:shd w:val="clear" w:color="auto" w:fill="FFFFFF"/>
        </w:rPr>
        <w:t>, 109-119.</w:t>
      </w:r>
    </w:p>
    <w:p w14:paraId="1C94702D" w14:textId="1BEEF434" w:rsidR="000B5E2E" w:rsidRDefault="000B5E2E" w:rsidP="000B5E2E">
      <w:r>
        <w:t xml:space="preserve">United States Food and Drug Administration. (n.d.). </w:t>
      </w:r>
      <w:r>
        <w:rPr>
          <w:i/>
          <w:iCs/>
        </w:rPr>
        <w:t>Closer to zero: Reducing childhood exposure to contaminants in foods</w:t>
      </w:r>
      <w:r>
        <w:t>. U.S. Food and Drug Administration. Retrieved January 7, 2025, from</w:t>
      </w:r>
      <w:hyperlink r:id="rId84" w:history="1">
        <w:r>
          <w:rPr>
            <w:rStyle w:val="Hyperlink"/>
            <w:rFonts w:cs="Calibri"/>
            <w:color w:val="000000"/>
          </w:rPr>
          <w:t xml:space="preserve"> </w:t>
        </w:r>
        <w:r>
          <w:rPr>
            <w:rStyle w:val="Hyperlink"/>
            <w:rFonts w:cs="Calibri"/>
          </w:rPr>
          <w:t>https://www.fda.gov/food/environmental-contaminants-food/closer-zero-reducing-childhood-exposure-contaminants-foods</w:t>
        </w:r>
      </w:hyperlink>
    </w:p>
    <w:p w14:paraId="05A0304A" w14:textId="391B35EC" w:rsidR="000B5E2E" w:rsidRDefault="000B5E2E" w:rsidP="000B5E2E">
      <w:r w:rsidRPr="00E125EA">
        <w:rPr>
          <w:shd w:val="clear" w:color="auto" w:fill="FFFFFF"/>
          <w:lang w:val="es-ES"/>
        </w:rPr>
        <w:t xml:space="preserve">García-Rodríguez, D., Cela-Torrijos, R., Lorenzo-Ferreira, R.A. and Carro-Díaz, A.M., 2012. </w:t>
      </w:r>
      <w:r>
        <w:rPr>
          <w:shd w:val="clear" w:color="auto" w:fill="FFFFFF"/>
        </w:rPr>
        <w:t>Analysis of pesticide residues in seaweeds using matrix solid-phase dispersion and gas chromatography–mass spectrometry detection. </w:t>
      </w:r>
      <w:r>
        <w:rPr>
          <w:i/>
          <w:iCs/>
          <w:shd w:val="clear" w:color="auto" w:fill="FFFFFF"/>
        </w:rPr>
        <w:t>Food Chemistry</w:t>
      </w:r>
      <w:r>
        <w:rPr>
          <w:shd w:val="clear" w:color="auto" w:fill="FFFFFF"/>
        </w:rPr>
        <w:t>, </w:t>
      </w:r>
      <w:r>
        <w:rPr>
          <w:i/>
          <w:iCs/>
          <w:shd w:val="clear" w:color="auto" w:fill="FFFFFF"/>
        </w:rPr>
        <w:t>135</w:t>
      </w:r>
      <w:r>
        <w:rPr>
          <w:shd w:val="clear" w:color="auto" w:fill="FFFFFF"/>
        </w:rPr>
        <w:t>(1), pp.259-267.</w:t>
      </w:r>
    </w:p>
    <w:p w14:paraId="6D69345D" w14:textId="77777777" w:rsidR="000B5E2E" w:rsidRDefault="000B5E2E" w:rsidP="000B5E2E">
      <w:r>
        <w:t>Hahn JL, Van Alstyne KL, Gaydos JK, Wallis LK, West JE, Hollenhorst SJ, et al. (2022) Chemical contaminant levels in edible seaweeds of the Salish Sea and implications for their consumption. PLoS ONE 17(9): e0269269. https:// doi.org/10.1371/journal.pone.026926</w:t>
      </w:r>
    </w:p>
    <w:p w14:paraId="780AB770" w14:textId="77777777" w:rsidR="000B5E2E" w:rsidRDefault="000B5E2E" w:rsidP="000B5E2E">
      <w:r w:rsidRPr="00F85DE5">
        <w:t xml:space="preserve">Hanaoka, K. I., </w:t>
      </w:r>
      <w:proofErr w:type="spellStart"/>
      <w:r w:rsidRPr="00F85DE5">
        <w:t>Yosida</w:t>
      </w:r>
      <w:proofErr w:type="spellEnd"/>
      <w:r w:rsidRPr="00F85DE5">
        <w:t xml:space="preserve">, K., </w:t>
      </w:r>
      <w:proofErr w:type="spellStart"/>
      <w:r w:rsidRPr="00F85DE5">
        <w:t>Tamano</w:t>
      </w:r>
      <w:proofErr w:type="spellEnd"/>
      <w:r w:rsidRPr="00F85DE5">
        <w:t xml:space="preserve">, M., Kuroiwa, T., Kaise, T., &amp; Maeda, S. (2001). </w:t>
      </w:r>
      <w:r>
        <w:t>Arsenic in the prepared edible brown alga hijiki, Hizikia fusiforme. Applied organometallic chemistry, 15(6), 561-565.</w:t>
      </w:r>
      <w:r>
        <w:rPr>
          <w:color w:val="1155CC"/>
          <w:u w:val="single"/>
        </w:rPr>
        <w:t xml:space="preserve"> </w:t>
      </w:r>
      <w:hyperlink r:id="rId85" w:history="1">
        <w:r>
          <w:rPr>
            <w:rStyle w:val="Hyperlink"/>
            <w:rFonts w:cs="Calibri"/>
            <w:color w:val="1155CC"/>
          </w:rPr>
          <w:t>https://doi.org/10.1002/aoc.195</w:t>
        </w:r>
      </w:hyperlink>
    </w:p>
    <w:p w14:paraId="4E2C3401" w14:textId="77777777" w:rsidR="000B5E2E" w:rsidRDefault="000B5E2E" w:rsidP="000B5E2E">
      <w:r>
        <w:t xml:space="preserve">Halabisky, B., Friedman, D., Radojevic, V., &amp; Strowbridge, B. W. (2000). Calcium influx through NMDA receptors directly evokes GABA release in olfactory bulb granule cells. The Journal of Neuroscience, 20(13), 5124–5134. </w:t>
      </w:r>
      <w:hyperlink r:id="rId86" w:history="1">
        <w:r>
          <w:rPr>
            <w:rStyle w:val="Hyperlink"/>
            <w:rFonts w:cs="Calibri"/>
            <w:color w:val="467886"/>
          </w:rPr>
          <w:t>https://doi.org/10.1523/JNEUROSCI.20-13-05124.2000</w:t>
        </w:r>
      </w:hyperlink>
      <w:r>
        <w:t> </w:t>
      </w:r>
    </w:p>
    <w:p w14:paraId="10D3EEFF" w14:textId="77777777" w:rsidR="000B5E2E" w:rsidRDefault="000B5E2E" w:rsidP="000B5E2E">
      <w:r>
        <w:t>Hou, X. L., Dahlgaard, H., &amp; Nielsen, S. P. (2000). Iodine-129 time series in Danish, Norwegian and</w:t>
      </w:r>
      <w:r>
        <w:rPr>
          <w:color w:val="1155CC"/>
          <w:u w:val="single"/>
        </w:rPr>
        <w:t xml:space="preserve"> </w:t>
      </w:r>
      <w:r>
        <w:t xml:space="preserve">Northwest Greenland coast and the Baltic sea by seaweed. Estuarine, Coastal and Shelf Science, 51(5), 571–584. </w:t>
      </w:r>
      <w:hyperlink r:id="rId87" w:history="1">
        <w:r>
          <w:rPr>
            <w:rStyle w:val="Hyperlink"/>
            <w:rFonts w:cs="Calibri"/>
            <w:color w:val="1155CC"/>
          </w:rPr>
          <w:t>https://doi.org/10.1006/ecss.2000.0698</w:t>
        </w:r>
      </w:hyperlink>
    </w:p>
    <w:p w14:paraId="2D845DF1" w14:textId="77777777" w:rsidR="000B5E2E" w:rsidRDefault="000B5E2E" w:rsidP="000B5E2E">
      <w:r>
        <w:t xml:space="preserve">Huang, L., Lee, J.-Y., Park, Y.-K., &amp; Lee, J. (2025). Heavy metals in seaweed: Implications for health benefits, risks, and safety regulations. Journal of Agriculture and Food Research, 21, 101830. </w:t>
      </w:r>
      <w:hyperlink r:id="rId88" w:history="1">
        <w:r>
          <w:rPr>
            <w:rStyle w:val="Hyperlink"/>
            <w:rFonts w:cs="Calibri"/>
            <w:color w:val="467886"/>
          </w:rPr>
          <w:t>https://doi.org/10.1016/j.jafr.2025.101830</w:t>
        </w:r>
      </w:hyperlink>
      <w:r>
        <w:t> </w:t>
      </w:r>
    </w:p>
    <w:p w14:paraId="4A14ADF5" w14:textId="77777777" w:rsidR="000B5E2E" w:rsidRDefault="000B5E2E" w:rsidP="000B5E2E">
      <w:r>
        <w:t xml:space="preserve">Hunt, D., Dewar, A., Dal Molin, F., &amp; Willey, N. (2023). Enhancing radiological monitoring of 137Cs in coastal environments using taxonomic signals in brown seaweeds. Journal of Environmental Radioactivity, 268–269, 107261. </w:t>
      </w:r>
      <w:hyperlink r:id="rId89" w:history="1">
        <w:r>
          <w:rPr>
            <w:rStyle w:val="Hyperlink"/>
            <w:rFonts w:cs="Calibri"/>
            <w:color w:val="1155CC"/>
          </w:rPr>
          <w:t>https://doi.org/10.1016/j.jenvrad.2023.107261</w:t>
        </w:r>
      </w:hyperlink>
    </w:p>
    <w:p w14:paraId="16626DD1" w14:textId="77777777" w:rsidR="000B5E2E" w:rsidRDefault="000B5E2E" w:rsidP="000B5E2E">
      <w:r>
        <w:t xml:space="preserve">Ichikawa, S., Kamoshida, M., Hanaoka, K. I., Hamano, M., Maitani, T., &amp; Kaise, T. (2006). Decrease of arsenic in edible brown algae </w:t>
      </w:r>
      <w:r>
        <w:rPr>
          <w:i/>
          <w:iCs/>
        </w:rPr>
        <w:t>Hijikia fusiforme</w:t>
      </w:r>
      <w:r>
        <w:t xml:space="preserve"> by the cooking process. Applied Organometallic Chemistry, 20(9), 585-590.  </w:t>
      </w:r>
      <w:hyperlink r:id="rId90" w:history="1">
        <w:r>
          <w:rPr>
            <w:rStyle w:val="Hyperlink"/>
            <w:rFonts w:cs="Calibri"/>
            <w:color w:val="1155CC"/>
          </w:rPr>
          <w:t>https://doi.org/10.1002/aoc.1102</w:t>
        </w:r>
      </w:hyperlink>
    </w:p>
    <w:p w14:paraId="591BAE49" w14:textId="77777777" w:rsidR="000B5E2E" w:rsidRDefault="000B5E2E" w:rsidP="000B5E2E">
      <w:r>
        <w:lastRenderedPageBreak/>
        <w:t>Joint FAO/WHO Expert Committee on Food Additives. Meeting, &amp; World Health Organization. (2011). Evaluation of certain contaminants in food: Seventy-second report of the Joint FAO/WHO Expert Committee on Food Additives (Vol. 72). World Health Organization.</w:t>
      </w:r>
    </w:p>
    <w:p w14:paraId="15FA0BAD" w14:textId="77777777" w:rsidR="000B5E2E" w:rsidRDefault="000B5E2E" w:rsidP="000B5E2E">
      <w:r>
        <w:t xml:space="preserve">Khandaker, M. U., Heffny, N. ‘Adillah B., Amin, Y. M., &amp; Bradley, D. A. (2019). Elevated concentration of radioactive potassium in edible algae cultivated in Malaysian seas and estimation of ingestion dose to humans. Algal Research, 38(November 2018), 101386. </w:t>
      </w:r>
      <w:hyperlink r:id="rId91" w:history="1">
        <w:r>
          <w:rPr>
            <w:rStyle w:val="Hyperlink"/>
            <w:rFonts w:cs="Calibri"/>
            <w:color w:val="1155CC"/>
          </w:rPr>
          <w:t>https://doi.org/10.1016/j.algal.2018.101386</w:t>
        </w:r>
      </w:hyperlink>
    </w:p>
    <w:p w14:paraId="349EA791" w14:textId="77777777" w:rsidR="000B5E2E" w:rsidRDefault="000B5E2E" w:rsidP="000B5E2E">
      <w:r>
        <w:t xml:space="preserve">Khandaker, M. U., Chijioke, N. O., Heffny, N. A. B., Bradley, D. A., Alsubaie, A., Sulieman, A., Faruque, M. R. I., Sayyed, M. I., &amp; Al-Mugren, K. S. (2021). Elevated concentrations of metal(Loids) in seaweed and the concomitant exposure to humans. Foods, 10(2), 1–18. </w:t>
      </w:r>
      <w:hyperlink r:id="rId92" w:history="1">
        <w:r>
          <w:rPr>
            <w:rStyle w:val="Hyperlink"/>
            <w:rFonts w:cs="Calibri"/>
            <w:color w:val="1155CC"/>
          </w:rPr>
          <w:t>https://doi.org/10.3390/foods10020381</w:t>
        </w:r>
      </w:hyperlink>
    </w:p>
    <w:p w14:paraId="458F3699" w14:textId="77777777" w:rsidR="000B5E2E" w:rsidRDefault="000B5E2E" w:rsidP="000B5E2E">
      <w:r>
        <w:t xml:space="preserve">Kim, J. K., Kraemer, G., &amp; Yarish, C. (2019). Evaluation of the metal content of farm-grown </w:t>
      </w:r>
      <w:r>
        <w:rPr>
          <w:i/>
          <w:iCs/>
        </w:rPr>
        <w:t>Gracilaria tikvahiae</w:t>
      </w:r>
      <w:r>
        <w:t xml:space="preserve"> and </w:t>
      </w:r>
      <w:r>
        <w:rPr>
          <w:i/>
          <w:iCs/>
        </w:rPr>
        <w:t>Saccharina latissima</w:t>
      </w:r>
      <w:r>
        <w:t xml:space="preserve"> from Long Island Sound and New York Estuaries. </w:t>
      </w:r>
      <w:r>
        <w:rPr>
          <w:i/>
          <w:iCs/>
        </w:rPr>
        <w:t>Algal Research, 40</w:t>
      </w:r>
      <w:r>
        <w:t xml:space="preserve">, 101484. </w:t>
      </w:r>
      <w:hyperlink r:id="rId93" w:history="1">
        <w:r>
          <w:rPr>
            <w:rStyle w:val="Hyperlink"/>
            <w:rFonts w:cs="Calibri"/>
            <w:color w:val="1155CC"/>
          </w:rPr>
          <w:t>https://doi.org/10.1016/j.algal.2019.101484</w:t>
        </w:r>
      </w:hyperlink>
      <w:r>
        <w:t> </w:t>
      </w:r>
    </w:p>
    <w:p w14:paraId="222E6C04" w14:textId="63F08010" w:rsidR="000B5E2E" w:rsidRDefault="000B5E2E" w:rsidP="000B5E2E">
      <w:r>
        <w:t xml:space="preserve">Kim, Y., Han, B. G., Choi, H., &amp; Kweon, S. (2014). The impact of mercury on liver function and lipid profile in adults. Environmental Health Perspectives, 122 (4), 379–385. </w:t>
      </w:r>
      <w:hyperlink r:id="rId94" w:history="1">
        <w:r>
          <w:rPr>
            <w:rStyle w:val="Hyperlink"/>
            <w:rFonts w:cs="Calibri"/>
            <w:color w:val="467886"/>
          </w:rPr>
          <w:t>https://doi.org/10.1289/ehp.1206399</w:t>
        </w:r>
      </w:hyperlink>
    </w:p>
    <w:p w14:paraId="69F2A686" w14:textId="77777777" w:rsidR="000B5E2E" w:rsidRDefault="000B5E2E" w:rsidP="000B5E2E">
      <w:r>
        <w:t>Kotowicz, D. M., Concepcion, A., Bradt, G., Chadsey, M., Clemetson, A., Good, M., &amp; Robidoux, J. (2024). Identifying challenges of the US domestic seaweed aquaculture industry. </w:t>
      </w:r>
      <w:r>
        <w:rPr>
          <w:i/>
          <w:iCs/>
        </w:rPr>
        <w:t>Aquaculture</w:t>
      </w:r>
      <w:r>
        <w:t>, </w:t>
      </w:r>
      <w:r>
        <w:rPr>
          <w:i/>
          <w:iCs/>
        </w:rPr>
        <w:t>593</w:t>
      </w:r>
      <w:r>
        <w:t>, 741314</w:t>
      </w:r>
    </w:p>
    <w:p w14:paraId="0A91288E" w14:textId="3ED61C5C" w:rsidR="000B5E2E" w:rsidRDefault="000B5E2E" w:rsidP="000B5E2E">
      <w:r>
        <w:rPr>
          <w:color w:val="222222"/>
          <w:shd w:val="clear" w:color="auto" w:fill="FFFFFF"/>
        </w:rPr>
        <w:t>Lee, H., Kim, M., Park, M., Cho, M., Hur, J.W., Lee, Y., Jo, M.R., Lee, J.G. and Im, M.H., 2024. Determination of 57 pesticide residues in fishery products by GC tandem mass spectrometry combined with QuEChERS (quick, easy, cheap, effective, rugged, and safe) extraction. </w:t>
      </w:r>
      <w:r>
        <w:rPr>
          <w:i/>
          <w:iCs/>
          <w:color w:val="222222"/>
          <w:shd w:val="clear" w:color="auto" w:fill="FFFFFF"/>
        </w:rPr>
        <w:t>Food Science and Biotechnology</w:t>
      </w:r>
      <w:r>
        <w:rPr>
          <w:color w:val="222222"/>
          <w:shd w:val="clear" w:color="auto" w:fill="FFFFFF"/>
        </w:rPr>
        <w:t>, </w:t>
      </w:r>
      <w:r>
        <w:rPr>
          <w:i/>
          <w:iCs/>
          <w:color w:val="222222"/>
          <w:shd w:val="clear" w:color="auto" w:fill="FFFFFF"/>
        </w:rPr>
        <w:t>33</w:t>
      </w:r>
      <w:r>
        <w:rPr>
          <w:color w:val="222222"/>
          <w:shd w:val="clear" w:color="auto" w:fill="FFFFFF"/>
        </w:rPr>
        <w:t>(4), pp.831-853.</w:t>
      </w:r>
    </w:p>
    <w:p w14:paraId="535A29C1" w14:textId="1C6DE425" w:rsidR="000B5E2E" w:rsidRDefault="000B5E2E" w:rsidP="000B5E2E">
      <w:r>
        <w:rPr>
          <w:color w:val="222222"/>
          <w:shd w:val="clear" w:color="auto" w:fill="FFFFFF"/>
        </w:rPr>
        <w:t>Li, J.Y., Yang, F., Jin, L., Wang, Q., Yin, J., He, P. and Chen, Y., 2018. Safety and quality of the green tide algal species Ulva prolifera for option of human consumption: A nutrition and contamination study. </w:t>
      </w:r>
      <w:r>
        <w:rPr>
          <w:i/>
          <w:iCs/>
          <w:color w:val="222222"/>
          <w:shd w:val="clear" w:color="auto" w:fill="FFFFFF"/>
        </w:rPr>
        <w:t>Chemosphere</w:t>
      </w:r>
      <w:r>
        <w:rPr>
          <w:color w:val="222222"/>
          <w:shd w:val="clear" w:color="auto" w:fill="FFFFFF"/>
        </w:rPr>
        <w:t>, </w:t>
      </w:r>
      <w:r>
        <w:rPr>
          <w:i/>
          <w:iCs/>
          <w:color w:val="222222"/>
          <w:shd w:val="clear" w:color="auto" w:fill="FFFFFF"/>
        </w:rPr>
        <w:t>210</w:t>
      </w:r>
      <w:r>
        <w:rPr>
          <w:color w:val="222222"/>
          <w:shd w:val="clear" w:color="auto" w:fill="FFFFFF"/>
        </w:rPr>
        <w:t>, pp.1021-1028.</w:t>
      </w:r>
    </w:p>
    <w:p w14:paraId="4874043D" w14:textId="370AC2C0" w:rsidR="000B5E2E" w:rsidRDefault="000B5E2E" w:rsidP="000B5E2E">
      <w:r>
        <w:rPr>
          <w:shd w:val="clear" w:color="auto" w:fill="FFFFFF"/>
        </w:rPr>
        <w:t xml:space="preserve">Luo, Hongtian, et al. "Bioaccumulation and release of heavy metals during growth and decomposition of cultivated </w:t>
      </w:r>
      <w:r>
        <w:rPr>
          <w:i/>
          <w:iCs/>
          <w:shd w:val="clear" w:color="auto" w:fill="FFFFFF"/>
        </w:rPr>
        <w:t>Gracilaria lemaneiformi</w:t>
      </w:r>
      <w:r>
        <w:rPr>
          <w:shd w:val="clear" w:color="auto" w:fill="FFFFFF"/>
        </w:rPr>
        <w:t xml:space="preserve">s." </w:t>
      </w:r>
      <w:r>
        <w:rPr>
          <w:i/>
          <w:iCs/>
          <w:shd w:val="clear" w:color="auto" w:fill="FFFFFF"/>
        </w:rPr>
        <w:t>Marine Pollution Bulletin</w:t>
      </w:r>
      <w:r>
        <w:rPr>
          <w:shd w:val="clear" w:color="auto" w:fill="FFFFFF"/>
        </w:rPr>
        <w:t xml:space="preserve"> 173 (2021): 113130.</w:t>
      </w:r>
    </w:p>
    <w:p w14:paraId="25D37F57" w14:textId="1517D65F" w:rsidR="000B5E2E" w:rsidRDefault="000B5E2E" w:rsidP="000B5E2E">
      <w:r>
        <w:t xml:space="preserve">Linsley, G., Sjöblom, K.-L., &amp; Cabianca, T. (2004). Radioactivity in the Environment: Marine Radioactivity. Journal of Radioactivity, 6, 109–138. </w:t>
      </w:r>
      <w:hyperlink r:id="rId95" w:history="1">
        <w:r>
          <w:rPr>
            <w:rStyle w:val="Hyperlink"/>
            <w:rFonts w:cs="Calibri"/>
            <w:color w:val="1155CC"/>
          </w:rPr>
          <w:t>https://doi.org/10.1039/bk9781849736480-00442</w:t>
        </w:r>
      </w:hyperlink>
    </w:p>
    <w:p w14:paraId="3DC8E4A7" w14:textId="77777777" w:rsidR="000B5E2E" w:rsidRDefault="000B5E2E" w:rsidP="000B5E2E">
      <w:r>
        <w:rPr>
          <w:shd w:val="clear" w:color="auto" w:fill="FFFFFF"/>
        </w:rPr>
        <w:lastRenderedPageBreak/>
        <w:t>Maulvault, A. L., Camacho, C., Barbosa, V., Alves, R., Anacleto, P., Fogaça, F., ... &amp; Marques, A. (2018). Assessing the effects of seawater temperature and pH on the bioaccumulation of emerging chemical contaminants in marine bivalves. Environmental research, 161, 236-247.</w:t>
      </w:r>
    </w:p>
    <w:p w14:paraId="056E39B2" w14:textId="32DE049C" w:rsidR="000B5E2E" w:rsidRPr="00E125EA" w:rsidRDefault="000B5E2E" w:rsidP="000B5E2E">
      <w:pPr>
        <w:rPr>
          <w:lang w:val="es-ES"/>
        </w:rPr>
      </w:pPr>
      <w:r>
        <w:rPr>
          <w:shd w:val="clear" w:color="auto" w:fill="FFFFFF"/>
        </w:rPr>
        <w:t>Maroli, L., Pavoni, B., Sfriso, A. and Raccanelli, S., 1993. Concentrations of polychlorinated biphenyls and pesticides in different species of macroalgae from the Venice Lagoon. </w:t>
      </w:r>
      <w:r w:rsidRPr="00E125EA">
        <w:rPr>
          <w:i/>
          <w:iCs/>
          <w:shd w:val="clear" w:color="auto" w:fill="FFFFFF"/>
          <w:lang w:val="es-ES"/>
        </w:rPr>
        <w:t>Marine pollution bulletin</w:t>
      </w:r>
      <w:r w:rsidRPr="00E125EA">
        <w:rPr>
          <w:shd w:val="clear" w:color="auto" w:fill="FFFFFF"/>
          <w:lang w:val="es-ES"/>
        </w:rPr>
        <w:t>, </w:t>
      </w:r>
      <w:r w:rsidRPr="00E125EA">
        <w:rPr>
          <w:i/>
          <w:iCs/>
          <w:shd w:val="clear" w:color="auto" w:fill="FFFFFF"/>
          <w:lang w:val="es-ES"/>
        </w:rPr>
        <w:t>26</w:t>
      </w:r>
      <w:r w:rsidRPr="00E125EA">
        <w:rPr>
          <w:shd w:val="clear" w:color="auto" w:fill="FFFFFF"/>
          <w:lang w:val="es-ES"/>
        </w:rPr>
        <w:t>(10), pp.553-558.</w:t>
      </w:r>
    </w:p>
    <w:p w14:paraId="7CEF0459" w14:textId="0A63ABBE" w:rsidR="000B5E2E" w:rsidRDefault="000B5E2E" w:rsidP="000B5E2E">
      <w:r w:rsidRPr="00E125EA">
        <w:rPr>
          <w:shd w:val="clear" w:color="auto" w:fill="FFFFFF"/>
          <w:lang w:val="es-ES"/>
        </w:rPr>
        <w:t xml:space="preserve">Martín-León, V., Paz, S., D’Eufemia, P. A., Plasencia, J. J., Sagratini, G., Marcantoni, G., Navarro-Romero, M., Gutiérrez, Á. J., Hardisson, A., &amp; Rubio-Armendáriz, C. (2021). </w:t>
      </w:r>
      <w:r>
        <w:rPr>
          <w:shd w:val="clear" w:color="auto" w:fill="FFFFFF"/>
        </w:rPr>
        <w:t xml:space="preserve">Human Exposure to Toxic Metals (Cd, Pb, Hg) and Nitrates (NO₃⁻) from Seaweed Consumption. </w:t>
      </w:r>
      <w:r>
        <w:rPr>
          <w:i/>
          <w:iCs/>
          <w:shd w:val="clear" w:color="auto" w:fill="FFFFFF"/>
        </w:rPr>
        <w:t>Applied Sciences, 11</w:t>
      </w:r>
      <w:r>
        <w:rPr>
          <w:shd w:val="clear" w:color="auto" w:fill="FFFFFF"/>
        </w:rPr>
        <w:t>(15), 6934.</w:t>
      </w:r>
      <w:hyperlink r:id="rId96" w:history="1">
        <w:r>
          <w:rPr>
            <w:rStyle w:val="Hyperlink"/>
            <w:rFonts w:cs="Calibri"/>
            <w:color w:val="000000"/>
            <w:shd w:val="clear" w:color="auto" w:fill="FFFFFF"/>
          </w:rPr>
          <w:t xml:space="preserve"> https://doi.org/10.3390/app11156934</w:t>
        </w:r>
      </w:hyperlink>
    </w:p>
    <w:p w14:paraId="7886C5BC" w14:textId="77777777" w:rsidR="000B5E2E" w:rsidRDefault="000B5E2E" w:rsidP="000B5E2E">
      <w:r>
        <w:t xml:space="preserve">Mohamed, L. A., &amp; Khaled, A. (2005). Comparative study of heavy metal distribution in some coastal seaweeds of Alexandria, Egypt. Chemistry and Ecology, 21(3), 181–189. </w:t>
      </w:r>
      <w:hyperlink r:id="rId97" w:history="1">
        <w:r>
          <w:rPr>
            <w:rStyle w:val="Hyperlink"/>
            <w:rFonts w:cs="Calibri"/>
            <w:color w:val="1155CC"/>
          </w:rPr>
          <w:t>https://doi.org/10.1080/02757540500151614</w:t>
        </w:r>
      </w:hyperlink>
    </w:p>
    <w:p w14:paraId="655CC3CB" w14:textId="77777777" w:rsidR="000B5E2E" w:rsidRDefault="000B5E2E" w:rsidP="000B5E2E">
      <w:r>
        <w:t>National Food Institute, Technical University of Denmark, Denmark, Sá Monteiro, M., Sloth, J., Holdt, S., &amp; Hansen, M. (2019). Analysis and risk assessment of seaweed. EFSA Journal, 17, e170915.</w:t>
      </w:r>
    </w:p>
    <w:p w14:paraId="32D01E62" w14:textId="77777777" w:rsidR="000B5E2E" w:rsidRDefault="000B5E2E" w:rsidP="000B5E2E">
      <w:r>
        <w:t xml:space="preserve">NOAA. (2024, May 8). </w:t>
      </w:r>
      <w:r>
        <w:rPr>
          <w:i/>
          <w:iCs/>
        </w:rPr>
        <w:t>What percentage of the American population lives near the coast?</w:t>
      </w:r>
      <w:r>
        <w:t xml:space="preserve"> </w:t>
      </w:r>
      <w:hyperlink r:id="rId98" w:history="1">
        <w:r>
          <w:rPr>
            <w:rStyle w:val="Hyperlink"/>
            <w:rFonts w:cs="Calibri"/>
            <w:color w:val="467886"/>
          </w:rPr>
          <w:t>https://oceanservice.noaa.gov/facts/population.html</w:t>
        </w:r>
      </w:hyperlink>
    </w:p>
    <w:p w14:paraId="752A750F" w14:textId="77777777" w:rsidR="000B5E2E" w:rsidRDefault="000B5E2E" w:rsidP="000B5E2E">
      <w:r>
        <w:t xml:space="preserve">Park, G. Y., Kang, D. E., Davaatseren, M., Shin, C., Kang, G. J., &amp; Chung, M. S. (2019). Reduction of total, organic, and iAs content in </w:t>
      </w:r>
      <w:r>
        <w:rPr>
          <w:i/>
          <w:iCs/>
        </w:rPr>
        <w:t>Hizikia fusiforme</w:t>
      </w:r>
      <w:r>
        <w:t xml:space="preserve"> (Hijiki). Food science and biotechnology, 28, 615-622. </w:t>
      </w:r>
      <w:hyperlink r:id="rId99" w:history="1">
        <w:r>
          <w:rPr>
            <w:rStyle w:val="Hyperlink"/>
            <w:rFonts w:cs="Calibri"/>
            <w:color w:val="1155CC"/>
            <w:shd w:val="clear" w:color="auto" w:fill="FFFFFF"/>
          </w:rPr>
          <w:t>https://doi.org/10.1007/s10068-018-0501-3</w:t>
        </w:r>
      </w:hyperlink>
    </w:p>
    <w:p w14:paraId="515C7F78" w14:textId="2CC04E0C" w:rsidR="000B5E2E" w:rsidRPr="00E125EA" w:rsidRDefault="000B5E2E" w:rsidP="000B5E2E">
      <w:pPr>
        <w:rPr>
          <w:lang w:val="es-ES"/>
        </w:rPr>
      </w:pPr>
      <w:r>
        <w:rPr>
          <w:shd w:val="clear" w:color="auto" w:fill="FFFFFF"/>
        </w:rPr>
        <w:t>Pavoni, B., Caliceti, M., Sperni, L. and Sfriso, A., 2003. Organic micropollutants (PAHs, PCBs, pesticides) in seaweeds of the lagoon of Venice. </w:t>
      </w:r>
      <w:r w:rsidRPr="00E125EA">
        <w:rPr>
          <w:i/>
          <w:iCs/>
          <w:shd w:val="clear" w:color="auto" w:fill="FFFFFF"/>
          <w:lang w:val="es-ES"/>
        </w:rPr>
        <w:t>Oceanologica Acta</w:t>
      </w:r>
      <w:r w:rsidRPr="00E125EA">
        <w:rPr>
          <w:shd w:val="clear" w:color="auto" w:fill="FFFFFF"/>
          <w:lang w:val="es-ES"/>
        </w:rPr>
        <w:t>, </w:t>
      </w:r>
      <w:r w:rsidRPr="00E125EA">
        <w:rPr>
          <w:i/>
          <w:iCs/>
          <w:shd w:val="clear" w:color="auto" w:fill="FFFFFF"/>
          <w:lang w:val="es-ES"/>
        </w:rPr>
        <w:t>26</w:t>
      </w:r>
      <w:r w:rsidRPr="00E125EA">
        <w:rPr>
          <w:shd w:val="clear" w:color="auto" w:fill="FFFFFF"/>
          <w:lang w:val="es-ES"/>
        </w:rPr>
        <w:t>(5-6), pp.585-596.</w:t>
      </w:r>
    </w:p>
    <w:p w14:paraId="64930FF5" w14:textId="77777777" w:rsidR="000B5E2E" w:rsidRDefault="000B5E2E" w:rsidP="000B5E2E">
      <w:r w:rsidRPr="00E125EA">
        <w:rPr>
          <w:lang w:val="es-ES"/>
        </w:rPr>
        <w:t xml:space="preserve">Peng, Y., Peng, H., Liu, Y., &amp; Liu, L. (2020). </w:t>
      </w:r>
      <w:r>
        <w:t xml:space="preserve">Relation between cadmium body burden and cognitive function in older men: A cross-sectional study in China. Chemosphere, 250, 126535. </w:t>
      </w:r>
      <w:hyperlink r:id="rId100" w:history="1">
        <w:r>
          <w:rPr>
            <w:rStyle w:val="Hyperlink"/>
            <w:rFonts w:cs="Calibri"/>
            <w:color w:val="467886"/>
          </w:rPr>
          <w:t>https://doi.org/10.1016/j.chemosphere.2020.126535</w:t>
        </w:r>
      </w:hyperlink>
      <w:r>
        <w:t> </w:t>
      </w:r>
    </w:p>
    <w:p w14:paraId="16D270B2" w14:textId="687EFAC6" w:rsidR="000B5E2E" w:rsidRDefault="000B5E2E" w:rsidP="000B5E2E">
      <w:r w:rsidRPr="00F85DE5">
        <w:rPr>
          <w:shd w:val="clear" w:color="auto" w:fill="FFFFFF"/>
        </w:rPr>
        <w:t xml:space="preserve">Pinto, M.I., </w:t>
      </w:r>
      <w:proofErr w:type="spellStart"/>
      <w:r w:rsidRPr="00F85DE5">
        <w:rPr>
          <w:shd w:val="clear" w:color="auto" w:fill="FFFFFF"/>
        </w:rPr>
        <w:t>Micaelo</w:t>
      </w:r>
      <w:proofErr w:type="spellEnd"/>
      <w:r w:rsidRPr="00F85DE5">
        <w:rPr>
          <w:shd w:val="clear" w:color="auto" w:fill="FFFFFF"/>
        </w:rPr>
        <w:t xml:space="preserve">, C., Vale, C., Sontag, G. and Noronha, J.P., 2014. </w:t>
      </w:r>
      <w:r>
        <w:rPr>
          <w:shd w:val="clear" w:color="auto" w:fill="FFFFFF"/>
        </w:rPr>
        <w:t>Screening of priority pesticides in Ulva sp. seaweeds by selective pressurized solvent extraction before gas chromatography with electron capture detector analysis. </w:t>
      </w:r>
      <w:r>
        <w:rPr>
          <w:i/>
          <w:iCs/>
          <w:shd w:val="clear" w:color="auto" w:fill="FFFFFF"/>
        </w:rPr>
        <w:t>Archives of environmental contamination and toxicology</w:t>
      </w:r>
      <w:r>
        <w:rPr>
          <w:shd w:val="clear" w:color="auto" w:fill="FFFFFF"/>
        </w:rPr>
        <w:t>, </w:t>
      </w:r>
      <w:r>
        <w:rPr>
          <w:i/>
          <w:iCs/>
          <w:shd w:val="clear" w:color="auto" w:fill="FFFFFF"/>
        </w:rPr>
        <w:t>67</w:t>
      </w:r>
      <w:r>
        <w:rPr>
          <w:shd w:val="clear" w:color="auto" w:fill="FFFFFF"/>
        </w:rPr>
        <w:t>, pp.547-556.</w:t>
      </w:r>
    </w:p>
    <w:p w14:paraId="2CF0D40E" w14:textId="5A33ECFF" w:rsidR="000B5E2E" w:rsidRDefault="000B5E2E" w:rsidP="000B5E2E">
      <w:r>
        <w:rPr>
          <w:shd w:val="clear" w:color="auto" w:fill="FFFFFF"/>
        </w:rPr>
        <w:t>Polat, A., Polat, S., Simsek, A., Kurt, T.T. and Ozyurt, G., 2018. Pesticide residues in muscles of some marine fish species and seaweeds of Iskenderun Bay (Northeastern Mediterranean), Turkey. </w:t>
      </w:r>
      <w:r>
        <w:rPr>
          <w:i/>
          <w:iCs/>
          <w:shd w:val="clear" w:color="auto" w:fill="FFFFFF"/>
        </w:rPr>
        <w:t>Environmental Science and Pollution Research</w:t>
      </w:r>
      <w:r>
        <w:rPr>
          <w:shd w:val="clear" w:color="auto" w:fill="FFFFFF"/>
        </w:rPr>
        <w:t>, </w:t>
      </w:r>
      <w:r>
        <w:rPr>
          <w:i/>
          <w:iCs/>
          <w:shd w:val="clear" w:color="auto" w:fill="FFFFFF"/>
        </w:rPr>
        <w:t>25</w:t>
      </w:r>
      <w:r>
        <w:rPr>
          <w:shd w:val="clear" w:color="auto" w:fill="FFFFFF"/>
        </w:rPr>
        <w:t xml:space="preserve">, pp.3756-3764.Pavoni, Bruno, et al. </w:t>
      </w:r>
      <w:r>
        <w:rPr>
          <w:shd w:val="clear" w:color="auto" w:fill="FFFFFF"/>
        </w:rPr>
        <w:lastRenderedPageBreak/>
        <w:t>"Organic micropollutants (PAHs, PCBs, pesticides) in seaweeds of the lagoon of Venice." </w:t>
      </w:r>
      <w:r>
        <w:rPr>
          <w:i/>
          <w:iCs/>
          <w:shd w:val="clear" w:color="auto" w:fill="FFFFFF"/>
        </w:rPr>
        <w:t>Oceanologica Acta</w:t>
      </w:r>
      <w:r>
        <w:rPr>
          <w:shd w:val="clear" w:color="auto" w:fill="FFFFFF"/>
        </w:rPr>
        <w:t> 26.5-6 (2003): 585-596.</w:t>
      </w:r>
    </w:p>
    <w:p w14:paraId="68727BC9" w14:textId="1B8D5BFF" w:rsidR="000B5E2E" w:rsidRDefault="000B5E2E" w:rsidP="000B5E2E">
      <w:r>
        <w:rPr>
          <w:shd w:val="clear" w:color="auto" w:fill="FFFFFF"/>
        </w:rPr>
        <w:t>Qiu, Y.W., Zeng, E.Y., Qiu, H., Yu, K. and Cai, S., 2017. Bioconcentration of polybrominated diphenyl ethers and organochlorine pesticides in algae is an important contaminant route to higher trophic levels. </w:t>
      </w:r>
      <w:r>
        <w:rPr>
          <w:i/>
          <w:iCs/>
          <w:shd w:val="clear" w:color="auto" w:fill="FFFFFF"/>
        </w:rPr>
        <w:t>Science of the Total Environment</w:t>
      </w:r>
      <w:r>
        <w:rPr>
          <w:shd w:val="clear" w:color="auto" w:fill="FFFFFF"/>
        </w:rPr>
        <w:t>, </w:t>
      </w:r>
      <w:r>
        <w:rPr>
          <w:i/>
          <w:iCs/>
          <w:shd w:val="clear" w:color="auto" w:fill="FFFFFF"/>
        </w:rPr>
        <w:t>579</w:t>
      </w:r>
      <w:r>
        <w:rPr>
          <w:shd w:val="clear" w:color="auto" w:fill="FFFFFF"/>
        </w:rPr>
        <w:t>, pp.1885-1893.</w:t>
      </w:r>
    </w:p>
    <w:p w14:paraId="0B03C0BD" w14:textId="77777777" w:rsidR="000B5E2E" w:rsidRDefault="000B5E2E" w:rsidP="000B5E2E">
      <w:r>
        <w:t xml:space="preserve">Ryan, T. P., Dowdall, A. M., Long, S., Smith, V., Pollard, D., &amp; Cunningham, J. D. (1999). Plutonium and americium in fish, shellfish and seaweed in the Irish environment and their contribution to dose. Journal of Environmental Radioactivity, 44(2–3), 349–369. </w:t>
      </w:r>
      <w:hyperlink r:id="rId101" w:history="1">
        <w:r>
          <w:rPr>
            <w:rStyle w:val="Hyperlink"/>
            <w:rFonts w:cs="Calibri"/>
            <w:color w:val="1155CC"/>
          </w:rPr>
          <w:t>https://doi.org/10.1016/S0265-931X(98)00140-4</w:t>
        </w:r>
      </w:hyperlink>
    </w:p>
    <w:p w14:paraId="2A05C9A9" w14:textId="77777777" w:rsidR="000B5E2E" w:rsidRDefault="000B5E2E" w:rsidP="000B5E2E">
      <w:r>
        <w:t>Sartal, C. G., del Carmen Barciela-Alonso, M., &amp; Bermejo-Barrera, P. (2012). Effect of the cooking procedure on the arsenic speciation in the bioavailable (dialyzable) fraction from seaweed. Microchemical Journal, 105, 65-71</w:t>
      </w:r>
      <w:r>
        <w:rPr>
          <w:color w:val="222222"/>
          <w:shd w:val="clear" w:color="auto" w:fill="FFFFFF"/>
        </w:rPr>
        <w:t>.</w:t>
      </w:r>
      <w:r>
        <w:rPr>
          <w:color w:val="1155CC"/>
          <w:u w:val="single"/>
        </w:rPr>
        <w:t xml:space="preserve"> </w:t>
      </w:r>
      <w:hyperlink r:id="rId102" w:history="1">
        <w:r>
          <w:rPr>
            <w:rStyle w:val="Hyperlink"/>
            <w:rFonts w:cs="Calibri"/>
            <w:color w:val="1155CC"/>
          </w:rPr>
          <w:t>https://doi.org/10.1016/j.microc.2012.08.001</w:t>
        </w:r>
      </w:hyperlink>
    </w:p>
    <w:p w14:paraId="3B16184F" w14:textId="77777777" w:rsidR="000B5E2E" w:rsidRDefault="000B5E2E" w:rsidP="000B5E2E">
      <w:r>
        <w:t>Shaughnessy, B. K., Jackson, B. P., &amp; Byrnes, J. E. (2023). Evidence of elevated heavy metals concentrations in wild and farmed sugar kelp (</w:t>
      </w:r>
      <w:r>
        <w:rPr>
          <w:i/>
          <w:iCs/>
        </w:rPr>
        <w:t>Saccharina latissima</w:t>
      </w:r>
      <w:r>
        <w:t>) in New England. Scientific Reports, 13(1), 17644</w:t>
      </w:r>
    </w:p>
    <w:p w14:paraId="59AF6637" w14:textId="77777777" w:rsidR="000B5E2E" w:rsidRDefault="000B5E2E" w:rsidP="000B5E2E">
      <w:r>
        <w:t>Sharma, S., Neves, L., Funderud, J., Mydland, L. T., Øverland, M., &amp; Horn, S. J. (2018). Seasonal and depth variations in the chemical composition of cultivated Saccharina latissima. Algal research, 32, 107-112.</w:t>
      </w:r>
    </w:p>
    <w:p w14:paraId="38F12BD1" w14:textId="77777777" w:rsidR="000B5E2E" w:rsidRDefault="000B5E2E" w:rsidP="000B5E2E">
      <w:r>
        <w:t>Stévant, P., Marfaing, H., Duinker, A., Fleurence, J., Rustad, T., Sandbakken, I., &amp; Chapman, A. (2018). Biomass soaking treatments to reduce potentially undesirable compounds in the edible seaweeds sugar kelp (</w:t>
      </w:r>
      <w:r>
        <w:rPr>
          <w:i/>
          <w:iCs/>
        </w:rPr>
        <w:t>Saccharina latissima</w:t>
      </w:r>
      <w:r>
        <w:t>) and winged kelp (</w:t>
      </w:r>
      <w:r>
        <w:rPr>
          <w:i/>
          <w:iCs/>
        </w:rPr>
        <w:t>Alaria esculenta</w:t>
      </w:r>
      <w:r>
        <w:t xml:space="preserve">) and health risk estimation for human consumption. Journal of Applied Phycology, 30, </w:t>
      </w:r>
      <w:r>
        <w:rPr>
          <w:color w:val="1155CC"/>
          <w:u w:val="single"/>
        </w:rPr>
        <w:t>2047-2060.</w:t>
      </w:r>
      <w:hyperlink r:id="rId103" w:history="1">
        <w:r>
          <w:rPr>
            <w:rStyle w:val="Hyperlink"/>
            <w:rFonts w:cs="Calibri"/>
            <w:color w:val="1155CC"/>
          </w:rPr>
          <w:t>https://link.springer.com/article/10.1007/s10811-017-1343-8</w:t>
        </w:r>
      </w:hyperlink>
    </w:p>
    <w:p w14:paraId="172AB09E" w14:textId="77777777" w:rsidR="000B5E2E" w:rsidRPr="00E125EA" w:rsidRDefault="000B5E2E" w:rsidP="000B5E2E">
      <w:pPr>
        <w:rPr>
          <w:lang w:val="es-ES"/>
        </w:rPr>
      </w:pPr>
      <w:r>
        <w:rPr>
          <w:shd w:val="clear" w:color="auto" w:fill="FFFFFF"/>
        </w:rPr>
        <w:t>Sundhar, S., Shakila, R.J., Jeyasekaran, G., Aanand, S., Shalini, R., Arisekar, U., Surya, T., Malini, N.A.H. and Boda, S., 2020. Risk assessment of organochlorine pesticides in seaweeds along the Gulf of Mannar, Southeast India. </w:t>
      </w:r>
      <w:r w:rsidRPr="00E125EA">
        <w:rPr>
          <w:i/>
          <w:iCs/>
          <w:shd w:val="clear" w:color="auto" w:fill="FFFFFF"/>
          <w:lang w:val="es-ES"/>
        </w:rPr>
        <w:t>Marine Pollution Bulletin</w:t>
      </w:r>
      <w:r w:rsidRPr="00E125EA">
        <w:rPr>
          <w:shd w:val="clear" w:color="auto" w:fill="FFFFFF"/>
          <w:lang w:val="es-ES"/>
        </w:rPr>
        <w:t>, </w:t>
      </w:r>
      <w:r w:rsidRPr="00E125EA">
        <w:rPr>
          <w:i/>
          <w:iCs/>
          <w:shd w:val="clear" w:color="auto" w:fill="FFFFFF"/>
          <w:lang w:val="es-ES"/>
        </w:rPr>
        <w:t>161</w:t>
      </w:r>
      <w:r w:rsidRPr="00E125EA">
        <w:rPr>
          <w:shd w:val="clear" w:color="auto" w:fill="FFFFFF"/>
          <w:lang w:val="es-ES"/>
        </w:rPr>
        <w:t>, p.111709.</w:t>
      </w:r>
    </w:p>
    <w:p w14:paraId="5BC66002" w14:textId="77777777" w:rsidR="000B5E2E" w:rsidRDefault="000B5E2E" w:rsidP="000B5E2E">
      <w:r w:rsidRPr="00E125EA">
        <w:rPr>
          <w:lang w:val="es-ES"/>
        </w:rPr>
        <w:t xml:space="preserve">Tejera, A., Pérez-Sánchez, L., Guerra, G., Arriola-Velásquez, A. C., Alonso, H., Arnedo, M. A., Rubiano, G., &amp; Martel, P. (2019). </w:t>
      </w:r>
      <w:r>
        <w:t xml:space="preserve">Natural radioactivity in algae arrivals on the Canary coast and dosimetry assessment. Science of the Total Environment, 658, 122–131. </w:t>
      </w:r>
      <w:hyperlink r:id="rId104" w:history="1">
        <w:r>
          <w:rPr>
            <w:rStyle w:val="Hyperlink"/>
            <w:rFonts w:cs="Calibri"/>
            <w:color w:val="1155CC"/>
          </w:rPr>
          <w:t>https://doi.org/10.1016/j.scitotenv.2018.12.140</w:t>
        </w:r>
      </w:hyperlink>
    </w:p>
    <w:p w14:paraId="645E18EC" w14:textId="77777777" w:rsidR="000B5E2E" w:rsidRDefault="000B5E2E" w:rsidP="000B5E2E">
      <w:r>
        <w:t xml:space="preserve">Taylor, V. F., &amp; Jackson, B. P. (2016). Concentrations and speciation of arsenic in New England seaweed species harvested for food and agriculture. </w:t>
      </w:r>
      <w:r>
        <w:rPr>
          <w:i/>
          <w:iCs/>
        </w:rPr>
        <w:t>Chemosphere, 163</w:t>
      </w:r>
      <w:r>
        <w:t>, 6–13.</w:t>
      </w:r>
    </w:p>
    <w:p w14:paraId="08EEFAAB" w14:textId="7168BD52" w:rsidR="000B5E2E" w:rsidRDefault="000B5E2E" w:rsidP="000B5E2E">
      <w:r>
        <w:lastRenderedPageBreak/>
        <w:t xml:space="preserve">Tellez-Plaza, M., Guallar, E., Howard, B. V., Umans, J. G., Francesconi, K. A., Goessler, W., Silbergeld, E. K., &amp; Navas-Acien, A. (2013). Cadmium exposure and incident cardiovascular disease. Epidemiology, 24(3), 421–429. </w:t>
      </w:r>
      <w:hyperlink r:id="rId105" w:history="1">
        <w:r>
          <w:rPr>
            <w:rStyle w:val="Hyperlink"/>
            <w:rFonts w:cs="Calibri"/>
            <w:color w:val="467886"/>
          </w:rPr>
          <w:t>https://doi.org/10.1097/EDE.0b013e31828b0631</w:t>
        </w:r>
      </w:hyperlink>
    </w:p>
    <w:p w14:paraId="531318EF" w14:textId="77777777" w:rsidR="000B5E2E" w:rsidRDefault="000B5E2E" w:rsidP="000B5E2E">
      <w:r>
        <w:t>Tchounwou, P.B., Yedjou, C.G., Patlolla, A.K., Sutton, D.J. (2012). Heavy Metal Toxicity and the Environment. In: Luch, A. (eds) Molecular, Clinical and Environmental Toxicology. Experientia Supplementum, vol 101. Springer, Basel. https://doi.org/10.1007/978-3-7643-8340-4_6</w:t>
      </w:r>
    </w:p>
    <w:p w14:paraId="1EB0661D" w14:textId="77777777" w:rsidR="000B5E2E" w:rsidRDefault="000B5E2E" w:rsidP="000B5E2E">
      <w:r>
        <w:t xml:space="preserve">United States Food and Drug Administration. (n.d.). Environmental contaminants in food. </w:t>
      </w:r>
      <w:hyperlink r:id="rId106" w:history="1">
        <w:r>
          <w:rPr>
            <w:rStyle w:val="Hyperlink"/>
            <w:rFonts w:cs="Calibri"/>
            <w:color w:val="467886"/>
          </w:rPr>
          <w:t>https://www.fda.gov/food/chemical-contaminants-pesticides/environmental-contaminants-food</w:t>
        </w:r>
      </w:hyperlink>
    </w:p>
    <w:p w14:paraId="704A1F7A" w14:textId="77777777" w:rsidR="000B5E2E" w:rsidRDefault="000B5E2E" w:rsidP="000B5E2E">
      <w:r>
        <w:t>United States Food and Drug Administration. (n.d.). Code of Federal Regulations Title 21, Part 172. Retrieved January 7, 2025, from</w:t>
      </w:r>
      <w:hyperlink r:id="rId107" w:history="1">
        <w:r>
          <w:rPr>
            <w:rStyle w:val="Hyperlink"/>
            <w:rFonts w:cs="Calibri"/>
            <w:color w:val="000000"/>
          </w:rPr>
          <w:t xml:space="preserve"> </w:t>
        </w:r>
        <w:r>
          <w:rPr>
            <w:rStyle w:val="Hyperlink"/>
            <w:rFonts w:cs="Calibri"/>
          </w:rPr>
          <w:t>https://www.accessdata.fda.gov/scripts/cdrh/cfdocs/cfcfr/CFRSearch.cfm?CFRPart=172&amp;showFR=1</w:t>
        </w:r>
      </w:hyperlink>
    </w:p>
    <w:p w14:paraId="66A68D52" w14:textId="77777777" w:rsidR="000B5E2E" w:rsidRDefault="000B5E2E" w:rsidP="000B5E2E">
      <w:r>
        <w:t>United States Food and Drug Administration. (2022). Chapter 9: Environmental Chemical Contaminants. In Fish and Fishery Products Hazard and Control Guidance (Issue June, pp. 1–38). USFDA.</w:t>
      </w:r>
    </w:p>
    <w:p w14:paraId="1E886253" w14:textId="77777777" w:rsidR="000B5E2E" w:rsidRDefault="000B5E2E" w:rsidP="000B5E2E">
      <w:r>
        <w:t>Wang, B., &amp; Du, Y. (2013). Cadmium and its neurotoxic effects. Oxidative Medicine and Cellular Longevity, 2013, 898034. https://doi.org/10.1155/2013/898034</w:t>
      </w:r>
    </w:p>
    <w:p w14:paraId="7130D454" w14:textId="77777777" w:rsidR="000B5E2E" w:rsidRDefault="000B5E2E" w:rsidP="000B5E2E">
      <w:r>
        <w:t>Wang, Z., Liu, Y., Liu, H., &amp; Guo, Y. (2022). Early-life Pb exposure induces long-term toxicity in the central nervous system: From zebrafish larvae to juveniles and adults. Science of The Total Environment, 804, 150185. https://doi.org/10.1016/j.scitotenv.202.150185</w:t>
      </w:r>
    </w:p>
    <w:p w14:paraId="568FA23B" w14:textId="190F0CBF" w:rsidR="000B5E2E" w:rsidRDefault="000B5E2E" w:rsidP="000B5E2E">
      <w:r>
        <w:t>Wang, J.S., Chou, H.N., Fan, J.J. and Chen, C.M., 1998. Uptake and transfer of high PCB concentrations from phytoplankton to aquatic biota. </w:t>
      </w:r>
      <w:r>
        <w:rPr>
          <w:i/>
          <w:iCs/>
        </w:rPr>
        <w:t>Chemosphere</w:t>
      </w:r>
      <w:r>
        <w:t>, </w:t>
      </w:r>
      <w:r>
        <w:rPr>
          <w:i/>
          <w:iCs/>
        </w:rPr>
        <w:t>36</w:t>
      </w:r>
      <w:r>
        <w:t>(6), pp.1201-1210.</w:t>
      </w:r>
    </w:p>
    <w:p w14:paraId="5F4F8520" w14:textId="77777777" w:rsidR="000B5E2E" w:rsidRDefault="000B5E2E" w:rsidP="000B5E2E">
      <w:r>
        <w:t xml:space="preserve">USFDA. (2020). CPG Sec. 560.750 Guidance Levels for Radionuclides in Domestic and  Imported Foods. In Compliance Policy Guide. </w:t>
      </w:r>
      <w:hyperlink r:id="rId108" w:history="1">
        <w:r>
          <w:rPr>
            <w:rStyle w:val="Hyperlink"/>
            <w:rFonts w:cs="Calibri"/>
            <w:color w:val="1155CC"/>
          </w:rPr>
          <w:t>https://www.fda.gov/Food/FoodborneIllnessContaminants/ChemicalContaminants/ucm078331.htm</w:t>
        </w:r>
      </w:hyperlink>
    </w:p>
    <w:p w14:paraId="08B318B6" w14:textId="77777777" w:rsidR="000B5E2E" w:rsidRDefault="000B5E2E" w:rsidP="000B5E2E">
      <w:r>
        <w:t xml:space="preserve">World Health Organization. (2022). 10 chemicals of public health concern. </w:t>
      </w:r>
      <w:hyperlink r:id="rId109" w:history="1">
        <w:r>
          <w:rPr>
            <w:rStyle w:val="Hyperlink"/>
            <w:rFonts w:cs="Calibri"/>
            <w:color w:val="467886"/>
          </w:rPr>
          <w:t>https://www.who.int/news-room/photo-story/photo-story-detail/10-chemicals-of-public-health-concern</w:t>
        </w:r>
      </w:hyperlink>
      <w:r>
        <w:t> </w:t>
      </w:r>
    </w:p>
    <w:p w14:paraId="59C7A9CD" w14:textId="77777777" w:rsidR="000B5E2E" w:rsidRDefault="000B5E2E" w:rsidP="000B5E2E">
      <w:r>
        <w:t xml:space="preserve">World Health Organization. (2022). Report of the expert meeting on food safety for seaweed–Current status and future perspectives. Rome, 2Octobertober 2021. </w:t>
      </w:r>
      <w:hyperlink r:id="rId110" w:history="1">
        <w:r>
          <w:rPr>
            <w:rStyle w:val="Hyperlink"/>
            <w:rFonts w:cs="Calibri"/>
            <w:color w:val="1155CC"/>
          </w:rPr>
          <w:t>https://openknowledge.fao.org/handle/20.500.14283/cc0846en</w:t>
        </w:r>
      </w:hyperlink>
    </w:p>
    <w:p w14:paraId="5BC9F357" w14:textId="77777777" w:rsidR="000B5E2E" w:rsidRDefault="000B5E2E" w:rsidP="000B5E2E">
      <w:r>
        <w:lastRenderedPageBreak/>
        <w:t xml:space="preserve">WHO (World Health Organization), 2011. Safety evaluation of certain contaminants in food. Addendum on arsenic. Geneva, WHO and Rome, FAO. Available online: </w:t>
      </w:r>
      <w:hyperlink r:id="rId111" w:history="1">
        <w:r>
          <w:rPr>
            <w:rStyle w:val="Hyperlink"/>
            <w:rFonts w:cs="Calibri"/>
            <w:color w:val="1155CC"/>
          </w:rPr>
          <w:t>https://www.who.int/docs/default-source/food-safety/food-genetically-modified/9789240695405-eng.pdf</w:t>
        </w:r>
      </w:hyperlink>
    </w:p>
    <w:p w14:paraId="6D893096" w14:textId="77777777" w:rsidR="000B5E2E" w:rsidRDefault="000B5E2E" w:rsidP="000B5E2E">
      <w:r>
        <w:t xml:space="preserve">Wan Mahmood, Z. U., Yii, M. W., Khalid, M. A., Yusof, M. A. W., &amp; Mohamed, N. (2018). Marine radioactivity of Cs-134 and Cs-137 in the Malaysian Economic Exclusive Zone after the Fukushima accident. Journal of Radioanalytical and Nuclear Chemistry, 318(3), 2165–2172. </w:t>
      </w:r>
      <w:hyperlink r:id="rId112" w:history="1">
        <w:r>
          <w:rPr>
            <w:rStyle w:val="Hyperlink"/>
            <w:rFonts w:cs="Calibri"/>
            <w:color w:val="1155CC"/>
          </w:rPr>
          <w:t>https://doi.org/10.1007/s10967-018-6306-2</w:t>
        </w:r>
      </w:hyperlink>
    </w:p>
    <w:p w14:paraId="7425B30E" w14:textId="4319DE7B" w:rsidR="00021F51" w:rsidRDefault="000B5E2E" w:rsidP="000B5E2E">
      <w:r w:rsidRPr="00E125EA">
        <w:rPr>
          <w:lang w:val="es-ES"/>
        </w:rPr>
        <w:t xml:space="preserve">Yu, Y., Morales-Rodriguez, A., Zhou, G., Barrón, D., Sahuquillo, À., &amp; López-Sánchez, J. F. (2024). </w:t>
      </w:r>
      <w:r>
        <w:t>Survey of arsenic content in edible seaweeds and their health risk assessment. </w:t>
      </w:r>
      <w:r>
        <w:rPr>
          <w:i/>
          <w:iCs/>
        </w:rPr>
        <w:t>Food and Chemical Toxicology</w:t>
      </w:r>
      <w:r>
        <w:t>, </w:t>
      </w:r>
      <w:r>
        <w:rPr>
          <w:i/>
          <w:iCs/>
        </w:rPr>
        <w:t>187</w:t>
      </w:r>
      <w:r>
        <w:t>, 114603\</w:t>
      </w:r>
    </w:p>
    <w:p w14:paraId="3FF6950C" w14:textId="77777777" w:rsidR="000B5E2E" w:rsidRDefault="000B5E2E" w:rsidP="00021F51"/>
    <w:p w14:paraId="7DFDDC41" w14:textId="77777777" w:rsidR="000B5E2E" w:rsidRDefault="000B5E2E" w:rsidP="00021F51">
      <w:pPr>
        <w:sectPr w:rsidR="000B5E2E" w:rsidSect="00AD559E">
          <w:pgSz w:w="12240" w:h="15840"/>
          <w:pgMar w:top="1440" w:right="1440" w:bottom="1440" w:left="1440" w:header="720" w:footer="720" w:gutter="0"/>
          <w:pgNumType w:chapStyle="1"/>
          <w:cols w:space="720"/>
          <w:docGrid w:linePitch="360"/>
        </w:sectPr>
      </w:pPr>
    </w:p>
    <w:p w14:paraId="44C2BDF3" w14:textId="3ECBBEBB" w:rsidR="00021F51" w:rsidRDefault="00021F51" w:rsidP="00691E23">
      <w:pPr>
        <w:pStyle w:val="Heading1"/>
      </w:pPr>
      <w:bookmarkStart w:id="149" w:name="_Toc208503234"/>
      <w:bookmarkStart w:id="150" w:name="_Toc210042857"/>
      <w:r>
        <w:lastRenderedPageBreak/>
        <w:t>Iodine</w:t>
      </w:r>
      <w:bookmarkEnd w:id="149"/>
      <w:bookmarkEnd w:id="150"/>
    </w:p>
    <w:p w14:paraId="03508625" w14:textId="6FF39F40" w:rsidR="00021F51" w:rsidRDefault="00021F51" w:rsidP="00441BE0">
      <w:pPr>
        <w:pStyle w:val="Heading2"/>
      </w:pPr>
      <w:bookmarkStart w:id="151" w:name="_Toc208503235"/>
      <w:r>
        <w:t>General Background: Understanding the Potential Hazard</w:t>
      </w:r>
      <w:bookmarkEnd w:id="151"/>
    </w:p>
    <w:p w14:paraId="2F009621" w14:textId="3514029E" w:rsidR="00021F51" w:rsidRDefault="00021F51" w:rsidP="00691E23">
      <w:pPr>
        <w:pStyle w:val="Heading3"/>
      </w:pPr>
      <w:bookmarkStart w:id="152" w:name="_Toc208503236"/>
      <w:r>
        <w:t>Iodine Consumption and Human Health</w:t>
      </w:r>
      <w:bookmarkEnd w:id="152"/>
    </w:p>
    <w:p w14:paraId="45BFF54A" w14:textId="1F4F44F6" w:rsidR="00021F51" w:rsidRDefault="00021F51" w:rsidP="00CB6D27">
      <w:pPr>
        <w:spacing w:before="240"/>
      </w:pPr>
      <w:r>
        <w:t>Iodine is a trace element and an essential component of thyroid hormones, which regulate key biochemical processes in the body (National Institute of Health, 2024). Thyroid hormones support protein synthesis, enzymatic activity, and the development of the brain, muscle, heart, pituitary gland, and kidneys (</w:t>
      </w:r>
      <w:r w:rsidR="00CF2767">
        <w:t xml:space="preserve">National </w:t>
      </w:r>
      <w:r>
        <w:t>Institute of Health, 202</w:t>
      </w:r>
      <w:r w:rsidR="00CF2767">
        <w:t>4</w:t>
      </w:r>
      <w:r>
        <w:t>).</w:t>
      </w:r>
    </w:p>
    <w:p w14:paraId="7031F551" w14:textId="021C7ADB" w:rsidR="00021F51" w:rsidRDefault="00021F51" w:rsidP="00021F51">
      <w:r>
        <w:t>Iodine deficiency can cause serious health problems, including intellectual disabilities, hypothyroidism, goiter, cretinism, and other growth and developmental disorders (Institute of Health, 2001; WHO, 2014). Recognition of these effects in the early 20th century prompted the implementation of salt iodization programs (Leung, 2012). In the U.S., voluntary salt fortification began in 1924 (Institute of Medicine, 2003), and since then, most areas have had adequate iodine intake. While many believe iodine deficiency is an issue of the past, some research suggests that declining use of iodized salt nationally could increase the risk of deficiency (Dasgupta et al., 2008; Hatch-McChesney and Lieberman, 2022).</w:t>
      </w:r>
    </w:p>
    <w:p w14:paraId="479D11AC" w14:textId="6227DB99" w:rsidR="00021F51" w:rsidRDefault="00021F51" w:rsidP="00021F51">
      <w:r>
        <w:t xml:space="preserve">Seaweeds can be rich in iodine. While iodine is an important component of a healthy diet and integral for thyroid function, excess iodine intake can negatively impact thyroid function and health (Circuncisão et al., 2018; Mussig, 2009; National Institute of Health, 2024), especially in those with existing thyroid issues. For adults in the U.S., the tolerable upper intake level (UL) for iodine is 1,100 µg/day, and the recommended daily allowance (RDA) is 150 µg/day (Institute of Medicine, 2001; </w:t>
      </w:r>
      <w:r w:rsidRPr="00021F51">
        <w:t>NIH, 2024</w:t>
      </w:r>
      <w:r>
        <w:t>). In Europe, the daily UL is lower: 600 µg/day (EFSA, 2006). The RDA for children under 14 years is lower and varies by age. Pregnant and breastfeeding women require more iodine: 220 and 290 µg/day, respectively (CDC, 2024).</w:t>
      </w:r>
    </w:p>
    <w:p w14:paraId="6FBBC707" w14:textId="3586E6BA" w:rsidR="00021F51" w:rsidRDefault="00021F51" w:rsidP="00021F51">
      <w:r>
        <w:t xml:space="preserve">Because some seaweeds contain very high levels of iodine, consuming them in amounts above recommended limits can be harmful. Those at greater risk include people with existing thyroid conditions and pregnant women (Leung &amp; Braverman, 2014). More than 12% of Americans will experience a thyroid disorder in their lifetime (American Thyroid Association, 2024). When iodized salt was first introduced in the U.S. in the 1920s, some individuals developed hyperthyroidism from excess iodine (Hartstock, 1927). People with thyroid conditions may experience adverse health effects—such as hyperthyroidism or hypothyroidism—when exposed to high levels of iodine through their diet (Lee et al., 1999). In countries with high seaweed consumption, elevated iodine intake has been linked to thyroid disorders including goiter, hypothyroidism, and Hashimoto’s thyroiditis (Farebrother et al., 2019; </w:t>
      </w:r>
      <w:r w:rsidRPr="00021F51">
        <w:t>Mussig, 2009</w:t>
      </w:r>
      <w:r>
        <w:t>).</w:t>
      </w:r>
    </w:p>
    <w:p w14:paraId="11CF45B1" w14:textId="29F4477D" w:rsidR="00021F51" w:rsidRDefault="00021F51" w:rsidP="00021F51">
      <w:r>
        <w:lastRenderedPageBreak/>
        <w:t>With the increasing interest in seaweed as a nutritious food, there is growing concern for the potential increase in exposure to iodine concentrations well above the UL (</w:t>
      </w:r>
      <w:r w:rsidRPr="00021F51">
        <w:t>Aakre et al., 2021</w:t>
      </w:r>
      <w:r>
        <w:t>; Redway &amp; Combet, 2023). While certain species are high in iodine, moderate consumption—about one 5g dry weight serving per week—likely poses little risk for healthy individuals (Sá Monteiro et al., 2019). For instance, the average estimated iodine intake in Japan is 1,000 to 3,000 µg/day, which is generally well-tolerated in people without thyroid problems (Zava &amp; Zava, 2011). However, because long-term effects of high iodine exposure are not fully understood, higher-risk populations (e.g., pregnant women, children, and those with thyroid issues) should avoid consuming iodine-rich seaweeds that exceed the UL (Monteiro et al., 2019). Choosing species closer to the RDA is recommended.</w:t>
      </w:r>
    </w:p>
    <w:p w14:paraId="4F58E396" w14:textId="57B14B60" w:rsidR="00021F51" w:rsidRDefault="00021F51" w:rsidP="00021F51">
      <w:r>
        <w:t>Given that reducing iodine intake can mitigate adverse health effects from overexposure, that individual sensitivities and absorption rates vary, and that iodine concentrations in seaweed and seaweed products are highly variable, labeling iodine content on these products is essential to help consumers make informed health decisions.</w:t>
      </w:r>
    </w:p>
    <w:p w14:paraId="41F69F26" w14:textId="1BAED5BD" w:rsidR="00021F51" w:rsidRDefault="00021F51" w:rsidP="00691E23">
      <w:pPr>
        <w:pStyle w:val="Heading3"/>
      </w:pPr>
      <w:bookmarkStart w:id="153" w:name="_Toc208503237"/>
      <w:r>
        <w:t>Iodine in Seaweed</w:t>
      </w:r>
      <w:bookmarkEnd w:id="153"/>
    </w:p>
    <w:p w14:paraId="27A9339F" w14:textId="111EB9D5" w:rsidR="00021F51" w:rsidRDefault="00021F51" w:rsidP="00CB6D27">
      <w:pPr>
        <w:spacing w:before="240"/>
        <w:contextualSpacing/>
      </w:pPr>
      <w:r>
        <w:t>All seaweeds absorb substances from their environment, but different species vary in how much they can absorb and bioaccumulate (Aakre et al., 2021). As a result, some seaweeds can contain significantly higher concentrations of minerals and trace elements than are present in the surrounding water (Saenko et al., 1978; Young &amp; Langille, 1958). Brown seaweeds, in particular, can bioaccumulate iodine at levels far higher than in the surrounding environment (Fievet et al., 2023). Studies have found:</w:t>
      </w:r>
    </w:p>
    <w:p w14:paraId="212E2791" w14:textId="71E21B70" w:rsidR="00021F51" w:rsidRPr="002D13BE" w:rsidRDefault="00021F51" w:rsidP="00846B8F">
      <w:pPr>
        <w:pStyle w:val="ListParagraph"/>
        <w:numPr>
          <w:ilvl w:val="0"/>
          <w:numId w:val="42"/>
        </w:numPr>
        <w:spacing w:before="240"/>
      </w:pPr>
      <w:r w:rsidRPr="00303D03">
        <w:rPr>
          <w:b/>
          <w:bCs/>
        </w:rPr>
        <w:t xml:space="preserve">Brown </w:t>
      </w:r>
      <w:r w:rsidR="00303D03" w:rsidRPr="00303D03">
        <w:rPr>
          <w:b/>
          <w:bCs/>
        </w:rPr>
        <w:t>S</w:t>
      </w:r>
      <w:r w:rsidRPr="00303D03">
        <w:rPr>
          <w:b/>
          <w:bCs/>
        </w:rPr>
        <w:t>pecies:</w:t>
      </w:r>
      <w:r>
        <w:t xml:space="preserve"> </w:t>
      </w:r>
      <w:r w:rsidR="00303D03">
        <w:t>A</w:t>
      </w:r>
      <w:r>
        <w:t>pproximately 12 µg/g to</w:t>
      </w:r>
      <w:r w:rsidR="00CB6D27">
        <w:t xml:space="preserve"> </w:t>
      </w:r>
      <w:r>
        <w:t xml:space="preserve">10,203 µg/g dry </w:t>
      </w:r>
      <w:r w:rsidRPr="002D13BE">
        <w:t xml:space="preserve">weight (Appendix </w:t>
      </w:r>
      <w:r w:rsidR="002D13BE" w:rsidRPr="002D13BE">
        <w:t>D</w:t>
      </w:r>
      <w:r w:rsidR="002D13BE">
        <w:t>,</w:t>
      </w:r>
      <w:r w:rsidRPr="002D13BE">
        <w:t xml:space="preserve"> Table </w:t>
      </w:r>
      <w:r w:rsidR="00691E23" w:rsidRPr="002D13BE">
        <w:t>D</w:t>
      </w:r>
      <w:r w:rsidRPr="002D13BE">
        <w:t>-</w:t>
      </w:r>
      <w:r w:rsidR="002D13BE" w:rsidRPr="002D13BE">
        <w:t>2</w:t>
      </w:r>
      <w:r w:rsidRPr="002D13BE">
        <w:t>)</w:t>
      </w:r>
    </w:p>
    <w:p w14:paraId="02B0A020" w14:textId="59F987AF" w:rsidR="00021F51" w:rsidRDefault="00021F51" w:rsidP="00846B8F">
      <w:pPr>
        <w:pStyle w:val="ListParagraph"/>
        <w:numPr>
          <w:ilvl w:val="0"/>
          <w:numId w:val="42"/>
        </w:numPr>
        <w:spacing w:before="240"/>
      </w:pPr>
      <w:r w:rsidRPr="00303D03">
        <w:rPr>
          <w:b/>
          <w:bCs/>
        </w:rPr>
        <w:t xml:space="preserve">Red </w:t>
      </w:r>
      <w:r w:rsidR="00303D03" w:rsidRPr="00303D03">
        <w:rPr>
          <w:b/>
          <w:bCs/>
        </w:rPr>
        <w:t>S</w:t>
      </w:r>
      <w:r w:rsidRPr="00303D03">
        <w:rPr>
          <w:b/>
          <w:bCs/>
        </w:rPr>
        <w:t>pecies:</w:t>
      </w:r>
      <w:r>
        <w:t xml:space="preserve"> 4.3 µg/g to 353 µg/g dry weight (Appendix </w:t>
      </w:r>
      <w:r w:rsidR="002D13BE">
        <w:t>D,</w:t>
      </w:r>
      <w:r>
        <w:t xml:space="preserve"> Table </w:t>
      </w:r>
      <w:r w:rsidR="002D13BE">
        <w:t>D</w:t>
      </w:r>
      <w:r>
        <w:t>-</w:t>
      </w:r>
      <w:r w:rsidR="00334FB1">
        <w:t>3</w:t>
      </w:r>
      <w:r>
        <w:t>)</w:t>
      </w:r>
    </w:p>
    <w:p w14:paraId="6A3C0F54" w14:textId="5C773183" w:rsidR="00021F51" w:rsidRDefault="00021F51" w:rsidP="00846B8F">
      <w:pPr>
        <w:pStyle w:val="ListParagraph"/>
        <w:numPr>
          <w:ilvl w:val="0"/>
          <w:numId w:val="42"/>
        </w:numPr>
        <w:spacing w:before="240"/>
      </w:pPr>
      <w:r w:rsidRPr="00303D03">
        <w:rPr>
          <w:b/>
          <w:bCs/>
        </w:rPr>
        <w:t xml:space="preserve">Green </w:t>
      </w:r>
      <w:r w:rsidR="00303D03" w:rsidRPr="00303D03">
        <w:rPr>
          <w:b/>
          <w:bCs/>
        </w:rPr>
        <w:t>S</w:t>
      </w:r>
      <w:r w:rsidRPr="00303D03">
        <w:rPr>
          <w:b/>
          <w:bCs/>
        </w:rPr>
        <w:t>pecies:</w:t>
      </w:r>
      <w:r>
        <w:t xml:space="preserve"> 12.9 µg/g to 154 µg/g dry weight (Appendix </w:t>
      </w:r>
      <w:r w:rsidR="002D13BE">
        <w:t>D,</w:t>
      </w:r>
      <w:r>
        <w:t xml:space="preserve"> Table </w:t>
      </w:r>
      <w:r w:rsidR="002D13BE">
        <w:t>D</w:t>
      </w:r>
      <w:r>
        <w:t>-</w:t>
      </w:r>
      <w:r w:rsidR="00334FB1">
        <w:t>4</w:t>
      </w:r>
      <w:r>
        <w:t>)</w:t>
      </w:r>
    </w:p>
    <w:p w14:paraId="4A3B3D32" w14:textId="1D24EB39" w:rsidR="00021F51" w:rsidRDefault="00021F51" w:rsidP="00CB6D27">
      <w:pPr>
        <w:spacing w:before="240"/>
      </w:pPr>
      <w:r>
        <w:t>Iodine (I₂) concentrations in seaweed vary by season, often peaking in winter due to environmental factors like iodide (I⁻) availability and water temperature (Nitschke et al., 2018). While I₂ refers to the elemental, molecular form of iodine commonly found in seaweed, I⁻ is the ionic form dissolved in seawater and taken up by seaweed. Species differences also affect bioavailability (Aquaron et al., 2002; Domínguez-González et al., 2017), and absorption rates vary from person to person (Barandiaran et al., 2024).</w:t>
      </w:r>
    </w:p>
    <w:p w14:paraId="54022431" w14:textId="7DFF049E" w:rsidR="00303D03" w:rsidRDefault="00303D03" w:rsidP="00441BE0">
      <w:pPr>
        <w:pStyle w:val="Heading2"/>
      </w:pPr>
      <w:bookmarkStart w:id="154" w:name="_Toc208503238"/>
      <w:r>
        <w:lastRenderedPageBreak/>
        <w:t>Controlling Iodine</w:t>
      </w:r>
      <w:bookmarkEnd w:id="154"/>
    </w:p>
    <w:p w14:paraId="054CC172" w14:textId="77777777" w:rsidR="00303D03" w:rsidRDefault="00303D03" w:rsidP="00691E23">
      <w:pPr>
        <w:pStyle w:val="Heading3"/>
      </w:pPr>
      <w:bookmarkStart w:id="155" w:name="_Toc208503239"/>
      <w:r>
        <w:t>Processing</w:t>
      </w:r>
      <w:bookmarkEnd w:id="155"/>
    </w:p>
    <w:p w14:paraId="6CA5F0AD" w14:textId="1154EADB" w:rsidR="00303D03" w:rsidRDefault="00303D03" w:rsidP="00CB6D27">
      <w:pPr>
        <w:spacing w:before="240"/>
      </w:pPr>
      <w:r>
        <w:t xml:space="preserve">Processing methods can significantly reduce iodine levels in seaweed, though results depend on the species and method used. Techniques studied include boiling, </w:t>
      </w:r>
      <w:hyperlink w:anchor="_Blanching" w:tooltip="Submersion of foods in boiling water or exposure to steam for a short period of time before rapidly cooling. Blanching is commonly done to fix color and stop enzymatic activity. " w:history="1">
        <w:r w:rsidRPr="00E1536C">
          <w:rPr>
            <w:rStyle w:val="Hyperlink"/>
          </w:rPr>
          <w:t>blanching</w:t>
        </w:r>
      </w:hyperlink>
      <w:r>
        <w:t xml:space="preserve">, </w:t>
      </w:r>
      <w:hyperlink w:anchor="_Fermentation" w:tooltip="A process commonly used to preserve and/or enhance foods, which involves the chemical breakdown of molecules such as sugars by bacteria into acids. This rapidly reduces the pH of the product and is another form of pickling." w:history="1">
        <w:r w:rsidRPr="00BC7922">
          <w:rPr>
            <w:rStyle w:val="Hyperlink"/>
          </w:rPr>
          <w:t>fermenting</w:t>
        </w:r>
      </w:hyperlink>
      <w:r>
        <w:t xml:space="preserve">, and steaming have (Banach et al., 2024; Dujardin et al., 2023; Sun et al., 2021; </w:t>
      </w:r>
      <w:r w:rsidRPr="00303D03">
        <w:t>Lüning &amp; Mortensen, 2015; Nielsen et al.</w:t>
      </w:r>
      <w:r>
        <w:t>,</w:t>
      </w:r>
      <w:r w:rsidRPr="00303D03">
        <w:t xml:space="preserve"> 2020</w:t>
      </w:r>
      <w:r>
        <w:t xml:space="preserve">; </w:t>
      </w:r>
      <w:r w:rsidRPr="00303D03">
        <w:t>Nitschke &amp; Stengel, 2016;</w:t>
      </w:r>
      <w:r>
        <w:t xml:space="preserve"> Sun et al., 2022; </w:t>
      </w:r>
      <w:r w:rsidRPr="00303D03">
        <w:t>Trigo et al., 2023</w:t>
      </w:r>
      <w:r>
        <w:t>). Examples include:</w:t>
      </w:r>
    </w:p>
    <w:p w14:paraId="350F1AE1" w14:textId="1D1EDA07" w:rsidR="00303D03" w:rsidRDefault="00303D03" w:rsidP="00846B8F">
      <w:pPr>
        <w:pStyle w:val="ListParagraph"/>
        <w:numPr>
          <w:ilvl w:val="0"/>
          <w:numId w:val="43"/>
        </w:numPr>
        <w:spacing w:before="240"/>
      </w:pPr>
      <w:r>
        <w:t xml:space="preserve">Rinsing </w:t>
      </w:r>
      <w:r w:rsidR="00B67A7C" w:rsidRPr="00B67A7C">
        <w:rPr>
          <w:i/>
          <w:iCs/>
        </w:rPr>
        <w:t>Saccharina latissima</w:t>
      </w:r>
      <w:r w:rsidR="00B67A7C" w:rsidRPr="00B67A7C">
        <w:t xml:space="preserve"> </w:t>
      </w:r>
      <w:r>
        <w:t>in saltwater or freshwater reduced iodine levels by 59–73%, while</w:t>
      </w:r>
    </w:p>
    <w:p w14:paraId="1F86F14C" w14:textId="49C5E18D" w:rsidR="00303D03" w:rsidRDefault="00303D03" w:rsidP="00846B8F">
      <w:pPr>
        <w:pStyle w:val="ListParagraph"/>
        <w:numPr>
          <w:ilvl w:val="0"/>
          <w:numId w:val="43"/>
        </w:numPr>
        <w:spacing w:before="240"/>
      </w:pPr>
      <w:r>
        <w:t>Steaming resulted in a 26% reduction (Krook et al., 2023), and</w:t>
      </w:r>
    </w:p>
    <w:p w14:paraId="16E3B5FF" w14:textId="77777777" w:rsidR="00303D03" w:rsidRDefault="00303D03" w:rsidP="00846B8F">
      <w:pPr>
        <w:pStyle w:val="ListParagraph"/>
        <w:numPr>
          <w:ilvl w:val="0"/>
          <w:numId w:val="43"/>
        </w:numPr>
        <w:spacing w:before="240"/>
      </w:pPr>
      <w:r>
        <w:t>Combining saltwater blanching with fermentation achieved an 81% reduction in iodine content (Banach et al., 2024).</w:t>
      </w:r>
    </w:p>
    <w:p w14:paraId="38C9B2C2" w14:textId="3804FB00" w:rsidR="00303D03" w:rsidRDefault="00303D03" w:rsidP="00303D03">
      <w:r>
        <w:t>However, these treatments can also change the flavor, texture, and nutritional composition of products (Krook et al., 2023; Stévant et al., 2018). Boiling, while effective,</w:t>
      </w:r>
      <w:r w:rsidR="00B64049">
        <w:t xml:space="preserve"> </w:t>
      </w:r>
      <w:r>
        <w:t>may increase the bioavailability of the remaining iodine, potentially raising exposure risks for iodine-sensitive individuals (Sun et al., 2022). Chemical composition also plays a role—higher protein may reduce iodine absorption, while more carbohydrates and fiber may increase it (Romarís-Hortas et al., 2012).</w:t>
      </w:r>
    </w:p>
    <w:p w14:paraId="2CDB7C04" w14:textId="792DEA36" w:rsidR="00303D03" w:rsidRDefault="00303D03" w:rsidP="00303D03">
      <w:r>
        <w:t xml:space="preserve">Even after processing, seaweeds high in iodine can still exceed the adult UL of 1,100 µg/day (Banach et al., 2024, Institute of Medicine, 2001). In such cases, producers should carefully consider </w:t>
      </w:r>
      <w:hyperlink w:anchor="ServingSize" w:tooltip="The standard portion typically consumed in one sitting, defined by regulatory agencies or nutritional guidelines. Serving sizes can vary based on the type of food product (e.g., dried, fresh, or processed) and cultural or dietary norms. " w:history="1">
        <w:r w:rsidRPr="003E23E8">
          <w:rPr>
            <w:rStyle w:val="Hyperlink"/>
          </w:rPr>
          <w:t>serving size</w:t>
        </w:r>
      </w:hyperlink>
      <w:r>
        <w:t xml:space="preserve"> and consumption frequency when developing seaweed-based products. Processing alone may not sufficiently reduce iodine concentrations below this threshold.</w:t>
      </w:r>
    </w:p>
    <w:p w14:paraId="7B31807D" w14:textId="1ABDC302" w:rsidR="00303D03" w:rsidRDefault="00303D03" w:rsidP="00303D03">
      <w:r>
        <w:t>Many factors influence iodine exposure risk from seaweed: type of seaweed, geographic origin, storage and cooking methods, climate, individual health status, individual dietary practices, and consumption frequency (Teas et al., 2004). For naturally high-iodine species like the brown seaweed</w:t>
      </w:r>
      <w:r w:rsidR="00B67A7C">
        <w:t xml:space="preserve"> </w:t>
      </w:r>
      <w:r w:rsidR="00B67A7C">
        <w:rPr>
          <w:i/>
        </w:rPr>
        <w:t>Saccharina latissima</w:t>
      </w:r>
      <w:r>
        <w:t>, reducing serving size, combining processing methods, or both may be necessary</w:t>
      </w:r>
      <w:r w:rsidR="00867E19">
        <w:t xml:space="preserve"> to reduce concentrations below daily tolerable levels</w:t>
      </w:r>
      <w:r>
        <w:t>. If these measures are insufficient, labeling iodine content should be used as a control measure</w:t>
      </w:r>
      <w:r w:rsidR="00867E19">
        <w:t xml:space="preserve"> </w:t>
      </w:r>
      <w:r>
        <w:t>to inform consumers and support informed decision-making. These variables make it difficult to predict the exact health impact of iodine exposure from seaweed consumption across different populations.</w:t>
      </w:r>
    </w:p>
    <w:p w14:paraId="351B2FDA" w14:textId="77777777" w:rsidR="00303D03" w:rsidRDefault="00303D03" w:rsidP="00846B8F">
      <w:pPr>
        <w:pStyle w:val="Heading3"/>
        <w:numPr>
          <w:ilvl w:val="2"/>
          <w:numId w:val="145"/>
        </w:numPr>
      </w:pPr>
      <w:bookmarkStart w:id="156" w:name="_Toc208503240"/>
      <w:r>
        <w:t>Labeling</w:t>
      </w:r>
      <w:bookmarkEnd w:id="156"/>
    </w:p>
    <w:p w14:paraId="6F077C29" w14:textId="77777777" w:rsidR="00303D03" w:rsidRDefault="00303D03" w:rsidP="00B64049">
      <w:pPr>
        <w:spacing w:before="240"/>
      </w:pPr>
      <w:r>
        <w:t xml:space="preserve">There are no current regulations mandating iodine content labeling in foods, and it is rare worldwide (Redway &amp; Combet, 2023; Bouga &amp; Combet, 2015). For people sensitive to iodine, </w:t>
      </w:r>
      <w:r>
        <w:lastRenderedPageBreak/>
        <w:t>labeling is crucial for effectively managing dietary intake. Recognizing this, the Norwegian Seaweed Association (2021) recommends that producers voluntarily label the iodine content, including:</w:t>
      </w:r>
    </w:p>
    <w:p w14:paraId="0D33130E" w14:textId="23E2EADA" w:rsidR="00303D03" w:rsidRPr="00303D03" w:rsidRDefault="00303D03" w:rsidP="00303D03">
      <w:pPr>
        <w:ind w:left="720"/>
        <w:rPr>
          <w:i/>
          <w:iCs/>
        </w:rPr>
      </w:pPr>
      <w:r w:rsidRPr="00303D03">
        <w:rPr>
          <w:i/>
          <w:iCs/>
        </w:rPr>
        <w:t xml:space="preserve">“The "seaweed / kelp species" has a naturally high iodine content. The </w:t>
      </w:r>
      <w:hyperlink w:anchor="RDI" w:tooltip="The average daily level of nutrient intake sufficient to meet the requirements of nearly all healthy individuals in a specific age and gender group. RDIs are set by health authorities and are used as a reference for dietary guidelines" w:history="1">
        <w:r w:rsidRPr="00AE1C32">
          <w:rPr>
            <w:rStyle w:val="Hyperlink"/>
            <w:i/>
            <w:iCs/>
          </w:rPr>
          <w:t>recommended daily intake</w:t>
        </w:r>
      </w:hyperlink>
      <w:r w:rsidRPr="00303D03">
        <w:rPr>
          <w:i/>
          <w:iCs/>
        </w:rPr>
        <w:t xml:space="preserve"> of iodine is 0.15 mg. Excessive iodine intake over time can affect the thyroid gland.”</w:t>
      </w:r>
    </w:p>
    <w:p w14:paraId="7B6EB1C3" w14:textId="77777777" w:rsidR="00303D03" w:rsidRDefault="00303D03" w:rsidP="00846B8F">
      <w:pPr>
        <w:pStyle w:val="Heading3"/>
        <w:numPr>
          <w:ilvl w:val="2"/>
          <w:numId w:val="145"/>
        </w:numPr>
      </w:pPr>
      <w:bookmarkStart w:id="157" w:name="_Toc208503241"/>
      <w:r>
        <w:t>Serving Size</w:t>
      </w:r>
      <w:bookmarkEnd w:id="157"/>
    </w:p>
    <w:p w14:paraId="60A67016" w14:textId="747AA141" w:rsidR="00303D03" w:rsidRDefault="00303D03" w:rsidP="00B64049">
      <w:pPr>
        <w:spacing w:before="240"/>
      </w:pPr>
      <w:r>
        <w:t>Traditionally, a typical serving of seaweed is approximately 5 grams, particularly in regions where seaweed is regularly consumed. The U.S. Food and Drug Administration (FDA) also identifies 5 grams as the Reference Amount Customarily Consumed (RACC) for seaweed (21 CFR Part 101.12</w:t>
      </w:r>
      <w:r w:rsidR="002D13BE">
        <w:t>,</w:t>
      </w:r>
      <w:r>
        <w:t xml:space="preserve"> Table 1). Similarly, Mouritsen (2013) recommends a daily intake of 5–10 grams of dried seaweed, and many research studies examining seaweed as a food ingredient use 5 grams as a standard serving size (Dawczynski et al., 2007; Monteiro et al., 2019).</w:t>
      </w:r>
    </w:p>
    <w:p w14:paraId="6C26EBB5" w14:textId="5D31F20F" w:rsidR="00303D03" w:rsidRDefault="00303D03" w:rsidP="00303D03">
      <w:r>
        <w:t>Serving sizes can vary based on product type—for example, spice blends or seasoning mixes use much less than whole dried sheets. For naturally high-iodine species, smaller serving sizes can help prevent excessive iodine intake.</w:t>
      </w:r>
    </w:p>
    <w:p w14:paraId="2C2D784A" w14:textId="77777777" w:rsidR="00303D03" w:rsidRDefault="00303D03" w:rsidP="00846B8F">
      <w:pPr>
        <w:pStyle w:val="Heading2"/>
        <w:numPr>
          <w:ilvl w:val="1"/>
          <w:numId w:val="145"/>
        </w:numPr>
      </w:pPr>
      <w:bookmarkStart w:id="158" w:name="_Toc208503242"/>
      <w:r>
        <w:t>Determining if the Hazard is Significant</w:t>
      </w:r>
      <w:bookmarkEnd w:id="158"/>
    </w:p>
    <w:p w14:paraId="676C7A55" w14:textId="709C76CA" w:rsidR="00303D03" w:rsidRDefault="00303D03" w:rsidP="00B64049">
      <w:pPr>
        <w:spacing w:before="240"/>
      </w:pPr>
      <w:r>
        <w:t>If iodine levels in a typical serving of seaweed product would exceed the UL of 1,100 µg/day, the seaweed operation should treat iodine as a significant hazard</w:t>
      </w:r>
      <w:r w:rsidR="00173FBA" w:rsidRPr="00173FBA">
        <w:t>—either “reasonably likely to occur” (HACCP) or “hazard requiring a preventive control” (PCHF)—</w:t>
      </w:r>
      <w:r>
        <w:t>and include control measures in the food safety plan.</w:t>
      </w:r>
    </w:p>
    <w:p w14:paraId="479E0BB6" w14:textId="77777777" w:rsidR="00303D03" w:rsidRDefault="00303D03" w:rsidP="00846B8F">
      <w:pPr>
        <w:pStyle w:val="Heading2"/>
        <w:numPr>
          <w:ilvl w:val="1"/>
          <w:numId w:val="145"/>
        </w:numPr>
      </w:pPr>
      <w:bookmarkStart w:id="159" w:name="_Toc208503243"/>
      <w:r>
        <w:t>Hazard Controls and Critical Control Points</w:t>
      </w:r>
      <w:bookmarkEnd w:id="159"/>
    </w:p>
    <w:p w14:paraId="586FDC3C" w14:textId="5C9A540D" w:rsidR="00303D03" w:rsidRPr="00303D03" w:rsidRDefault="00303D03" w:rsidP="00045395">
      <w:pPr>
        <w:spacing w:before="240"/>
      </w:pPr>
      <w:r>
        <w:t>The following control strategies provide guidance on designing effective measures to manage iodine when it is identified as a significant hazard</w:t>
      </w:r>
      <w:r w:rsidR="00173FBA" w:rsidRPr="00173FBA">
        <w:t>—either “reasonably likely to occur” (HACCP) or “hazard requiring a preventive control” (PCHF)—</w:t>
      </w:r>
      <w:r>
        <w:t>in your operation.</w:t>
      </w:r>
    </w:p>
    <w:p w14:paraId="6FB9CD02" w14:textId="3CF1BAD2" w:rsidR="00045395" w:rsidRDefault="00045395" w:rsidP="00C54E07">
      <w:pPr>
        <w:pStyle w:val="Caption"/>
      </w:pPr>
      <w:r w:rsidRPr="00E5110E">
        <w:t xml:space="preserve">Table </w:t>
      </w:r>
      <w:fldSimple w:instr=" STYLEREF 1 \s ">
        <w:r w:rsidR="00A042AD">
          <w:rPr>
            <w:noProof/>
          </w:rPr>
          <w:t>8</w:t>
        </w:r>
      </w:fldSimple>
      <w:r w:rsidR="00896F22" w:rsidRPr="00E5110E">
        <w:noBreakHyphen/>
      </w:r>
      <w:fldSimple w:instr=" SEQ Table \* ARABIC \s 1 ">
        <w:r w:rsidR="00A042AD">
          <w:rPr>
            <w:noProof/>
          </w:rPr>
          <w:t>1</w:t>
        </w:r>
      </w:fldSimple>
      <w:r w:rsidRPr="00E5110E">
        <w:t>:</w:t>
      </w:r>
      <w:r>
        <w:t xml:space="preserve"> </w:t>
      </w:r>
      <w:r w:rsidRPr="0026652B">
        <w:t>Control Strategies for Iodine in Seaweeds</w:t>
      </w:r>
    </w:p>
    <w:tbl>
      <w:tblPr>
        <w:tblStyle w:val="TableGrid"/>
        <w:tblW w:w="0" w:type="auto"/>
        <w:tblInd w:w="-5" w:type="dxa"/>
        <w:tblLook w:val="04A0" w:firstRow="1" w:lastRow="0" w:firstColumn="1" w:lastColumn="0" w:noHBand="0" w:noVBand="1"/>
      </w:tblPr>
      <w:tblGrid>
        <w:gridCol w:w="2460"/>
        <w:gridCol w:w="2460"/>
        <w:gridCol w:w="2460"/>
      </w:tblGrid>
      <w:tr w:rsidR="00303D03" w14:paraId="490C201E" w14:textId="77777777" w:rsidTr="0070468D">
        <w:trPr>
          <w:trHeight w:val="467"/>
        </w:trPr>
        <w:tc>
          <w:tcPr>
            <w:tcW w:w="2460" w:type="dxa"/>
            <w:vAlign w:val="bottom"/>
          </w:tcPr>
          <w:p w14:paraId="386FD1B6" w14:textId="77777777" w:rsidR="00303D03" w:rsidRPr="00EB199E" w:rsidRDefault="00303D03" w:rsidP="00DF5603">
            <w:pPr>
              <w:jc w:val="center"/>
              <w:rPr>
                <w:b/>
                <w:bCs/>
              </w:rPr>
            </w:pPr>
            <w:r w:rsidRPr="00EB199E">
              <w:rPr>
                <w:b/>
                <w:bCs/>
              </w:rPr>
              <w:t>Control Strategy</w:t>
            </w:r>
          </w:p>
        </w:tc>
        <w:tc>
          <w:tcPr>
            <w:tcW w:w="2460" w:type="dxa"/>
            <w:vAlign w:val="bottom"/>
          </w:tcPr>
          <w:p w14:paraId="34CCF9DA" w14:textId="06F4F89C" w:rsidR="00303D03" w:rsidRPr="00EB199E" w:rsidRDefault="00303D03" w:rsidP="00DF5603">
            <w:pPr>
              <w:jc w:val="center"/>
              <w:rPr>
                <w:b/>
                <w:bCs/>
              </w:rPr>
            </w:pPr>
            <w:r w:rsidRPr="00EB199E">
              <w:rPr>
                <w:b/>
                <w:bCs/>
              </w:rPr>
              <w:t>Primary</w:t>
            </w:r>
            <w:r>
              <w:rPr>
                <w:b/>
                <w:bCs/>
              </w:rPr>
              <w:t xml:space="preserve"> Processor</w:t>
            </w:r>
          </w:p>
        </w:tc>
        <w:tc>
          <w:tcPr>
            <w:tcW w:w="2460" w:type="dxa"/>
            <w:vAlign w:val="bottom"/>
          </w:tcPr>
          <w:p w14:paraId="3699E5A8" w14:textId="0E0A4E54" w:rsidR="00303D03" w:rsidRPr="00EB199E" w:rsidRDefault="00303D03" w:rsidP="00DF5603">
            <w:pPr>
              <w:jc w:val="center"/>
              <w:rPr>
                <w:b/>
                <w:bCs/>
              </w:rPr>
            </w:pPr>
            <w:r w:rsidRPr="00EB199E">
              <w:rPr>
                <w:b/>
                <w:bCs/>
              </w:rPr>
              <w:t>Secondary</w:t>
            </w:r>
            <w:r>
              <w:rPr>
                <w:b/>
                <w:bCs/>
              </w:rPr>
              <w:t xml:space="preserve"> Processor</w:t>
            </w:r>
          </w:p>
        </w:tc>
      </w:tr>
      <w:tr w:rsidR="00303D03" w14:paraId="4BFDF4C9" w14:textId="77777777" w:rsidTr="0070468D">
        <w:trPr>
          <w:trHeight w:val="521"/>
        </w:trPr>
        <w:tc>
          <w:tcPr>
            <w:tcW w:w="2460" w:type="dxa"/>
            <w:vAlign w:val="center"/>
          </w:tcPr>
          <w:p w14:paraId="713900AD" w14:textId="650E2296" w:rsidR="00303D03" w:rsidRDefault="00303D03" w:rsidP="00DF5603">
            <w:r>
              <w:t>Processing Control</w:t>
            </w:r>
          </w:p>
        </w:tc>
        <w:tc>
          <w:tcPr>
            <w:tcW w:w="2460" w:type="dxa"/>
            <w:vAlign w:val="center"/>
          </w:tcPr>
          <w:p w14:paraId="32DBEEA0" w14:textId="77777777" w:rsidR="00303D03" w:rsidRDefault="00303D03" w:rsidP="00DF5603">
            <w:pPr>
              <w:jc w:val="center"/>
            </w:pPr>
            <w:r w:rsidRPr="00587FA2">
              <w:rPr>
                <w:rFonts w:ascii="Wingdings" w:hAnsi="Wingdings" w:cs="Calibri"/>
                <w:b/>
                <w:bCs/>
              </w:rPr>
              <w:t>ü</w:t>
            </w:r>
          </w:p>
        </w:tc>
        <w:tc>
          <w:tcPr>
            <w:tcW w:w="2460" w:type="dxa"/>
            <w:vAlign w:val="center"/>
          </w:tcPr>
          <w:p w14:paraId="3A5E3AAE" w14:textId="24467B24" w:rsidR="00303D03" w:rsidRDefault="00303D03" w:rsidP="00DF5603">
            <w:pPr>
              <w:jc w:val="center"/>
            </w:pPr>
            <w:r w:rsidRPr="00587FA2">
              <w:rPr>
                <w:rFonts w:ascii="Wingdings" w:hAnsi="Wingdings" w:cs="Calibri"/>
                <w:b/>
                <w:bCs/>
              </w:rPr>
              <w:t>ü</w:t>
            </w:r>
          </w:p>
        </w:tc>
      </w:tr>
      <w:tr w:rsidR="00303D03" w14:paraId="705C81C2" w14:textId="77777777" w:rsidTr="0070468D">
        <w:trPr>
          <w:trHeight w:val="521"/>
        </w:trPr>
        <w:tc>
          <w:tcPr>
            <w:tcW w:w="2460" w:type="dxa"/>
            <w:vAlign w:val="center"/>
          </w:tcPr>
          <w:p w14:paraId="68A4991C" w14:textId="3EEEE18E" w:rsidR="00303D03" w:rsidRDefault="00303D03" w:rsidP="00DF5603">
            <w:r>
              <w:t>Labeling Control</w:t>
            </w:r>
          </w:p>
        </w:tc>
        <w:tc>
          <w:tcPr>
            <w:tcW w:w="2460" w:type="dxa"/>
            <w:vAlign w:val="center"/>
          </w:tcPr>
          <w:p w14:paraId="0D92BC10" w14:textId="77777777" w:rsidR="00303D03" w:rsidRDefault="00303D03" w:rsidP="00DF5603">
            <w:pPr>
              <w:jc w:val="center"/>
            </w:pPr>
            <w:r w:rsidRPr="00587FA2">
              <w:rPr>
                <w:rFonts w:ascii="Wingdings" w:hAnsi="Wingdings" w:cs="Calibri"/>
                <w:b/>
                <w:bCs/>
              </w:rPr>
              <w:t>ü</w:t>
            </w:r>
          </w:p>
        </w:tc>
        <w:tc>
          <w:tcPr>
            <w:tcW w:w="2460" w:type="dxa"/>
            <w:vAlign w:val="center"/>
          </w:tcPr>
          <w:p w14:paraId="51457313" w14:textId="1EE7236B" w:rsidR="00303D03" w:rsidRDefault="00303D03" w:rsidP="00DF5603">
            <w:pPr>
              <w:jc w:val="center"/>
            </w:pPr>
            <w:r w:rsidRPr="00587FA2">
              <w:rPr>
                <w:rFonts w:ascii="Wingdings" w:hAnsi="Wingdings" w:cs="Calibri"/>
                <w:b/>
                <w:bCs/>
              </w:rPr>
              <w:t>ü</w:t>
            </w:r>
          </w:p>
        </w:tc>
      </w:tr>
    </w:tbl>
    <w:p w14:paraId="29C65321" w14:textId="0C15F0C1" w:rsidR="00303D03" w:rsidRDefault="00EC24E7" w:rsidP="00691E23">
      <w:pPr>
        <w:pStyle w:val="Heading3"/>
      </w:pPr>
      <w:bookmarkStart w:id="160" w:name="_Toc208503244"/>
      <w:r>
        <w:lastRenderedPageBreak/>
        <w:t>Control Strategy 1 – Processing Control</w:t>
      </w:r>
      <w:bookmarkEnd w:id="160"/>
    </w:p>
    <w:p w14:paraId="76B34438" w14:textId="77777777" w:rsidR="00EC24E7" w:rsidRDefault="00EC24E7" w:rsidP="00691E23">
      <w:pPr>
        <w:pStyle w:val="Heading4"/>
      </w:pPr>
      <w:r>
        <w:t>Critical Limit(s)/Parameter(s) and Value(s)</w:t>
      </w:r>
    </w:p>
    <w:p w14:paraId="564D0FDA" w14:textId="0B0002DF" w:rsidR="00EC24E7" w:rsidRDefault="00EC24E7" w:rsidP="00846B8F">
      <w:pPr>
        <w:pStyle w:val="ListParagraph"/>
        <w:numPr>
          <w:ilvl w:val="0"/>
          <w:numId w:val="44"/>
        </w:numPr>
        <w:spacing w:before="240"/>
      </w:pPr>
      <w:r>
        <w:t>A validated study should be conducted or identified to support iodine reduction practices, including detailed treatment parameters such as time and temperature for methods like fresh or saltwater rinses, blanching, boiling, or steaming. Currently, no published, widely accepted validated studies for iodine reduction in seaweed are available.</w:t>
      </w:r>
    </w:p>
    <w:p w14:paraId="6566139B" w14:textId="77777777" w:rsidR="00EC24E7" w:rsidRDefault="00EC24E7" w:rsidP="00691E23">
      <w:pPr>
        <w:pStyle w:val="Heading4"/>
      </w:pPr>
      <w:r>
        <w:t>Monitoring – What, How, How Often, Who</w:t>
      </w:r>
    </w:p>
    <w:p w14:paraId="180B135A" w14:textId="77777777" w:rsidR="00EC24E7" w:rsidRDefault="00EC24E7" w:rsidP="00846B8F">
      <w:pPr>
        <w:pStyle w:val="ListParagraph"/>
        <w:numPr>
          <w:ilvl w:val="0"/>
          <w:numId w:val="44"/>
        </w:numPr>
        <w:spacing w:before="240"/>
        <w:contextualSpacing w:val="0"/>
      </w:pPr>
      <w:r>
        <w:t>What will be monitored?</w:t>
      </w:r>
    </w:p>
    <w:p w14:paraId="7BF228B3" w14:textId="092328E9" w:rsidR="00EC24E7" w:rsidRDefault="00EC24E7" w:rsidP="00846B8F">
      <w:pPr>
        <w:pStyle w:val="ListParagraph"/>
        <w:numPr>
          <w:ilvl w:val="1"/>
          <w:numId w:val="44"/>
        </w:numPr>
        <w:contextualSpacing w:val="0"/>
      </w:pPr>
      <w:r>
        <w:t>Process parameters (e.g., time and temperature)</w:t>
      </w:r>
    </w:p>
    <w:p w14:paraId="14106666" w14:textId="77777777" w:rsidR="00EC24E7" w:rsidRDefault="00EC24E7" w:rsidP="00846B8F">
      <w:pPr>
        <w:pStyle w:val="ListParagraph"/>
        <w:numPr>
          <w:ilvl w:val="0"/>
          <w:numId w:val="44"/>
        </w:numPr>
        <w:contextualSpacing w:val="0"/>
      </w:pPr>
      <w:r>
        <w:t>How will monitoring be done?</w:t>
      </w:r>
    </w:p>
    <w:p w14:paraId="543504D6" w14:textId="77777777" w:rsidR="00EC24E7" w:rsidRDefault="00EC24E7" w:rsidP="00846B8F">
      <w:pPr>
        <w:pStyle w:val="ListParagraph"/>
        <w:numPr>
          <w:ilvl w:val="1"/>
          <w:numId w:val="44"/>
        </w:numPr>
        <w:contextualSpacing w:val="0"/>
      </w:pPr>
      <w:r>
        <w:t>Time recording/measuring device and thermometer</w:t>
      </w:r>
    </w:p>
    <w:p w14:paraId="11075EE9" w14:textId="77777777" w:rsidR="00EC24E7" w:rsidRDefault="00EC24E7" w:rsidP="00846B8F">
      <w:pPr>
        <w:pStyle w:val="ListParagraph"/>
        <w:numPr>
          <w:ilvl w:val="0"/>
          <w:numId w:val="44"/>
        </w:numPr>
        <w:contextualSpacing w:val="0"/>
      </w:pPr>
      <w:r>
        <w:t>How often will monitoring be performed (frequency)?</w:t>
      </w:r>
    </w:p>
    <w:p w14:paraId="62D0C9F6" w14:textId="77777777" w:rsidR="00EC24E7" w:rsidRDefault="00EC24E7" w:rsidP="00846B8F">
      <w:pPr>
        <w:pStyle w:val="ListParagraph"/>
        <w:numPr>
          <w:ilvl w:val="1"/>
          <w:numId w:val="44"/>
        </w:numPr>
        <w:contextualSpacing w:val="0"/>
      </w:pPr>
      <w:r>
        <w:t>Every batch</w:t>
      </w:r>
    </w:p>
    <w:p w14:paraId="7EE0E0D8" w14:textId="77777777" w:rsidR="00EC24E7" w:rsidRDefault="00EC24E7" w:rsidP="00846B8F">
      <w:pPr>
        <w:pStyle w:val="ListParagraph"/>
        <w:numPr>
          <w:ilvl w:val="0"/>
          <w:numId w:val="44"/>
        </w:numPr>
        <w:contextualSpacing w:val="0"/>
      </w:pPr>
      <w:r>
        <w:t>Who will do monitoring?</w:t>
      </w:r>
    </w:p>
    <w:p w14:paraId="141EAFB0" w14:textId="578BE60F" w:rsidR="00EC24E7" w:rsidRDefault="00EC24E7" w:rsidP="00846B8F">
      <w:pPr>
        <w:pStyle w:val="ListParagraph"/>
        <w:numPr>
          <w:ilvl w:val="1"/>
          <w:numId w:val="44"/>
        </w:numPr>
        <w:contextualSpacing w:val="0"/>
      </w:pPr>
      <w:r>
        <w:t>An individual with an understanding of the control and trained to carry out the required monitoring procedures.</w:t>
      </w:r>
    </w:p>
    <w:p w14:paraId="7846B818" w14:textId="77777777" w:rsidR="00EC24E7" w:rsidRDefault="00EC24E7" w:rsidP="00691E23">
      <w:pPr>
        <w:pStyle w:val="Heading4"/>
      </w:pPr>
      <w:r>
        <w:t>Corrective Action/Corrections</w:t>
      </w:r>
    </w:p>
    <w:p w14:paraId="4C1163A9" w14:textId="77777777" w:rsidR="00EC24E7" w:rsidRDefault="00EC24E7" w:rsidP="00846B8F">
      <w:pPr>
        <w:pStyle w:val="ListParagraph"/>
        <w:numPr>
          <w:ilvl w:val="0"/>
          <w:numId w:val="45"/>
        </w:numPr>
        <w:spacing w:before="240"/>
        <w:contextualSpacing w:val="0"/>
      </w:pPr>
      <w:r>
        <w:t>If treatment time is not achieved, then wait until time is met.</w:t>
      </w:r>
    </w:p>
    <w:p w14:paraId="52291672" w14:textId="77777777" w:rsidR="00EC24E7" w:rsidRDefault="00EC24E7" w:rsidP="00846B8F">
      <w:pPr>
        <w:pStyle w:val="ListParagraph"/>
        <w:numPr>
          <w:ilvl w:val="0"/>
          <w:numId w:val="45"/>
        </w:numPr>
        <w:contextualSpacing w:val="0"/>
      </w:pPr>
      <w:r>
        <w:t xml:space="preserve">If the required temperature is not achieved, then; reprocess the product to meet the specified time and temperature parameters </w:t>
      </w:r>
      <w:r w:rsidRPr="00EC24E7">
        <w:rPr>
          <w:b/>
          <w:bCs/>
        </w:rPr>
        <w:t>OR</w:t>
      </w:r>
      <w:r>
        <w:t xml:space="preserve"> discard the product.</w:t>
      </w:r>
    </w:p>
    <w:p w14:paraId="0D4EFB45" w14:textId="77777777" w:rsidR="00EC24E7" w:rsidRDefault="00EC24E7" w:rsidP="00EC24E7">
      <w:r w:rsidRPr="00EC24E7">
        <w:rPr>
          <w:b/>
          <w:bCs/>
        </w:rPr>
        <w:t>AND</w:t>
      </w:r>
      <w:r>
        <w:t xml:space="preserve"> address the root cause to prevent future occurrence. </w:t>
      </w:r>
    </w:p>
    <w:p w14:paraId="2A0A301A" w14:textId="404E20F3" w:rsidR="00EC24E7" w:rsidRDefault="00EC24E7" w:rsidP="00846B8F">
      <w:pPr>
        <w:pStyle w:val="ListParagraph"/>
        <w:numPr>
          <w:ilvl w:val="0"/>
          <w:numId w:val="45"/>
        </w:numPr>
        <w:contextualSpacing w:val="0"/>
      </w:pPr>
      <w:r>
        <w:t>Assess and address the root cause of the deviation to prevent future deviations (For example: Repair/Replace equipment, calibrate temperature reading device, retrain staff, etc.).</w:t>
      </w:r>
    </w:p>
    <w:p w14:paraId="63E42B76" w14:textId="77777777" w:rsidR="00EC24E7" w:rsidRDefault="00EC24E7" w:rsidP="00691E23">
      <w:pPr>
        <w:pStyle w:val="Heading4"/>
      </w:pPr>
      <w:r>
        <w:lastRenderedPageBreak/>
        <w:t>Verification</w:t>
      </w:r>
    </w:p>
    <w:p w14:paraId="43643BC9" w14:textId="77777777" w:rsidR="00EC24E7" w:rsidRDefault="00EC24E7" w:rsidP="00846B8F">
      <w:pPr>
        <w:pStyle w:val="ListParagraph"/>
        <w:numPr>
          <w:ilvl w:val="0"/>
          <w:numId w:val="45"/>
        </w:numPr>
        <w:spacing w:before="240"/>
        <w:contextualSpacing w:val="0"/>
      </w:pPr>
      <w:r>
        <w:t>Validation study to determine effective processes for achieving desired iodine reduction. Equipment accuracy checks and calibration as needed.</w:t>
      </w:r>
    </w:p>
    <w:p w14:paraId="775679C3" w14:textId="1A7ADCB0" w:rsidR="00EC24E7" w:rsidRDefault="00EC24E7" w:rsidP="00846B8F">
      <w:pPr>
        <w:pStyle w:val="ListParagraph"/>
        <w:numPr>
          <w:ilvl w:val="0"/>
          <w:numId w:val="45"/>
        </w:numPr>
        <w:contextualSpacing w:val="0"/>
      </w:pPr>
      <w:r>
        <w:t>Periodic testing to verify iodine reduction and iodine concentrations.</w:t>
      </w:r>
    </w:p>
    <w:p w14:paraId="4B8A35AF" w14:textId="7670FDD6" w:rsidR="00EC24E7" w:rsidRDefault="00EC24E7" w:rsidP="00846B8F">
      <w:pPr>
        <w:pStyle w:val="ListParagraph"/>
        <w:numPr>
          <w:ilvl w:val="0"/>
          <w:numId w:val="45"/>
        </w:numPr>
        <w:contextualSpacing w:val="0"/>
      </w:pPr>
      <w:r>
        <w:t>Review or monitoring and corrective action records within one week of preparation to ensure they were completed appropriately.</w:t>
      </w:r>
    </w:p>
    <w:p w14:paraId="103A608E" w14:textId="77777777" w:rsidR="00EC24E7" w:rsidRDefault="00EC24E7" w:rsidP="00EC24E7">
      <w:r w:rsidRPr="00EC24E7">
        <w:rPr>
          <w:b/>
          <w:bCs/>
        </w:rPr>
        <w:t>NOTE:</w:t>
      </w:r>
      <w:r>
        <w:t xml:space="preserve"> If processing is not reducing iodine concentrations to the upper tolerable limit of 1,100 µg or below, then additional labeling controls should also be considered.</w:t>
      </w:r>
    </w:p>
    <w:p w14:paraId="2A96E33B" w14:textId="77777777" w:rsidR="00EC24E7" w:rsidRDefault="00EC24E7" w:rsidP="00691E23">
      <w:pPr>
        <w:pStyle w:val="Heading4"/>
      </w:pPr>
      <w:r>
        <w:t>Records</w:t>
      </w:r>
    </w:p>
    <w:p w14:paraId="79981862" w14:textId="2B33AF05" w:rsidR="00EC24E7" w:rsidRDefault="00EC24E7" w:rsidP="00846B8F">
      <w:pPr>
        <w:pStyle w:val="ListParagraph"/>
        <w:numPr>
          <w:ilvl w:val="0"/>
          <w:numId w:val="46"/>
        </w:numPr>
        <w:spacing w:before="240"/>
        <w:contextualSpacing w:val="0"/>
      </w:pPr>
      <w:r w:rsidRPr="00EC24E7">
        <w:rPr>
          <w:b/>
          <w:bCs/>
        </w:rPr>
        <w:t>Monitoring Records:</w:t>
      </w:r>
      <w:r>
        <w:t xml:space="preserve"> Such as a processing log including all necessary parameters outlined in validated study, such as time and temperature for blanching, steaming or soaking the product.</w:t>
      </w:r>
    </w:p>
    <w:p w14:paraId="5AEC7284" w14:textId="30BBAEF5" w:rsidR="00EC24E7" w:rsidRDefault="00EC24E7" w:rsidP="00846B8F">
      <w:pPr>
        <w:pStyle w:val="ListParagraph"/>
        <w:numPr>
          <w:ilvl w:val="0"/>
          <w:numId w:val="46"/>
        </w:numPr>
        <w:contextualSpacing w:val="0"/>
      </w:pPr>
      <w:r w:rsidRPr="00EC24E7">
        <w:rPr>
          <w:b/>
          <w:bCs/>
        </w:rPr>
        <w:t>Corrective Action Records:</w:t>
      </w:r>
      <w:r>
        <w:t xml:space="preserve"> Any records indicating what was done to address potential deviations from parameters, values, or critical limits.</w:t>
      </w:r>
    </w:p>
    <w:p w14:paraId="3BF2292A" w14:textId="77777777" w:rsidR="00EC24E7" w:rsidRDefault="00EC24E7" w:rsidP="00846B8F">
      <w:pPr>
        <w:pStyle w:val="ListParagraph"/>
        <w:numPr>
          <w:ilvl w:val="0"/>
          <w:numId w:val="46"/>
        </w:numPr>
        <w:contextualSpacing w:val="0"/>
      </w:pPr>
      <w:r w:rsidRPr="00EC24E7">
        <w:rPr>
          <w:b/>
          <w:bCs/>
        </w:rPr>
        <w:t>Verification Records:</w:t>
      </w:r>
      <w:r>
        <w:t xml:space="preserve"> Including a validated study indicating methods for desired iodine reduction and periodic testing results of iodine concentrations in treated products. Records of equipment accuracy checks and/or calibration as needed.</w:t>
      </w:r>
    </w:p>
    <w:p w14:paraId="542209B9" w14:textId="78CE1E44" w:rsidR="00EC24E7" w:rsidRDefault="00EC24E7" w:rsidP="00846B8F">
      <w:pPr>
        <w:pStyle w:val="ListParagraph"/>
        <w:numPr>
          <w:ilvl w:val="0"/>
          <w:numId w:val="46"/>
        </w:numPr>
        <w:contextualSpacing w:val="0"/>
      </w:pPr>
      <w:r w:rsidRPr="00EC24E7">
        <w:rPr>
          <w:b/>
          <w:bCs/>
        </w:rPr>
        <w:t>Recall Plan:</w:t>
      </w:r>
      <w:r>
        <w:t xml:space="preserve"> A written recall plan is required for any products with significant hazards if regulated under preventive controls for human foods.</w:t>
      </w:r>
    </w:p>
    <w:p w14:paraId="32ED62BA" w14:textId="77777777" w:rsidR="00EF55DB" w:rsidRDefault="00EC24E7" w:rsidP="00846B8F">
      <w:pPr>
        <w:pStyle w:val="ListParagraph"/>
        <w:numPr>
          <w:ilvl w:val="0"/>
          <w:numId w:val="46"/>
        </w:numPr>
        <w:contextualSpacing w:val="0"/>
        <w:sectPr w:rsidR="00EF55DB" w:rsidSect="00EF55DB">
          <w:pgSz w:w="12240" w:h="15840"/>
          <w:pgMar w:top="1440" w:right="1440" w:bottom="1440" w:left="1440" w:header="720" w:footer="720" w:gutter="0"/>
          <w:pgNumType w:start="1" w:chapStyle="1"/>
          <w:cols w:space="720"/>
          <w:docGrid w:linePitch="360"/>
        </w:sectPr>
      </w:pPr>
      <w:r w:rsidRPr="00EC24E7">
        <w:rPr>
          <w:b/>
          <w:bCs/>
        </w:rPr>
        <w:t>Training Records:</w:t>
      </w:r>
      <w:r>
        <w:t xml:space="preserve"> Training records for the preventive controls qualified individual (PCQI) must be maintained if regulated under preventive controls for human foods. While the HACCP rule requires a HACCP trained individual, records of that training are not explicitly required (federally, may vary by state).</w:t>
      </w:r>
    </w:p>
    <w:p w14:paraId="57BB4408" w14:textId="70744DD0" w:rsidR="00EF55DB" w:rsidRDefault="00EF55DB" w:rsidP="00691E23">
      <w:pPr>
        <w:pStyle w:val="Heading4"/>
      </w:pPr>
      <w:r>
        <w:lastRenderedPageBreak/>
        <w:t xml:space="preserve">Example </w:t>
      </w:r>
      <w:r w:rsidR="00D749A3">
        <w:t>HACCP/</w:t>
      </w:r>
      <w:r>
        <w:t>Food Safety Plan for Processing Control</w:t>
      </w:r>
    </w:p>
    <w:p w14:paraId="1008DF70" w14:textId="5A3D1DA2" w:rsidR="00EF55DB" w:rsidRDefault="00EF55DB" w:rsidP="00EF55DB">
      <w:pPr>
        <w:ind w:left="-810"/>
      </w:pPr>
      <w:r w:rsidRPr="00EF55DB">
        <w:t xml:space="preserve">Below is an example showing what a food safety plan could look like. It is intended for illustrative purposes only. Each producer must develop a plan tailored to their unique products, production and processing methods, and regulatory requirements. </w:t>
      </w:r>
      <w:r w:rsidRPr="00EF55DB">
        <w:rPr>
          <w:b/>
          <w:bCs/>
        </w:rPr>
        <w:t>This example should not be copied and used without modification to fit your specific operation.</w:t>
      </w:r>
    </w:p>
    <w:p w14:paraId="65FFFD45" w14:textId="74A1B1DD" w:rsidR="00EF55DB" w:rsidRDefault="00EF55DB" w:rsidP="00EF55DB">
      <w:pPr>
        <w:ind w:left="-810"/>
        <w:contextualSpacing/>
      </w:pPr>
      <w:r w:rsidRPr="00EF55DB">
        <w:rPr>
          <w:b/>
          <w:bCs/>
        </w:rPr>
        <w:t>Control Strategy:</w:t>
      </w:r>
      <w:r>
        <w:t xml:space="preserve"> Processing Control</w:t>
      </w:r>
    </w:p>
    <w:p w14:paraId="28A42F1D" w14:textId="1AD3896A" w:rsidR="00EF55DB" w:rsidRDefault="00EF55DB" w:rsidP="00EF55DB">
      <w:pPr>
        <w:ind w:left="-810"/>
        <w:contextualSpacing/>
      </w:pPr>
      <w:r>
        <w:rPr>
          <w:b/>
          <w:bCs/>
        </w:rPr>
        <w:t>Process Preventive Control Step:</w:t>
      </w:r>
      <w:r>
        <w:t xml:space="preserve"> Blanch Step</w:t>
      </w:r>
    </w:p>
    <w:p w14:paraId="3DB0265B" w14:textId="20C2A9FB" w:rsidR="00EF55DB" w:rsidRPr="00AD559E" w:rsidRDefault="00EF55DB" w:rsidP="00EF55DB">
      <w:pPr>
        <w:ind w:left="-810"/>
        <w:contextualSpacing/>
      </w:pPr>
      <w:r w:rsidRPr="00AD559E">
        <w:rPr>
          <w:b/>
          <w:bCs/>
        </w:rPr>
        <w:t>Hazard:</w:t>
      </w:r>
      <w:r>
        <w:t xml:space="preserve"> Iodine</w:t>
      </w:r>
    </w:p>
    <w:tbl>
      <w:tblPr>
        <w:tblStyle w:val="TableGrid"/>
        <w:tblW w:w="14670" w:type="dxa"/>
        <w:tblInd w:w="-81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tblCellMar>
        <w:tblLook w:val="04A0" w:firstRow="1" w:lastRow="0" w:firstColumn="1" w:lastColumn="0" w:noHBand="0" w:noVBand="1"/>
        <w:tblCaption w:val="Example HACCP/Food Safety Plan for Processing Control: Iodine"/>
        <w:tblDescription w:val="Column Headers: Parameters/Values/Critical Limits, Monitoring (What/How/When/Who as subheader columns within), Corrective Action, Verification, Records."/>
      </w:tblPr>
      <w:tblGrid>
        <w:gridCol w:w="2340"/>
        <w:gridCol w:w="1417"/>
        <w:gridCol w:w="1463"/>
        <w:gridCol w:w="1372"/>
        <w:gridCol w:w="1418"/>
        <w:gridCol w:w="2220"/>
        <w:gridCol w:w="2220"/>
        <w:gridCol w:w="2220"/>
      </w:tblGrid>
      <w:tr w:rsidR="00A66C59" w14:paraId="69B90EAC" w14:textId="77777777" w:rsidTr="00A61B74">
        <w:trPr>
          <w:trHeight w:val="390"/>
        </w:trPr>
        <w:tc>
          <w:tcPr>
            <w:tcW w:w="2340" w:type="dxa"/>
            <w:vMerge w:val="restart"/>
            <w:shd w:val="clear" w:color="auto" w:fill="D1D1D1" w:themeFill="background2" w:themeFillShade="E6"/>
          </w:tcPr>
          <w:p w14:paraId="29BC3B17" w14:textId="77777777" w:rsidR="00EF55DB" w:rsidRPr="0001662C" w:rsidRDefault="00EF55DB" w:rsidP="00DF5603">
            <w:pPr>
              <w:jc w:val="center"/>
              <w:rPr>
                <w:b/>
                <w:bCs/>
              </w:rPr>
            </w:pPr>
            <w:r w:rsidRPr="0001662C">
              <w:rPr>
                <w:b/>
                <w:bCs/>
              </w:rPr>
              <w:t>Parameters, Values, Critical Limits</w:t>
            </w:r>
          </w:p>
        </w:tc>
        <w:tc>
          <w:tcPr>
            <w:tcW w:w="5670" w:type="dxa"/>
            <w:gridSpan w:val="4"/>
            <w:shd w:val="clear" w:color="auto" w:fill="D1D1D1" w:themeFill="background2" w:themeFillShade="E6"/>
          </w:tcPr>
          <w:p w14:paraId="3533A684" w14:textId="77777777" w:rsidR="00EF55DB" w:rsidRPr="0001662C" w:rsidRDefault="00EF55DB" w:rsidP="00DF5603">
            <w:pPr>
              <w:jc w:val="center"/>
              <w:rPr>
                <w:b/>
                <w:bCs/>
              </w:rPr>
            </w:pPr>
            <w:r w:rsidRPr="0001662C">
              <w:rPr>
                <w:b/>
                <w:bCs/>
              </w:rPr>
              <w:t>Monitoring</w:t>
            </w:r>
          </w:p>
        </w:tc>
        <w:tc>
          <w:tcPr>
            <w:tcW w:w="2220" w:type="dxa"/>
            <w:vMerge w:val="restart"/>
            <w:shd w:val="clear" w:color="auto" w:fill="D1D1D1" w:themeFill="background2" w:themeFillShade="E6"/>
          </w:tcPr>
          <w:p w14:paraId="1987E288" w14:textId="77777777" w:rsidR="00EF55DB" w:rsidRPr="0001662C" w:rsidRDefault="00EF55DB" w:rsidP="00DF5603">
            <w:pPr>
              <w:jc w:val="center"/>
              <w:rPr>
                <w:b/>
                <w:bCs/>
              </w:rPr>
            </w:pPr>
            <w:r w:rsidRPr="0001662C">
              <w:rPr>
                <w:b/>
                <w:bCs/>
              </w:rPr>
              <w:t>Corrective Action</w:t>
            </w:r>
          </w:p>
        </w:tc>
        <w:tc>
          <w:tcPr>
            <w:tcW w:w="2220" w:type="dxa"/>
            <w:vMerge w:val="restart"/>
            <w:shd w:val="clear" w:color="auto" w:fill="D1D1D1" w:themeFill="background2" w:themeFillShade="E6"/>
          </w:tcPr>
          <w:p w14:paraId="0D0A4750" w14:textId="77777777" w:rsidR="00EF55DB" w:rsidRPr="0001662C" w:rsidRDefault="00EF55DB" w:rsidP="00DF5603">
            <w:pPr>
              <w:jc w:val="center"/>
              <w:rPr>
                <w:b/>
                <w:bCs/>
              </w:rPr>
            </w:pPr>
            <w:r w:rsidRPr="0001662C">
              <w:rPr>
                <w:b/>
                <w:bCs/>
              </w:rPr>
              <w:t>Verification</w:t>
            </w:r>
          </w:p>
        </w:tc>
        <w:tc>
          <w:tcPr>
            <w:tcW w:w="2220" w:type="dxa"/>
            <w:vMerge w:val="restart"/>
            <w:shd w:val="clear" w:color="auto" w:fill="D1D1D1" w:themeFill="background2" w:themeFillShade="E6"/>
          </w:tcPr>
          <w:p w14:paraId="5E5E7B9D" w14:textId="77777777" w:rsidR="00EF55DB" w:rsidRPr="0001662C" w:rsidRDefault="00EF55DB" w:rsidP="00DF5603">
            <w:pPr>
              <w:jc w:val="center"/>
              <w:rPr>
                <w:b/>
                <w:bCs/>
              </w:rPr>
            </w:pPr>
            <w:r w:rsidRPr="0001662C">
              <w:rPr>
                <w:b/>
                <w:bCs/>
              </w:rPr>
              <w:t>Records</w:t>
            </w:r>
          </w:p>
        </w:tc>
      </w:tr>
      <w:tr w:rsidR="00A66C59" w14:paraId="62E2ED78" w14:textId="77777777" w:rsidTr="00A61B74">
        <w:trPr>
          <w:trHeight w:val="20"/>
        </w:trPr>
        <w:tc>
          <w:tcPr>
            <w:tcW w:w="2340" w:type="dxa"/>
            <w:vMerge/>
          </w:tcPr>
          <w:p w14:paraId="7B74D81D" w14:textId="77777777" w:rsidR="00EF55DB" w:rsidRPr="0001662C" w:rsidRDefault="00EF55DB" w:rsidP="00DF5603">
            <w:pPr>
              <w:rPr>
                <w:b/>
                <w:bCs/>
              </w:rPr>
            </w:pPr>
          </w:p>
        </w:tc>
        <w:tc>
          <w:tcPr>
            <w:tcW w:w="1417" w:type="dxa"/>
            <w:shd w:val="clear" w:color="auto" w:fill="D1D1D1" w:themeFill="background2" w:themeFillShade="E6"/>
          </w:tcPr>
          <w:p w14:paraId="4C93C57F" w14:textId="77777777" w:rsidR="00EF55DB" w:rsidRPr="0001662C" w:rsidRDefault="00EF55DB" w:rsidP="00DF5603">
            <w:pPr>
              <w:jc w:val="center"/>
              <w:rPr>
                <w:b/>
                <w:bCs/>
              </w:rPr>
            </w:pPr>
            <w:r w:rsidRPr="0001662C">
              <w:rPr>
                <w:b/>
                <w:bCs/>
              </w:rPr>
              <w:t>What</w:t>
            </w:r>
          </w:p>
        </w:tc>
        <w:tc>
          <w:tcPr>
            <w:tcW w:w="1463" w:type="dxa"/>
            <w:shd w:val="clear" w:color="auto" w:fill="D1D1D1" w:themeFill="background2" w:themeFillShade="E6"/>
          </w:tcPr>
          <w:p w14:paraId="5C0C87CE" w14:textId="77777777" w:rsidR="00EF55DB" w:rsidRPr="0001662C" w:rsidRDefault="00EF55DB" w:rsidP="00DF5603">
            <w:pPr>
              <w:jc w:val="center"/>
              <w:rPr>
                <w:b/>
                <w:bCs/>
              </w:rPr>
            </w:pPr>
            <w:r w:rsidRPr="0001662C">
              <w:rPr>
                <w:b/>
                <w:bCs/>
              </w:rPr>
              <w:t>How</w:t>
            </w:r>
          </w:p>
        </w:tc>
        <w:tc>
          <w:tcPr>
            <w:tcW w:w="1372" w:type="dxa"/>
            <w:shd w:val="clear" w:color="auto" w:fill="D1D1D1" w:themeFill="background2" w:themeFillShade="E6"/>
          </w:tcPr>
          <w:p w14:paraId="67C2CE8A" w14:textId="77777777" w:rsidR="00EF55DB" w:rsidRPr="0001662C" w:rsidRDefault="00EF55DB" w:rsidP="00DF5603">
            <w:pPr>
              <w:jc w:val="center"/>
              <w:rPr>
                <w:b/>
                <w:bCs/>
              </w:rPr>
            </w:pPr>
            <w:r w:rsidRPr="0001662C">
              <w:rPr>
                <w:b/>
                <w:bCs/>
              </w:rPr>
              <w:t>When</w:t>
            </w:r>
          </w:p>
        </w:tc>
        <w:tc>
          <w:tcPr>
            <w:tcW w:w="1418" w:type="dxa"/>
            <w:shd w:val="clear" w:color="auto" w:fill="D1D1D1" w:themeFill="background2" w:themeFillShade="E6"/>
          </w:tcPr>
          <w:p w14:paraId="377A62C5" w14:textId="77777777" w:rsidR="00EF55DB" w:rsidRPr="0001662C" w:rsidRDefault="00EF55DB" w:rsidP="00DF5603">
            <w:pPr>
              <w:jc w:val="center"/>
              <w:rPr>
                <w:b/>
                <w:bCs/>
              </w:rPr>
            </w:pPr>
            <w:r w:rsidRPr="0001662C">
              <w:rPr>
                <w:b/>
                <w:bCs/>
              </w:rPr>
              <w:t>Who</w:t>
            </w:r>
          </w:p>
        </w:tc>
        <w:tc>
          <w:tcPr>
            <w:tcW w:w="2220" w:type="dxa"/>
            <w:vMerge/>
          </w:tcPr>
          <w:p w14:paraId="6D2BE2D9" w14:textId="77777777" w:rsidR="00EF55DB" w:rsidRDefault="00EF55DB" w:rsidP="00DF5603"/>
        </w:tc>
        <w:tc>
          <w:tcPr>
            <w:tcW w:w="2220" w:type="dxa"/>
            <w:vMerge/>
          </w:tcPr>
          <w:p w14:paraId="47AAA361" w14:textId="77777777" w:rsidR="00EF55DB" w:rsidRDefault="00EF55DB" w:rsidP="00DF5603"/>
        </w:tc>
        <w:tc>
          <w:tcPr>
            <w:tcW w:w="2220" w:type="dxa"/>
            <w:vMerge/>
          </w:tcPr>
          <w:p w14:paraId="784AA683" w14:textId="77777777" w:rsidR="00EF55DB" w:rsidRDefault="00EF55DB" w:rsidP="00DF5603"/>
        </w:tc>
      </w:tr>
      <w:tr w:rsidR="00EF55DB" w14:paraId="741542C9" w14:textId="77777777" w:rsidTr="00A61B74">
        <w:trPr>
          <w:trHeight w:val="4989"/>
        </w:trPr>
        <w:tc>
          <w:tcPr>
            <w:tcW w:w="2340" w:type="dxa"/>
          </w:tcPr>
          <w:p w14:paraId="3D4E3BFB" w14:textId="77777777" w:rsidR="00EF55DB" w:rsidRPr="00EF55DB" w:rsidRDefault="00EF55DB" w:rsidP="00A66C59">
            <w:pPr>
              <w:spacing w:before="240"/>
              <w:rPr>
                <w:sz w:val="22"/>
                <w:szCs w:val="22"/>
              </w:rPr>
            </w:pPr>
            <w:r w:rsidRPr="00EF55DB">
              <w:rPr>
                <w:sz w:val="22"/>
                <w:szCs w:val="22"/>
              </w:rPr>
              <w:t>120 second treatment time</w:t>
            </w:r>
          </w:p>
          <w:p w14:paraId="7D5FCEDE" w14:textId="10282430" w:rsidR="00EF55DB" w:rsidRPr="00EF55DB" w:rsidRDefault="00EF55DB" w:rsidP="00A66C59">
            <w:pPr>
              <w:spacing w:before="240"/>
              <w:rPr>
                <w:sz w:val="22"/>
                <w:szCs w:val="22"/>
              </w:rPr>
            </w:pPr>
            <w:r w:rsidRPr="00EF55DB">
              <w:rPr>
                <w:sz w:val="22"/>
                <w:szCs w:val="22"/>
              </w:rPr>
              <w:t xml:space="preserve">113°F (45°C) </w:t>
            </w:r>
            <w:r w:rsidR="00A66C59">
              <w:rPr>
                <w:sz w:val="22"/>
                <w:szCs w:val="22"/>
              </w:rPr>
              <w:t>f</w:t>
            </w:r>
            <w:r w:rsidRPr="00EF55DB">
              <w:rPr>
                <w:sz w:val="22"/>
                <w:szCs w:val="22"/>
              </w:rPr>
              <w:t>reshwater</w:t>
            </w:r>
          </w:p>
          <w:p w14:paraId="5F900DD0" w14:textId="77777777" w:rsidR="00EF55DB" w:rsidRPr="00EF55DB" w:rsidRDefault="00EF55DB" w:rsidP="00A66C59">
            <w:pPr>
              <w:spacing w:before="240"/>
              <w:rPr>
                <w:sz w:val="22"/>
                <w:szCs w:val="22"/>
              </w:rPr>
            </w:pPr>
            <w:r w:rsidRPr="00EF55DB">
              <w:rPr>
                <w:sz w:val="22"/>
                <w:szCs w:val="22"/>
              </w:rPr>
              <w:t>1 kg kelp / 5L freshwater</w:t>
            </w:r>
          </w:p>
          <w:p w14:paraId="36BCF46E" w14:textId="346EC572" w:rsidR="00EF55DB" w:rsidRPr="00677CAA" w:rsidRDefault="00EF55DB" w:rsidP="00A66C59">
            <w:pPr>
              <w:spacing w:before="240"/>
              <w:rPr>
                <w:sz w:val="22"/>
                <w:szCs w:val="22"/>
              </w:rPr>
            </w:pPr>
            <w:r w:rsidRPr="00EF55DB">
              <w:rPr>
                <w:sz w:val="22"/>
                <w:szCs w:val="22"/>
              </w:rPr>
              <w:t>(Nielsen et al. 2022)</w:t>
            </w:r>
          </w:p>
        </w:tc>
        <w:tc>
          <w:tcPr>
            <w:tcW w:w="1417" w:type="dxa"/>
          </w:tcPr>
          <w:p w14:paraId="6B45CB20" w14:textId="6F0102E0" w:rsidR="00A66C59" w:rsidRPr="00A66C59" w:rsidRDefault="00A66C59" w:rsidP="00A66C59">
            <w:pPr>
              <w:spacing w:before="240"/>
              <w:rPr>
                <w:sz w:val="22"/>
                <w:szCs w:val="22"/>
              </w:rPr>
            </w:pPr>
            <w:r w:rsidRPr="00A66C59">
              <w:rPr>
                <w:sz w:val="22"/>
                <w:szCs w:val="22"/>
              </w:rPr>
              <w:t>Time</w:t>
            </w:r>
          </w:p>
          <w:p w14:paraId="6F8E72FF" w14:textId="785FE847" w:rsidR="00A66C59" w:rsidRPr="00A66C59" w:rsidRDefault="00A66C59" w:rsidP="00A66C59">
            <w:pPr>
              <w:spacing w:before="240"/>
              <w:rPr>
                <w:sz w:val="22"/>
                <w:szCs w:val="22"/>
              </w:rPr>
            </w:pPr>
            <w:r w:rsidRPr="00A66C59">
              <w:rPr>
                <w:sz w:val="22"/>
                <w:szCs w:val="22"/>
              </w:rPr>
              <w:t>Temp</w:t>
            </w:r>
            <w:r>
              <w:rPr>
                <w:sz w:val="22"/>
                <w:szCs w:val="22"/>
              </w:rPr>
              <w:t>erature</w:t>
            </w:r>
          </w:p>
          <w:p w14:paraId="09F9DFA7" w14:textId="46DEA1E3" w:rsidR="00EF55DB" w:rsidRPr="00677CAA" w:rsidRDefault="00A66C59" w:rsidP="00A66C59">
            <w:pPr>
              <w:spacing w:before="240"/>
              <w:rPr>
                <w:sz w:val="22"/>
                <w:szCs w:val="22"/>
              </w:rPr>
            </w:pPr>
            <w:r w:rsidRPr="00A66C59">
              <w:rPr>
                <w:sz w:val="22"/>
                <w:szCs w:val="22"/>
              </w:rPr>
              <w:t>Weight / Volume</w:t>
            </w:r>
          </w:p>
        </w:tc>
        <w:tc>
          <w:tcPr>
            <w:tcW w:w="1463" w:type="dxa"/>
          </w:tcPr>
          <w:p w14:paraId="74B86529" w14:textId="77777777" w:rsidR="00A66C59" w:rsidRPr="00A66C59" w:rsidRDefault="00A66C59" w:rsidP="00A66C59">
            <w:pPr>
              <w:spacing w:before="240"/>
              <w:rPr>
                <w:sz w:val="22"/>
                <w:szCs w:val="22"/>
              </w:rPr>
            </w:pPr>
            <w:r w:rsidRPr="00A66C59">
              <w:rPr>
                <w:sz w:val="22"/>
                <w:szCs w:val="22"/>
              </w:rPr>
              <w:t>Watch</w:t>
            </w:r>
          </w:p>
          <w:p w14:paraId="610DCA42" w14:textId="77777777" w:rsidR="00A66C59" w:rsidRPr="00A66C59" w:rsidRDefault="00A66C59" w:rsidP="00A66C59">
            <w:pPr>
              <w:spacing w:before="240"/>
              <w:rPr>
                <w:sz w:val="22"/>
                <w:szCs w:val="22"/>
              </w:rPr>
            </w:pPr>
            <w:r w:rsidRPr="00A66C59">
              <w:rPr>
                <w:sz w:val="22"/>
                <w:szCs w:val="22"/>
              </w:rPr>
              <w:t>Thermometer</w:t>
            </w:r>
          </w:p>
          <w:p w14:paraId="5205CC47" w14:textId="69152343" w:rsidR="00EF55DB" w:rsidRPr="00677CAA" w:rsidRDefault="00A66C59" w:rsidP="00A66C59">
            <w:pPr>
              <w:spacing w:before="240"/>
              <w:rPr>
                <w:sz w:val="22"/>
                <w:szCs w:val="22"/>
              </w:rPr>
            </w:pPr>
            <w:r w:rsidRPr="00A66C59">
              <w:rPr>
                <w:sz w:val="22"/>
                <w:szCs w:val="22"/>
              </w:rPr>
              <w:t>Scale / measuring device</w:t>
            </w:r>
          </w:p>
        </w:tc>
        <w:tc>
          <w:tcPr>
            <w:tcW w:w="1372" w:type="dxa"/>
          </w:tcPr>
          <w:p w14:paraId="437AABFD" w14:textId="714891F0" w:rsidR="00EF55DB" w:rsidRPr="00677CAA" w:rsidRDefault="00A66C59" w:rsidP="00A66C59">
            <w:pPr>
              <w:spacing w:before="240"/>
              <w:rPr>
                <w:sz w:val="22"/>
                <w:szCs w:val="22"/>
              </w:rPr>
            </w:pPr>
            <w:r>
              <w:rPr>
                <w:sz w:val="22"/>
                <w:szCs w:val="22"/>
              </w:rPr>
              <w:t>Every batch.</w:t>
            </w:r>
          </w:p>
        </w:tc>
        <w:tc>
          <w:tcPr>
            <w:tcW w:w="1418" w:type="dxa"/>
          </w:tcPr>
          <w:p w14:paraId="5424EDD6" w14:textId="36B54D16" w:rsidR="00EF55DB" w:rsidRPr="00677CAA" w:rsidRDefault="00A66C59" w:rsidP="00A66C59">
            <w:pPr>
              <w:spacing w:before="240"/>
              <w:rPr>
                <w:sz w:val="22"/>
                <w:szCs w:val="22"/>
              </w:rPr>
            </w:pPr>
            <w:r>
              <w:rPr>
                <w:sz w:val="22"/>
                <w:szCs w:val="22"/>
              </w:rPr>
              <w:t>Line Cook</w:t>
            </w:r>
          </w:p>
        </w:tc>
        <w:tc>
          <w:tcPr>
            <w:tcW w:w="2220" w:type="dxa"/>
          </w:tcPr>
          <w:p w14:paraId="47AEA732" w14:textId="77777777" w:rsidR="0020794B" w:rsidRDefault="00A66C59" w:rsidP="00A66C59">
            <w:pPr>
              <w:spacing w:before="240"/>
              <w:rPr>
                <w:sz w:val="22"/>
                <w:szCs w:val="22"/>
              </w:rPr>
            </w:pPr>
            <w:r w:rsidRPr="00A66C59">
              <w:rPr>
                <w:sz w:val="22"/>
                <w:szCs w:val="22"/>
              </w:rPr>
              <w:t xml:space="preserve">If water temperature is not achieved, then the product will be re-treated to achieve the proper blanch time and temperature exposure </w:t>
            </w:r>
          </w:p>
          <w:p w14:paraId="4B3A5486" w14:textId="77777777" w:rsidR="0020794B" w:rsidRDefault="00A66C59" w:rsidP="00A66C59">
            <w:pPr>
              <w:spacing w:before="240"/>
              <w:rPr>
                <w:sz w:val="22"/>
                <w:szCs w:val="22"/>
              </w:rPr>
            </w:pPr>
            <w:r w:rsidRPr="00A66C59">
              <w:rPr>
                <w:b/>
                <w:bCs/>
                <w:sz w:val="22"/>
                <w:szCs w:val="22"/>
              </w:rPr>
              <w:t>AND</w:t>
            </w:r>
            <w:r w:rsidRPr="00A66C59">
              <w:rPr>
                <w:sz w:val="22"/>
                <w:szCs w:val="22"/>
              </w:rPr>
              <w:t xml:space="preserve"> </w:t>
            </w:r>
          </w:p>
          <w:p w14:paraId="27C51E49" w14:textId="260A4C30" w:rsidR="00EF55DB" w:rsidRPr="00677CAA" w:rsidRDefault="0020794B" w:rsidP="00A66C59">
            <w:pPr>
              <w:spacing w:before="240"/>
              <w:rPr>
                <w:sz w:val="22"/>
                <w:szCs w:val="22"/>
              </w:rPr>
            </w:pPr>
            <w:r>
              <w:rPr>
                <w:sz w:val="22"/>
                <w:szCs w:val="22"/>
              </w:rPr>
              <w:t>T</w:t>
            </w:r>
            <w:r w:rsidR="00A66C59" w:rsidRPr="00A66C59">
              <w:rPr>
                <w:sz w:val="22"/>
                <w:szCs w:val="22"/>
              </w:rPr>
              <w:t>he cause of the deviation will be assessed and corrected to prevent future occurrence.</w:t>
            </w:r>
          </w:p>
        </w:tc>
        <w:tc>
          <w:tcPr>
            <w:tcW w:w="2220" w:type="dxa"/>
          </w:tcPr>
          <w:p w14:paraId="532AB17C" w14:textId="77504C86" w:rsidR="00A66C59" w:rsidRPr="00A66C59" w:rsidRDefault="00A66C59" w:rsidP="00A66C59">
            <w:pPr>
              <w:spacing w:before="240"/>
              <w:rPr>
                <w:sz w:val="22"/>
                <w:szCs w:val="22"/>
              </w:rPr>
            </w:pPr>
            <w:r w:rsidRPr="00A66C59">
              <w:rPr>
                <w:sz w:val="22"/>
                <w:szCs w:val="22"/>
              </w:rPr>
              <w:t>Rinse study reviewed at least annually or as needed and re-evaluated as needed (Krook et al 2023)</w:t>
            </w:r>
            <w:r w:rsidR="00E579E8">
              <w:rPr>
                <w:sz w:val="22"/>
                <w:szCs w:val="22"/>
              </w:rPr>
              <w:t>.</w:t>
            </w:r>
          </w:p>
          <w:p w14:paraId="27E7C075" w14:textId="18F12CCC" w:rsidR="00A66C59" w:rsidRPr="00A66C59" w:rsidRDefault="00A66C59" w:rsidP="00A66C59">
            <w:pPr>
              <w:spacing w:before="240"/>
              <w:rPr>
                <w:sz w:val="22"/>
                <w:szCs w:val="22"/>
              </w:rPr>
            </w:pPr>
            <w:r w:rsidRPr="00A66C59">
              <w:rPr>
                <w:sz w:val="22"/>
                <w:szCs w:val="22"/>
              </w:rPr>
              <w:t>Annual iodine content analysis results to verify expected iodine reduction</w:t>
            </w:r>
            <w:r w:rsidR="00E579E8">
              <w:rPr>
                <w:sz w:val="22"/>
                <w:szCs w:val="22"/>
              </w:rPr>
              <w:t>.</w:t>
            </w:r>
          </w:p>
          <w:p w14:paraId="13A58EE9" w14:textId="5E949648" w:rsidR="00EF55DB" w:rsidRPr="00677CAA" w:rsidRDefault="00A66C59" w:rsidP="00A66C59">
            <w:pPr>
              <w:spacing w:before="240"/>
              <w:rPr>
                <w:sz w:val="22"/>
                <w:szCs w:val="22"/>
              </w:rPr>
            </w:pPr>
            <w:r w:rsidRPr="00A66C59">
              <w:rPr>
                <w:sz w:val="22"/>
                <w:szCs w:val="22"/>
              </w:rPr>
              <w:t>Thermometer accuracy checks daily before use and calibration checks as needed and at least once a year</w:t>
            </w:r>
            <w:r w:rsidR="00E579E8">
              <w:rPr>
                <w:sz w:val="22"/>
                <w:szCs w:val="22"/>
              </w:rPr>
              <w:t>.</w:t>
            </w:r>
          </w:p>
        </w:tc>
        <w:tc>
          <w:tcPr>
            <w:tcW w:w="2220" w:type="dxa"/>
          </w:tcPr>
          <w:p w14:paraId="0157509F" w14:textId="77777777" w:rsidR="00A66C59" w:rsidRPr="00A66C59" w:rsidRDefault="00A66C59" w:rsidP="00A66C59">
            <w:pPr>
              <w:spacing w:before="240"/>
              <w:rPr>
                <w:sz w:val="22"/>
                <w:szCs w:val="22"/>
              </w:rPr>
            </w:pPr>
            <w:r w:rsidRPr="00A66C59">
              <w:rPr>
                <w:sz w:val="22"/>
                <w:szCs w:val="22"/>
              </w:rPr>
              <w:t>Batch log including blanch time, water temp., weight of kelp, and volume of freshwater.</w:t>
            </w:r>
          </w:p>
          <w:p w14:paraId="0DBC8CFA" w14:textId="05562DB0" w:rsidR="00A66C59" w:rsidRPr="00A66C59" w:rsidRDefault="00A66C59" w:rsidP="00A66C59">
            <w:pPr>
              <w:spacing w:before="240"/>
              <w:rPr>
                <w:sz w:val="22"/>
                <w:szCs w:val="22"/>
              </w:rPr>
            </w:pPr>
            <w:r w:rsidRPr="00A66C59">
              <w:rPr>
                <w:sz w:val="22"/>
                <w:szCs w:val="22"/>
              </w:rPr>
              <w:t>Thermal log including accuracy checks and calibration when needed.</w:t>
            </w:r>
          </w:p>
          <w:p w14:paraId="1579028E" w14:textId="77777777" w:rsidR="00A66C59" w:rsidRPr="00A66C59" w:rsidRDefault="00A66C59" w:rsidP="00A66C59">
            <w:pPr>
              <w:spacing w:before="240"/>
              <w:rPr>
                <w:sz w:val="22"/>
                <w:szCs w:val="22"/>
              </w:rPr>
            </w:pPr>
            <w:r w:rsidRPr="00A66C59">
              <w:rPr>
                <w:sz w:val="22"/>
                <w:szCs w:val="22"/>
              </w:rPr>
              <w:t>Lab analysis reports</w:t>
            </w:r>
          </w:p>
          <w:p w14:paraId="5E63B53F" w14:textId="77777777" w:rsidR="00A66C59" w:rsidRPr="00A66C59" w:rsidRDefault="00A66C59" w:rsidP="00A66C59">
            <w:pPr>
              <w:spacing w:before="240"/>
              <w:rPr>
                <w:sz w:val="22"/>
                <w:szCs w:val="22"/>
              </w:rPr>
            </w:pPr>
            <w:r w:rsidRPr="00A66C59">
              <w:rPr>
                <w:sz w:val="22"/>
                <w:szCs w:val="22"/>
              </w:rPr>
              <w:t>Blanch validation study on file</w:t>
            </w:r>
          </w:p>
          <w:p w14:paraId="23043941" w14:textId="58047D5B" w:rsidR="00EF55DB" w:rsidRPr="00677CAA" w:rsidRDefault="00A66C59" w:rsidP="00A66C59">
            <w:pPr>
              <w:spacing w:before="240"/>
              <w:rPr>
                <w:sz w:val="22"/>
                <w:szCs w:val="22"/>
              </w:rPr>
            </w:pPr>
            <w:r w:rsidRPr="00A66C59">
              <w:rPr>
                <w:sz w:val="22"/>
                <w:szCs w:val="22"/>
              </w:rPr>
              <w:t>Corrective Action Record(s), as needed</w:t>
            </w:r>
            <w:r>
              <w:rPr>
                <w:sz w:val="22"/>
                <w:szCs w:val="22"/>
              </w:rPr>
              <w:t>.</w:t>
            </w:r>
          </w:p>
        </w:tc>
      </w:tr>
    </w:tbl>
    <w:p w14:paraId="59958279" w14:textId="77777777" w:rsidR="00EF55DB" w:rsidRDefault="00EF55DB" w:rsidP="00A66C59"/>
    <w:p w14:paraId="3C4A8377" w14:textId="77777777" w:rsidR="00EF55DB" w:rsidRDefault="00EF55DB" w:rsidP="00EF55DB">
      <w:pPr>
        <w:ind w:left="360"/>
        <w:sectPr w:rsidR="00EF55DB" w:rsidSect="00EF55DB">
          <w:pgSz w:w="15840" w:h="12240" w:orient="landscape"/>
          <w:pgMar w:top="1440" w:right="1440" w:bottom="1440" w:left="1440" w:header="720" w:footer="720" w:gutter="0"/>
          <w:pgNumType w:chapStyle="1"/>
          <w:cols w:space="720"/>
          <w:docGrid w:linePitch="360"/>
        </w:sectPr>
      </w:pPr>
    </w:p>
    <w:p w14:paraId="10861832" w14:textId="4E6F6724" w:rsidR="00A66C59" w:rsidRPr="00A66C59" w:rsidRDefault="00A66C59" w:rsidP="00691E23">
      <w:pPr>
        <w:pStyle w:val="Heading3"/>
      </w:pPr>
      <w:bookmarkStart w:id="161" w:name="_Toc208503245"/>
      <w:r w:rsidRPr="00A66C59">
        <w:lastRenderedPageBreak/>
        <w:t>Control Strategy 2 – Labeling Control</w:t>
      </w:r>
      <w:bookmarkEnd w:id="161"/>
    </w:p>
    <w:p w14:paraId="035B001F" w14:textId="77777777" w:rsidR="00A66C59" w:rsidRDefault="00A66C59" w:rsidP="00B64049">
      <w:pPr>
        <w:spacing w:before="240"/>
      </w:pPr>
      <w:r>
        <w:t>Note that labeling operations among food facilities vary greatly, while these example control strategies provide insights into who one might consider controlling the iodine hazard with labeling, you will need to adjust your food safety plan to work with your labeling practices.</w:t>
      </w:r>
    </w:p>
    <w:p w14:paraId="55206374" w14:textId="77777777" w:rsidR="00A66C59" w:rsidRDefault="00A66C59" w:rsidP="00691E23">
      <w:pPr>
        <w:pStyle w:val="Heading4"/>
      </w:pPr>
      <w:r>
        <w:t>Critical Limit(s)/Parameter(s) and Value(s)</w:t>
      </w:r>
    </w:p>
    <w:p w14:paraId="569429D6" w14:textId="22D4A546" w:rsidR="00A66C59" w:rsidRDefault="00A66C59" w:rsidP="00B64049">
      <w:pPr>
        <w:spacing w:before="240"/>
      </w:pPr>
      <w:r>
        <w:t>Seaweed product is labeled with iodine content</w:t>
      </w:r>
    </w:p>
    <w:p w14:paraId="0D15E8A3" w14:textId="77777777" w:rsidR="00A66C59" w:rsidRDefault="00A66C59" w:rsidP="00691E23">
      <w:pPr>
        <w:pStyle w:val="Heading4"/>
      </w:pPr>
      <w:r>
        <w:t>Monitoring – What, How, How Often, Who</w:t>
      </w:r>
    </w:p>
    <w:p w14:paraId="1C8A6C4A" w14:textId="77777777" w:rsidR="00A66C59" w:rsidRDefault="00A66C59" w:rsidP="00846B8F">
      <w:pPr>
        <w:pStyle w:val="ListParagraph"/>
        <w:numPr>
          <w:ilvl w:val="0"/>
          <w:numId w:val="47"/>
        </w:numPr>
        <w:spacing w:before="240"/>
        <w:contextualSpacing w:val="0"/>
      </w:pPr>
      <w:r>
        <w:t>What will be monitored?</w:t>
      </w:r>
    </w:p>
    <w:p w14:paraId="056919C5" w14:textId="52D5360F" w:rsidR="00A66C59" w:rsidRDefault="00A66C59" w:rsidP="00846B8F">
      <w:pPr>
        <w:pStyle w:val="ListParagraph"/>
        <w:numPr>
          <w:ilvl w:val="1"/>
          <w:numId w:val="47"/>
        </w:numPr>
        <w:contextualSpacing w:val="0"/>
      </w:pPr>
      <w:r>
        <w:t>Presence of iodine content on label</w:t>
      </w:r>
    </w:p>
    <w:p w14:paraId="2C0E479A" w14:textId="77777777" w:rsidR="00A66C59" w:rsidRDefault="00A66C59" w:rsidP="00846B8F">
      <w:pPr>
        <w:pStyle w:val="ListParagraph"/>
        <w:numPr>
          <w:ilvl w:val="0"/>
          <w:numId w:val="47"/>
        </w:numPr>
        <w:contextualSpacing w:val="0"/>
      </w:pPr>
      <w:r>
        <w:t>How will monitoring be done?</w:t>
      </w:r>
    </w:p>
    <w:p w14:paraId="3ADD98CA" w14:textId="77777777" w:rsidR="00A66C59" w:rsidRDefault="00A66C59" w:rsidP="00846B8F">
      <w:pPr>
        <w:pStyle w:val="ListParagraph"/>
        <w:numPr>
          <w:ilvl w:val="1"/>
          <w:numId w:val="47"/>
        </w:numPr>
        <w:contextualSpacing w:val="0"/>
      </w:pPr>
      <w:r>
        <w:t>Visual inspection for presence of label on package with iodine concentration</w:t>
      </w:r>
    </w:p>
    <w:p w14:paraId="623B5FE9" w14:textId="77777777" w:rsidR="00A66C59" w:rsidRDefault="00A66C59" w:rsidP="00846B8F">
      <w:pPr>
        <w:pStyle w:val="ListParagraph"/>
        <w:numPr>
          <w:ilvl w:val="0"/>
          <w:numId w:val="47"/>
        </w:numPr>
        <w:contextualSpacing w:val="0"/>
      </w:pPr>
      <w:r>
        <w:t>How often will monitoring be done (frequency)?</w:t>
      </w:r>
    </w:p>
    <w:p w14:paraId="1ADB6861" w14:textId="5887D02A" w:rsidR="00A66C59" w:rsidRDefault="00A66C59" w:rsidP="00846B8F">
      <w:pPr>
        <w:pStyle w:val="ListParagraph"/>
        <w:numPr>
          <w:ilvl w:val="1"/>
          <w:numId w:val="47"/>
        </w:numPr>
        <w:contextualSpacing w:val="0"/>
      </w:pPr>
      <w:r>
        <w:t>At the start of production and at least every two hours throughout production.</w:t>
      </w:r>
    </w:p>
    <w:p w14:paraId="6E4018F1" w14:textId="77777777" w:rsidR="00A66C59" w:rsidRPr="00A66C59" w:rsidRDefault="00A66C59" w:rsidP="00A66C59">
      <w:pPr>
        <w:ind w:left="720"/>
        <w:rPr>
          <w:b/>
          <w:bCs/>
        </w:rPr>
      </w:pPr>
      <w:r w:rsidRPr="00A66C59">
        <w:rPr>
          <w:b/>
          <w:bCs/>
        </w:rPr>
        <w:t>OR</w:t>
      </w:r>
    </w:p>
    <w:p w14:paraId="2C09CF3C" w14:textId="403C6BAD" w:rsidR="00A66C59" w:rsidRDefault="00A66C59" w:rsidP="00846B8F">
      <w:pPr>
        <w:pStyle w:val="ListParagraph"/>
        <w:numPr>
          <w:ilvl w:val="1"/>
          <w:numId w:val="47"/>
        </w:numPr>
        <w:contextualSpacing w:val="0"/>
      </w:pPr>
      <w:r>
        <w:t>Every new roll/box of labels opened.</w:t>
      </w:r>
    </w:p>
    <w:p w14:paraId="0F600A0A" w14:textId="77777777" w:rsidR="00A66C59" w:rsidRDefault="00A66C59" w:rsidP="00846B8F">
      <w:pPr>
        <w:pStyle w:val="ListParagraph"/>
        <w:numPr>
          <w:ilvl w:val="0"/>
          <w:numId w:val="47"/>
        </w:numPr>
        <w:contextualSpacing w:val="0"/>
      </w:pPr>
      <w:r>
        <w:t>Who will do the monitoring?</w:t>
      </w:r>
    </w:p>
    <w:p w14:paraId="726DE1EB" w14:textId="6D49B89E" w:rsidR="00A66C59" w:rsidRDefault="00A66C59" w:rsidP="00846B8F">
      <w:pPr>
        <w:pStyle w:val="ListParagraph"/>
        <w:numPr>
          <w:ilvl w:val="1"/>
          <w:numId w:val="47"/>
        </w:numPr>
        <w:contextualSpacing w:val="0"/>
      </w:pPr>
      <w:r>
        <w:t>An individual with an understanding of the control and trained to carry out the required monitoring procedures.</w:t>
      </w:r>
    </w:p>
    <w:p w14:paraId="7C80EEBA" w14:textId="77777777" w:rsidR="00A66C59" w:rsidRDefault="00A66C59" w:rsidP="00691E23">
      <w:pPr>
        <w:pStyle w:val="Heading4"/>
      </w:pPr>
      <w:r>
        <w:t>Corrective Action/Corrections</w:t>
      </w:r>
    </w:p>
    <w:p w14:paraId="7953473C" w14:textId="68FBA370" w:rsidR="00A66C59" w:rsidRDefault="00A66C59" w:rsidP="00846B8F">
      <w:pPr>
        <w:pStyle w:val="ListParagraph"/>
        <w:numPr>
          <w:ilvl w:val="0"/>
          <w:numId w:val="48"/>
        </w:numPr>
        <w:spacing w:before="240"/>
        <w:contextualSpacing w:val="0"/>
      </w:pPr>
      <w:r>
        <w:t xml:space="preserve">If the label is not present or incorrect during inspection, then; stop production to prevent further deviation </w:t>
      </w:r>
      <w:r w:rsidRPr="00A66C59">
        <w:rPr>
          <w:b/>
          <w:bCs/>
        </w:rPr>
        <w:t>AND</w:t>
      </w:r>
      <w:r>
        <w:t xml:space="preserve"> check all packages since the last accurate inspection to ensure proper labeling, </w:t>
      </w:r>
      <w:r w:rsidRPr="00A66C59">
        <w:rPr>
          <w:b/>
          <w:bCs/>
        </w:rPr>
        <w:t>AND</w:t>
      </w:r>
      <w:r>
        <w:t xml:space="preserve"> re-label all affected products with proper label.</w:t>
      </w:r>
    </w:p>
    <w:p w14:paraId="0AE0B7C5" w14:textId="18B9E67E" w:rsidR="00A66C59" w:rsidRDefault="00A66C59" w:rsidP="00A66C59">
      <w:pPr>
        <w:ind w:left="360"/>
      </w:pPr>
      <w:r w:rsidRPr="00A66C59">
        <w:rPr>
          <w:b/>
          <w:bCs/>
        </w:rPr>
        <w:t>AND</w:t>
      </w:r>
      <w:r>
        <w:t xml:space="preserve"> address the root cause to prevent future occurrence.</w:t>
      </w:r>
    </w:p>
    <w:p w14:paraId="69F6B47D" w14:textId="2ECC2B58" w:rsidR="00A66C59" w:rsidRDefault="00A66C59" w:rsidP="00846B8F">
      <w:pPr>
        <w:pStyle w:val="ListParagraph"/>
        <w:numPr>
          <w:ilvl w:val="0"/>
          <w:numId w:val="48"/>
        </w:numPr>
        <w:contextualSpacing w:val="0"/>
      </w:pPr>
      <w:r>
        <w:t>Identify the root cause of the mislabeling and correct the issue to prevent re-occurrence.</w:t>
      </w:r>
    </w:p>
    <w:p w14:paraId="38771AE5" w14:textId="77777777" w:rsidR="00A66C59" w:rsidRDefault="00A66C59" w:rsidP="00691E23">
      <w:pPr>
        <w:pStyle w:val="Heading4"/>
      </w:pPr>
      <w:r>
        <w:lastRenderedPageBreak/>
        <w:t>Verification</w:t>
      </w:r>
    </w:p>
    <w:p w14:paraId="4C4F83DB" w14:textId="5C972650" w:rsidR="00A66C59" w:rsidRDefault="00A66C59" w:rsidP="00846B8F">
      <w:pPr>
        <w:pStyle w:val="ListParagraph"/>
        <w:numPr>
          <w:ilvl w:val="0"/>
          <w:numId w:val="48"/>
        </w:numPr>
        <w:spacing w:before="240"/>
        <w:contextualSpacing w:val="0"/>
      </w:pPr>
      <w:r>
        <w:t>Review or monitoring and corrective action records within one week of preparation to ensure they were completed appropriately.</w:t>
      </w:r>
    </w:p>
    <w:p w14:paraId="21823909" w14:textId="77777777" w:rsidR="00A66C59" w:rsidRDefault="00A66C59" w:rsidP="00846B8F">
      <w:pPr>
        <w:pStyle w:val="ListParagraph"/>
        <w:numPr>
          <w:ilvl w:val="0"/>
          <w:numId w:val="48"/>
        </w:numPr>
        <w:contextualSpacing w:val="0"/>
      </w:pPr>
      <w:r>
        <w:t>Periodic iodine analysis (e.g., annually or seasonally), depending on species and harvest frequency, should be conducted to confirm accurate label concentrations. Testing frequency may be adjusted over time based on historical results and observed variations in iodine levels.</w:t>
      </w:r>
    </w:p>
    <w:p w14:paraId="1BD2C4E5" w14:textId="77777777" w:rsidR="00A66C59" w:rsidRDefault="00A66C59" w:rsidP="00691E23">
      <w:pPr>
        <w:pStyle w:val="Heading4"/>
      </w:pPr>
      <w:r>
        <w:t>Records</w:t>
      </w:r>
    </w:p>
    <w:p w14:paraId="7FD848A0" w14:textId="77777777" w:rsidR="00A66C59" w:rsidRDefault="00A66C59" w:rsidP="00846B8F">
      <w:pPr>
        <w:pStyle w:val="ListParagraph"/>
        <w:numPr>
          <w:ilvl w:val="0"/>
          <w:numId w:val="49"/>
        </w:numPr>
        <w:spacing w:before="240"/>
        <w:contextualSpacing w:val="0"/>
      </w:pPr>
      <w:r w:rsidRPr="00A66C59">
        <w:rPr>
          <w:b/>
          <w:bCs/>
        </w:rPr>
        <w:t>Monitoring Records:</w:t>
      </w:r>
      <w:r>
        <w:t xml:space="preserve"> Labeling log indicating the presence of the label and frequency of checks.</w:t>
      </w:r>
    </w:p>
    <w:p w14:paraId="27670E40" w14:textId="77777777" w:rsidR="00A66C59" w:rsidRDefault="00A66C59" w:rsidP="00846B8F">
      <w:pPr>
        <w:pStyle w:val="ListParagraph"/>
        <w:numPr>
          <w:ilvl w:val="0"/>
          <w:numId w:val="49"/>
        </w:numPr>
        <w:contextualSpacing w:val="0"/>
      </w:pPr>
      <w:r w:rsidRPr="00A66C59">
        <w:rPr>
          <w:b/>
          <w:bCs/>
        </w:rPr>
        <w:t>Corrective Action Records:</w:t>
      </w:r>
      <w:r>
        <w:t xml:space="preserve"> Any records indicating what was done to address potential deviations from parameters, values, or critical limits.</w:t>
      </w:r>
    </w:p>
    <w:p w14:paraId="379A64EC" w14:textId="5896F0B9" w:rsidR="00A66C59" w:rsidRDefault="00A66C59" w:rsidP="00846B8F">
      <w:pPr>
        <w:pStyle w:val="ListParagraph"/>
        <w:numPr>
          <w:ilvl w:val="0"/>
          <w:numId w:val="49"/>
        </w:numPr>
        <w:contextualSpacing w:val="0"/>
      </w:pPr>
      <w:r w:rsidRPr="00A66C59">
        <w:rPr>
          <w:b/>
          <w:bCs/>
        </w:rPr>
        <w:t>Verification Records:</w:t>
      </w:r>
      <w:r>
        <w:t xml:space="preserve"> Iodine analysis and reviewed monitoring records.</w:t>
      </w:r>
    </w:p>
    <w:p w14:paraId="391E8A00" w14:textId="2DA5C1C0" w:rsidR="00A66C59" w:rsidRDefault="00A66C59" w:rsidP="00846B8F">
      <w:pPr>
        <w:pStyle w:val="ListParagraph"/>
        <w:numPr>
          <w:ilvl w:val="0"/>
          <w:numId w:val="49"/>
        </w:numPr>
        <w:contextualSpacing w:val="0"/>
      </w:pPr>
      <w:r w:rsidRPr="00A66C59">
        <w:rPr>
          <w:b/>
          <w:bCs/>
        </w:rPr>
        <w:t>Recall Plan:</w:t>
      </w:r>
      <w:r>
        <w:t xml:space="preserve"> A written recall plan is required for any products with significant hazards if regulated under preventive controls for human foods.</w:t>
      </w:r>
    </w:p>
    <w:p w14:paraId="713F0838" w14:textId="77777777" w:rsidR="00A66C59" w:rsidRDefault="00A66C59" w:rsidP="00846B8F">
      <w:pPr>
        <w:pStyle w:val="ListParagraph"/>
        <w:numPr>
          <w:ilvl w:val="0"/>
          <w:numId w:val="49"/>
        </w:numPr>
        <w:contextualSpacing w:val="0"/>
        <w:sectPr w:rsidR="00A66C59" w:rsidSect="00AD559E">
          <w:pgSz w:w="12240" w:h="15840"/>
          <w:pgMar w:top="1440" w:right="1440" w:bottom="1440" w:left="1440" w:header="720" w:footer="720" w:gutter="0"/>
          <w:pgNumType w:chapStyle="1"/>
          <w:cols w:space="720"/>
          <w:docGrid w:linePitch="360"/>
        </w:sectPr>
      </w:pPr>
      <w:r w:rsidRPr="00A66C59">
        <w:rPr>
          <w:b/>
          <w:bCs/>
        </w:rPr>
        <w:t>Training Records:</w:t>
      </w:r>
      <w:r>
        <w:t xml:space="preserve"> Training records for the preventive controls qualified individual (PCQI) must be maintained if regulated under preventive controls for human foods. While the HACCP rule requires a HACCP trained individual, records of that training are not explicitly required.</w:t>
      </w:r>
    </w:p>
    <w:p w14:paraId="5873508C" w14:textId="38B9E6A9" w:rsidR="00A66C59" w:rsidRDefault="00A66C59" w:rsidP="00691E23">
      <w:pPr>
        <w:pStyle w:val="Heading4"/>
      </w:pPr>
      <w:r>
        <w:lastRenderedPageBreak/>
        <w:t xml:space="preserve">Example </w:t>
      </w:r>
      <w:r w:rsidR="00D749A3">
        <w:t>HACCP/</w:t>
      </w:r>
      <w:r>
        <w:t>Food Safety Plan for Labeling Control</w:t>
      </w:r>
    </w:p>
    <w:p w14:paraId="098F069D" w14:textId="0F063F9A" w:rsidR="00E579E8" w:rsidRDefault="00E579E8" w:rsidP="00E579E8">
      <w:pPr>
        <w:ind w:left="-806"/>
      </w:pPr>
      <w:r>
        <w:t xml:space="preserve">Below is an example showing what a food safety plan could look like. It is intended for illustrative purposes only. Each producer must develop a plan tailored to their unique products, production and processing methods, and regulatory requirements. </w:t>
      </w:r>
      <w:r w:rsidRPr="00E579E8">
        <w:rPr>
          <w:b/>
          <w:bCs/>
        </w:rPr>
        <w:t>This example should not be copied and used without modification to fit your specific operation.</w:t>
      </w:r>
    </w:p>
    <w:p w14:paraId="4EFD6D4E" w14:textId="77777777" w:rsidR="00E579E8" w:rsidRDefault="00E579E8" w:rsidP="00E579E8">
      <w:pPr>
        <w:spacing w:before="240"/>
        <w:ind w:left="-806"/>
        <w:contextualSpacing/>
      </w:pPr>
      <w:r w:rsidRPr="00E579E8">
        <w:rPr>
          <w:b/>
          <w:bCs/>
        </w:rPr>
        <w:t>Control Strategy:</w:t>
      </w:r>
      <w:r>
        <w:t xml:space="preserve"> Labeling Control</w:t>
      </w:r>
    </w:p>
    <w:p w14:paraId="6B5732FC" w14:textId="77777777" w:rsidR="00E579E8" w:rsidRDefault="00E579E8" w:rsidP="00E579E8">
      <w:pPr>
        <w:spacing w:before="240"/>
        <w:ind w:left="-806"/>
        <w:contextualSpacing/>
      </w:pPr>
      <w:r w:rsidRPr="00E579E8">
        <w:rPr>
          <w:b/>
          <w:bCs/>
        </w:rPr>
        <w:t>Critical Control Point/Process Preventive Control Step:</w:t>
      </w:r>
      <w:r>
        <w:t xml:space="preserve"> Labeling Step</w:t>
      </w:r>
    </w:p>
    <w:p w14:paraId="0D8311A0" w14:textId="0B4BCBBC" w:rsidR="00A66C59" w:rsidRPr="00AD559E" w:rsidRDefault="00E579E8" w:rsidP="00E579E8">
      <w:pPr>
        <w:spacing w:before="240"/>
        <w:ind w:left="-806"/>
        <w:contextualSpacing/>
      </w:pPr>
      <w:r w:rsidRPr="00E579E8">
        <w:rPr>
          <w:b/>
          <w:bCs/>
        </w:rPr>
        <w:t>Hazard:</w:t>
      </w:r>
      <w:r>
        <w:t xml:space="preserve"> Iodine</w:t>
      </w:r>
    </w:p>
    <w:tbl>
      <w:tblPr>
        <w:tblStyle w:val="TableGrid"/>
        <w:tblW w:w="14670" w:type="dxa"/>
        <w:tblInd w:w="-81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tblCellMar>
        <w:tblLook w:val="04A0" w:firstRow="1" w:lastRow="0" w:firstColumn="1" w:lastColumn="0" w:noHBand="0" w:noVBand="1"/>
        <w:tblCaption w:val="Example HACCP/Food Safety Plan for Labeling Control: Iodine"/>
        <w:tblDescription w:val="Column Headers: Parameters/Values/Critical Limits, Monitoring (What/How/When/Who as subheader columns within), Corrective Action, Verification, Records."/>
      </w:tblPr>
      <w:tblGrid>
        <w:gridCol w:w="2340"/>
        <w:gridCol w:w="1417"/>
        <w:gridCol w:w="1463"/>
        <w:gridCol w:w="1372"/>
        <w:gridCol w:w="1418"/>
        <w:gridCol w:w="2220"/>
        <w:gridCol w:w="2220"/>
        <w:gridCol w:w="2220"/>
      </w:tblGrid>
      <w:tr w:rsidR="00A66C59" w14:paraId="50827472" w14:textId="77777777" w:rsidTr="00A61B74">
        <w:trPr>
          <w:trHeight w:val="390"/>
        </w:trPr>
        <w:tc>
          <w:tcPr>
            <w:tcW w:w="2340" w:type="dxa"/>
            <w:vMerge w:val="restart"/>
            <w:shd w:val="clear" w:color="auto" w:fill="D1D1D1" w:themeFill="background2" w:themeFillShade="E6"/>
          </w:tcPr>
          <w:p w14:paraId="7847E1F1" w14:textId="77777777" w:rsidR="00A66C59" w:rsidRPr="0001662C" w:rsidRDefault="00A66C59" w:rsidP="00DF5603">
            <w:pPr>
              <w:jc w:val="center"/>
              <w:rPr>
                <w:b/>
                <w:bCs/>
              </w:rPr>
            </w:pPr>
            <w:r w:rsidRPr="0001662C">
              <w:rPr>
                <w:b/>
                <w:bCs/>
              </w:rPr>
              <w:t>Parameters, Values, Critical Limits</w:t>
            </w:r>
          </w:p>
        </w:tc>
        <w:tc>
          <w:tcPr>
            <w:tcW w:w="5670" w:type="dxa"/>
            <w:gridSpan w:val="4"/>
            <w:shd w:val="clear" w:color="auto" w:fill="D1D1D1" w:themeFill="background2" w:themeFillShade="E6"/>
          </w:tcPr>
          <w:p w14:paraId="78B3CAF1" w14:textId="77777777" w:rsidR="00A66C59" w:rsidRPr="0001662C" w:rsidRDefault="00A66C59" w:rsidP="00DF5603">
            <w:pPr>
              <w:jc w:val="center"/>
              <w:rPr>
                <w:b/>
                <w:bCs/>
              </w:rPr>
            </w:pPr>
            <w:r w:rsidRPr="0001662C">
              <w:rPr>
                <w:b/>
                <w:bCs/>
              </w:rPr>
              <w:t>Monitoring</w:t>
            </w:r>
          </w:p>
        </w:tc>
        <w:tc>
          <w:tcPr>
            <w:tcW w:w="2220" w:type="dxa"/>
            <w:vMerge w:val="restart"/>
            <w:shd w:val="clear" w:color="auto" w:fill="D1D1D1" w:themeFill="background2" w:themeFillShade="E6"/>
          </w:tcPr>
          <w:p w14:paraId="247D6B13" w14:textId="77777777" w:rsidR="00A66C59" w:rsidRPr="0001662C" w:rsidRDefault="00A66C59" w:rsidP="00DF5603">
            <w:pPr>
              <w:jc w:val="center"/>
              <w:rPr>
                <w:b/>
                <w:bCs/>
              </w:rPr>
            </w:pPr>
            <w:r w:rsidRPr="0001662C">
              <w:rPr>
                <w:b/>
                <w:bCs/>
              </w:rPr>
              <w:t>Corrective Action</w:t>
            </w:r>
          </w:p>
        </w:tc>
        <w:tc>
          <w:tcPr>
            <w:tcW w:w="2220" w:type="dxa"/>
            <w:vMerge w:val="restart"/>
            <w:shd w:val="clear" w:color="auto" w:fill="D1D1D1" w:themeFill="background2" w:themeFillShade="E6"/>
          </w:tcPr>
          <w:p w14:paraId="7A81848D" w14:textId="77777777" w:rsidR="00A66C59" w:rsidRPr="0001662C" w:rsidRDefault="00A66C59" w:rsidP="00DF5603">
            <w:pPr>
              <w:jc w:val="center"/>
              <w:rPr>
                <w:b/>
                <w:bCs/>
              </w:rPr>
            </w:pPr>
            <w:r w:rsidRPr="0001662C">
              <w:rPr>
                <w:b/>
                <w:bCs/>
              </w:rPr>
              <w:t>Verification</w:t>
            </w:r>
          </w:p>
        </w:tc>
        <w:tc>
          <w:tcPr>
            <w:tcW w:w="2220" w:type="dxa"/>
            <w:vMerge w:val="restart"/>
            <w:shd w:val="clear" w:color="auto" w:fill="D1D1D1" w:themeFill="background2" w:themeFillShade="E6"/>
          </w:tcPr>
          <w:p w14:paraId="55C70E75" w14:textId="77777777" w:rsidR="00A66C59" w:rsidRPr="0001662C" w:rsidRDefault="00A66C59" w:rsidP="00DF5603">
            <w:pPr>
              <w:jc w:val="center"/>
              <w:rPr>
                <w:b/>
                <w:bCs/>
              </w:rPr>
            </w:pPr>
            <w:r w:rsidRPr="0001662C">
              <w:rPr>
                <w:b/>
                <w:bCs/>
              </w:rPr>
              <w:t>Records</w:t>
            </w:r>
          </w:p>
        </w:tc>
      </w:tr>
      <w:tr w:rsidR="00A66C59" w14:paraId="3C56F67F" w14:textId="77777777" w:rsidTr="00A61B74">
        <w:trPr>
          <w:trHeight w:val="20"/>
        </w:trPr>
        <w:tc>
          <w:tcPr>
            <w:tcW w:w="2340" w:type="dxa"/>
            <w:vMerge/>
          </w:tcPr>
          <w:p w14:paraId="37BA205E" w14:textId="77777777" w:rsidR="00A66C59" w:rsidRPr="0001662C" w:rsidRDefault="00A66C59" w:rsidP="00DF5603">
            <w:pPr>
              <w:rPr>
                <w:b/>
                <w:bCs/>
              </w:rPr>
            </w:pPr>
          </w:p>
        </w:tc>
        <w:tc>
          <w:tcPr>
            <w:tcW w:w="1417" w:type="dxa"/>
            <w:shd w:val="clear" w:color="auto" w:fill="D1D1D1" w:themeFill="background2" w:themeFillShade="E6"/>
          </w:tcPr>
          <w:p w14:paraId="7A787FA6" w14:textId="77777777" w:rsidR="00A66C59" w:rsidRPr="0001662C" w:rsidRDefault="00A66C59" w:rsidP="00DF5603">
            <w:pPr>
              <w:jc w:val="center"/>
              <w:rPr>
                <w:b/>
                <w:bCs/>
              </w:rPr>
            </w:pPr>
            <w:r w:rsidRPr="0001662C">
              <w:rPr>
                <w:b/>
                <w:bCs/>
              </w:rPr>
              <w:t>What</w:t>
            </w:r>
          </w:p>
        </w:tc>
        <w:tc>
          <w:tcPr>
            <w:tcW w:w="1463" w:type="dxa"/>
            <w:shd w:val="clear" w:color="auto" w:fill="D1D1D1" w:themeFill="background2" w:themeFillShade="E6"/>
          </w:tcPr>
          <w:p w14:paraId="7BC60AC6" w14:textId="77777777" w:rsidR="00A66C59" w:rsidRPr="0001662C" w:rsidRDefault="00A66C59" w:rsidP="00DF5603">
            <w:pPr>
              <w:jc w:val="center"/>
              <w:rPr>
                <w:b/>
                <w:bCs/>
              </w:rPr>
            </w:pPr>
            <w:r w:rsidRPr="0001662C">
              <w:rPr>
                <w:b/>
                <w:bCs/>
              </w:rPr>
              <w:t>How</w:t>
            </w:r>
          </w:p>
        </w:tc>
        <w:tc>
          <w:tcPr>
            <w:tcW w:w="1372" w:type="dxa"/>
            <w:shd w:val="clear" w:color="auto" w:fill="D1D1D1" w:themeFill="background2" w:themeFillShade="E6"/>
          </w:tcPr>
          <w:p w14:paraId="7798375A" w14:textId="77777777" w:rsidR="00A66C59" w:rsidRPr="0001662C" w:rsidRDefault="00A66C59" w:rsidP="00DF5603">
            <w:pPr>
              <w:jc w:val="center"/>
              <w:rPr>
                <w:b/>
                <w:bCs/>
              </w:rPr>
            </w:pPr>
            <w:r w:rsidRPr="0001662C">
              <w:rPr>
                <w:b/>
                <w:bCs/>
              </w:rPr>
              <w:t>When</w:t>
            </w:r>
          </w:p>
        </w:tc>
        <w:tc>
          <w:tcPr>
            <w:tcW w:w="1418" w:type="dxa"/>
            <w:shd w:val="clear" w:color="auto" w:fill="D1D1D1" w:themeFill="background2" w:themeFillShade="E6"/>
          </w:tcPr>
          <w:p w14:paraId="2590676A" w14:textId="77777777" w:rsidR="00A66C59" w:rsidRPr="0001662C" w:rsidRDefault="00A66C59" w:rsidP="00DF5603">
            <w:pPr>
              <w:jc w:val="center"/>
              <w:rPr>
                <w:b/>
                <w:bCs/>
              </w:rPr>
            </w:pPr>
            <w:r w:rsidRPr="0001662C">
              <w:rPr>
                <w:b/>
                <w:bCs/>
              </w:rPr>
              <w:t>Who</w:t>
            </w:r>
          </w:p>
        </w:tc>
        <w:tc>
          <w:tcPr>
            <w:tcW w:w="2220" w:type="dxa"/>
            <w:vMerge/>
          </w:tcPr>
          <w:p w14:paraId="2FDC20C1" w14:textId="77777777" w:rsidR="00A66C59" w:rsidRDefault="00A66C59" w:rsidP="00DF5603"/>
        </w:tc>
        <w:tc>
          <w:tcPr>
            <w:tcW w:w="2220" w:type="dxa"/>
            <w:vMerge/>
          </w:tcPr>
          <w:p w14:paraId="2AE15E63" w14:textId="77777777" w:rsidR="00A66C59" w:rsidRDefault="00A66C59" w:rsidP="00DF5603"/>
        </w:tc>
        <w:tc>
          <w:tcPr>
            <w:tcW w:w="2220" w:type="dxa"/>
            <w:vMerge/>
          </w:tcPr>
          <w:p w14:paraId="22EEC060" w14:textId="77777777" w:rsidR="00A66C59" w:rsidRDefault="00A66C59" w:rsidP="00DF5603"/>
        </w:tc>
      </w:tr>
      <w:tr w:rsidR="00A66C59" w14:paraId="03821B89" w14:textId="77777777" w:rsidTr="00A61B74">
        <w:trPr>
          <w:trHeight w:val="4548"/>
        </w:trPr>
        <w:tc>
          <w:tcPr>
            <w:tcW w:w="2340" w:type="dxa"/>
          </w:tcPr>
          <w:p w14:paraId="57462D37" w14:textId="18D38A52" w:rsidR="00A66C59" w:rsidRPr="00677CAA" w:rsidRDefault="00E579E8" w:rsidP="00DF5603">
            <w:pPr>
              <w:spacing w:before="240"/>
              <w:rPr>
                <w:sz w:val="22"/>
                <w:szCs w:val="22"/>
              </w:rPr>
            </w:pPr>
            <w:r w:rsidRPr="00E579E8">
              <w:rPr>
                <w:sz w:val="22"/>
                <w:szCs w:val="22"/>
              </w:rPr>
              <w:t>Iodine content listed on package label</w:t>
            </w:r>
            <w:r>
              <w:rPr>
                <w:sz w:val="22"/>
                <w:szCs w:val="22"/>
              </w:rPr>
              <w:t>.</w:t>
            </w:r>
          </w:p>
        </w:tc>
        <w:tc>
          <w:tcPr>
            <w:tcW w:w="1417" w:type="dxa"/>
          </w:tcPr>
          <w:p w14:paraId="06BBFF8B" w14:textId="3991EB8D" w:rsidR="00A66C59" w:rsidRPr="00677CAA" w:rsidRDefault="00E579E8" w:rsidP="00DF5603">
            <w:pPr>
              <w:spacing w:before="240"/>
              <w:rPr>
                <w:sz w:val="22"/>
                <w:szCs w:val="22"/>
              </w:rPr>
            </w:pPr>
            <w:r w:rsidRPr="00E579E8">
              <w:rPr>
                <w:sz w:val="22"/>
                <w:szCs w:val="22"/>
              </w:rPr>
              <w:t>Iodine content on label</w:t>
            </w:r>
          </w:p>
        </w:tc>
        <w:tc>
          <w:tcPr>
            <w:tcW w:w="1463" w:type="dxa"/>
          </w:tcPr>
          <w:p w14:paraId="5A9A8F45" w14:textId="4D63386D" w:rsidR="00A66C59" w:rsidRPr="00677CAA" w:rsidRDefault="00E579E8" w:rsidP="00DF5603">
            <w:pPr>
              <w:spacing w:before="240"/>
              <w:rPr>
                <w:sz w:val="22"/>
                <w:szCs w:val="22"/>
              </w:rPr>
            </w:pPr>
            <w:r w:rsidRPr="00E579E8">
              <w:rPr>
                <w:sz w:val="22"/>
                <w:szCs w:val="22"/>
              </w:rPr>
              <w:t>Visual inspection for presence of label with iodine content</w:t>
            </w:r>
          </w:p>
        </w:tc>
        <w:tc>
          <w:tcPr>
            <w:tcW w:w="1372" w:type="dxa"/>
          </w:tcPr>
          <w:p w14:paraId="76773D01" w14:textId="332E10BB" w:rsidR="00A66C59" w:rsidRPr="00677CAA" w:rsidRDefault="00E579E8" w:rsidP="00DF5603">
            <w:pPr>
              <w:spacing w:before="240"/>
              <w:rPr>
                <w:sz w:val="22"/>
                <w:szCs w:val="22"/>
              </w:rPr>
            </w:pPr>
            <w:r w:rsidRPr="00E579E8">
              <w:rPr>
                <w:sz w:val="22"/>
                <w:szCs w:val="22"/>
              </w:rPr>
              <w:t>At start of labeling and at least every two hours</w:t>
            </w:r>
          </w:p>
        </w:tc>
        <w:tc>
          <w:tcPr>
            <w:tcW w:w="1418" w:type="dxa"/>
          </w:tcPr>
          <w:p w14:paraId="576C41A1" w14:textId="2BA6409A" w:rsidR="00A66C59" w:rsidRPr="00677CAA" w:rsidRDefault="00E579E8" w:rsidP="00DF5603">
            <w:pPr>
              <w:spacing w:before="240"/>
              <w:rPr>
                <w:sz w:val="22"/>
                <w:szCs w:val="22"/>
              </w:rPr>
            </w:pPr>
            <w:r w:rsidRPr="00E579E8">
              <w:rPr>
                <w:sz w:val="22"/>
                <w:szCs w:val="22"/>
              </w:rPr>
              <w:t>Line Supervisor</w:t>
            </w:r>
          </w:p>
        </w:tc>
        <w:tc>
          <w:tcPr>
            <w:tcW w:w="2220" w:type="dxa"/>
          </w:tcPr>
          <w:p w14:paraId="1CBAD0D8" w14:textId="70A34DEB" w:rsidR="00E579E8" w:rsidRPr="00E579E8" w:rsidRDefault="00E579E8" w:rsidP="00E579E8">
            <w:pPr>
              <w:spacing w:before="240"/>
              <w:rPr>
                <w:sz w:val="22"/>
                <w:szCs w:val="22"/>
              </w:rPr>
            </w:pPr>
            <w:r w:rsidRPr="00E579E8">
              <w:rPr>
                <w:sz w:val="22"/>
                <w:szCs w:val="22"/>
              </w:rPr>
              <w:t>If the label is not present or is inaccurate, then stop labeling AND recheck all products since the last correct check AND relabel all incorrectly labeled products.</w:t>
            </w:r>
          </w:p>
          <w:p w14:paraId="45EAB0DB" w14:textId="77777777" w:rsidR="00E579E8" w:rsidRPr="00E579E8" w:rsidRDefault="00E579E8" w:rsidP="00E579E8">
            <w:pPr>
              <w:spacing w:before="240"/>
              <w:rPr>
                <w:b/>
                <w:bCs/>
                <w:sz w:val="22"/>
                <w:szCs w:val="22"/>
              </w:rPr>
            </w:pPr>
            <w:r w:rsidRPr="00E579E8">
              <w:rPr>
                <w:b/>
                <w:bCs/>
                <w:sz w:val="22"/>
                <w:szCs w:val="22"/>
              </w:rPr>
              <w:t>AND</w:t>
            </w:r>
          </w:p>
          <w:p w14:paraId="6F1E977A" w14:textId="578F98D9" w:rsidR="00A66C59" w:rsidRPr="00677CAA" w:rsidRDefault="00E579E8" w:rsidP="00E579E8">
            <w:pPr>
              <w:spacing w:before="240"/>
              <w:rPr>
                <w:sz w:val="22"/>
                <w:szCs w:val="22"/>
              </w:rPr>
            </w:pPr>
            <w:r w:rsidRPr="00E579E8">
              <w:rPr>
                <w:sz w:val="22"/>
                <w:szCs w:val="22"/>
              </w:rPr>
              <w:t>Determine cause of deviation and make corrections to prevent future deviations.</w:t>
            </w:r>
          </w:p>
        </w:tc>
        <w:tc>
          <w:tcPr>
            <w:tcW w:w="2220" w:type="dxa"/>
          </w:tcPr>
          <w:p w14:paraId="31087E3D" w14:textId="77777777" w:rsidR="00E579E8" w:rsidRPr="00E579E8" w:rsidRDefault="00E579E8" w:rsidP="00E579E8">
            <w:pPr>
              <w:spacing w:before="240"/>
              <w:rPr>
                <w:sz w:val="22"/>
                <w:szCs w:val="22"/>
              </w:rPr>
            </w:pPr>
            <w:r w:rsidRPr="00E579E8">
              <w:rPr>
                <w:sz w:val="22"/>
                <w:szCs w:val="22"/>
              </w:rPr>
              <w:t>Annual analysis to confirm accurate iodine content of seaweed products.</w:t>
            </w:r>
          </w:p>
          <w:p w14:paraId="18D470A6" w14:textId="40D619A9" w:rsidR="00A66C59" w:rsidRPr="00677CAA" w:rsidRDefault="00E579E8" w:rsidP="00E579E8">
            <w:pPr>
              <w:spacing w:before="240"/>
              <w:rPr>
                <w:sz w:val="22"/>
                <w:szCs w:val="22"/>
              </w:rPr>
            </w:pPr>
            <w:r w:rsidRPr="00E579E8">
              <w:rPr>
                <w:sz w:val="22"/>
                <w:szCs w:val="22"/>
              </w:rPr>
              <w:t>Weekly review of label monitoring records.</w:t>
            </w:r>
          </w:p>
        </w:tc>
        <w:tc>
          <w:tcPr>
            <w:tcW w:w="2220" w:type="dxa"/>
          </w:tcPr>
          <w:p w14:paraId="72F69260" w14:textId="77777777" w:rsidR="00E579E8" w:rsidRPr="00E579E8" w:rsidRDefault="00E579E8" w:rsidP="00E579E8">
            <w:pPr>
              <w:spacing w:before="240"/>
              <w:rPr>
                <w:sz w:val="22"/>
                <w:szCs w:val="22"/>
              </w:rPr>
            </w:pPr>
            <w:r w:rsidRPr="00E579E8">
              <w:rPr>
                <w:sz w:val="22"/>
                <w:szCs w:val="22"/>
              </w:rPr>
              <w:t>Monitoring Record: Label Log with frequency and results of label checks</w:t>
            </w:r>
          </w:p>
          <w:p w14:paraId="785A594B" w14:textId="77777777" w:rsidR="00E579E8" w:rsidRPr="00E579E8" w:rsidRDefault="00E579E8" w:rsidP="00E579E8">
            <w:pPr>
              <w:spacing w:before="240"/>
              <w:rPr>
                <w:sz w:val="22"/>
                <w:szCs w:val="22"/>
              </w:rPr>
            </w:pPr>
            <w:r w:rsidRPr="00E579E8">
              <w:rPr>
                <w:sz w:val="22"/>
                <w:szCs w:val="22"/>
              </w:rPr>
              <w:t>Corrective Action Records, when needed</w:t>
            </w:r>
          </w:p>
          <w:p w14:paraId="3D208C28" w14:textId="77777777" w:rsidR="00E579E8" w:rsidRPr="00E579E8" w:rsidRDefault="00E579E8" w:rsidP="00E579E8">
            <w:pPr>
              <w:spacing w:before="240"/>
              <w:rPr>
                <w:sz w:val="22"/>
                <w:szCs w:val="22"/>
              </w:rPr>
            </w:pPr>
            <w:r w:rsidRPr="00E579E8">
              <w:rPr>
                <w:sz w:val="22"/>
                <w:szCs w:val="22"/>
              </w:rPr>
              <w:t>Verification Records: Laboratory report for iodine content analysis</w:t>
            </w:r>
          </w:p>
          <w:p w14:paraId="18E77BB9" w14:textId="24ADA264" w:rsidR="00A66C59" w:rsidRPr="00677CAA" w:rsidRDefault="00E579E8" w:rsidP="00E579E8">
            <w:pPr>
              <w:spacing w:before="240"/>
              <w:rPr>
                <w:sz w:val="22"/>
                <w:szCs w:val="22"/>
              </w:rPr>
            </w:pPr>
            <w:r w:rsidRPr="00E579E8">
              <w:rPr>
                <w:sz w:val="22"/>
                <w:szCs w:val="22"/>
              </w:rPr>
              <w:t>PCQI training records (PCHF only)</w:t>
            </w:r>
          </w:p>
        </w:tc>
      </w:tr>
    </w:tbl>
    <w:p w14:paraId="28B80809" w14:textId="77777777" w:rsidR="00A66C59" w:rsidRDefault="00A66C59" w:rsidP="00A66C59"/>
    <w:p w14:paraId="14FF91BE" w14:textId="77777777" w:rsidR="00E579E8" w:rsidRDefault="00E579E8" w:rsidP="00A66C59">
      <w:pPr>
        <w:sectPr w:rsidR="00E579E8" w:rsidSect="00A66C59">
          <w:pgSz w:w="15840" w:h="12240" w:orient="landscape"/>
          <w:pgMar w:top="1440" w:right="1440" w:bottom="1440" w:left="1440" w:header="720" w:footer="720" w:gutter="0"/>
          <w:pgNumType w:chapStyle="1"/>
          <w:cols w:space="720"/>
          <w:docGrid w:linePitch="360"/>
        </w:sectPr>
      </w:pPr>
    </w:p>
    <w:p w14:paraId="3D77C5C7" w14:textId="369398A4" w:rsidR="00E579E8" w:rsidRDefault="00E579E8" w:rsidP="00846B8F">
      <w:pPr>
        <w:pStyle w:val="Heading2"/>
        <w:numPr>
          <w:ilvl w:val="1"/>
          <w:numId w:val="146"/>
        </w:numPr>
      </w:pPr>
      <w:bookmarkStart w:id="162" w:name="_Toc208503246"/>
      <w:r>
        <w:lastRenderedPageBreak/>
        <w:t>References</w:t>
      </w:r>
      <w:bookmarkEnd w:id="162"/>
    </w:p>
    <w:p w14:paraId="2CC068A6" w14:textId="77777777" w:rsidR="001F7A47" w:rsidRDefault="001F7A47" w:rsidP="001F7A47">
      <w:pPr>
        <w:rPr>
          <w:rFonts w:ascii="Times New Roman" w:hAnsi="Times New Roman"/>
        </w:rPr>
      </w:pPr>
      <w:r>
        <w:t xml:space="preserve">Aakre, I., Solli, D. D., Markhus, M. W., Mæhre, H. K., Dahl, L., Henjum, S., Alexander, J., Korneliussen, P. A., Madsen, L., &amp; Kjellevold, M. (2021). Commercially available kelp and seaweed products – valuable iodine source or risk of excess intake? Food and Nutrition Research, 65(February 2021), 1–17. </w:t>
      </w:r>
      <w:hyperlink r:id="rId113" w:history="1">
        <w:r>
          <w:rPr>
            <w:rStyle w:val="Hyperlink"/>
            <w:rFonts w:cs="Calibri"/>
            <w:color w:val="1155CC"/>
          </w:rPr>
          <w:t>https://doi.org/10.29219/FNR.V65.7584</w:t>
        </w:r>
      </w:hyperlink>
    </w:p>
    <w:p w14:paraId="6C7B7EB2" w14:textId="77777777" w:rsidR="001F7A47" w:rsidRDefault="001F7A47" w:rsidP="001F7A47">
      <w:r>
        <w:t>ATA. (2024). General Information/Press Room. American Thyroid Association.</w:t>
      </w:r>
      <w:hyperlink r:id="rId114" w:history="1">
        <w:r>
          <w:rPr>
            <w:rStyle w:val="Hyperlink"/>
            <w:rFonts w:cs="Calibri"/>
            <w:color w:val="000000"/>
          </w:rPr>
          <w:t xml:space="preserve"> </w:t>
        </w:r>
        <w:r>
          <w:rPr>
            <w:rStyle w:val="Hyperlink"/>
            <w:rFonts w:cs="Calibri"/>
            <w:color w:val="1155CC"/>
          </w:rPr>
          <w:t>https://www.thyroid.org/media-main/press-room/</w:t>
        </w:r>
      </w:hyperlink>
    </w:p>
    <w:p w14:paraId="58B85D10" w14:textId="77777777" w:rsidR="001F7A47" w:rsidRDefault="001F7A47" w:rsidP="001F7A47">
      <w:r>
        <w:t>Aquaron, R., Delange, F., Marchal, P., Vincent, L., &amp; Ninane, L. (2002). Bioavailability of Seaweed Iodine in Human Beings. Cellular and Molecular Biology, 48(5), 563–569.</w:t>
      </w:r>
    </w:p>
    <w:p w14:paraId="33D705F5" w14:textId="77777777" w:rsidR="001F7A47" w:rsidRDefault="001F7A47" w:rsidP="001F7A47">
      <w:r>
        <w:rPr>
          <w:color w:val="222222"/>
          <w:shd w:val="clear" w:color="auto" w:fill="FFFFFF"/>
        </w:rPr>
        <w:t>Banach, J. L., E. F. Hoek‐van den Hil, and H. J. van der Fels‐Klerx. "Food safety hazards in the European seaweed chain." </w:t>
      </w:r>
      <w:r>
        <w:rPr>
          <w:i/>
          <w:iCs/>
          <w:color w:val="222222"/>
          <w:shd w:val="clear" w:color="auto" w:fill="FFFFFF"/>
        </w:rPr>
        <w:t>Comprehensive reviews in food science and food safety</w:t>
      </w:r>
      <w:r>
        <w:rPr>
          <w:color w:val="222222"/>
          <w:shd w:val="clear" w:color="auto" w:fill="FFFFFF"/>
        </w:rPr>
        <w:t> 19.2 (2020): 332-364.</w:t>
      </w:r>
    </w:p>
    <w:p w14:paraId="5B0C44FF" w14:textId="77777777" w:rsidR="001F7A47" w:rsidRDefault="001F7A47" w:rsidP="001F7A47">
      <w:r>
        <w:t xml:space="preserve">Bouga, M., &amp; Combet, E. (2015). Emergence of seaweed and seaweed-containing foods in the uk: Focus on labeling, iodine content, toxicity and nutrition. Foods, 4(2), 240–253. </w:t>
      </w:r>
      <w:hyperlink r:id="rId115" w:history="1">
        <w:r>
          <w:rPr>
            <w:rStyle w:val="Hyperlink"/>
            <w:rFonts w:cs="Calibri"/>
            <w:color w:val="1155CC"/>
          </w:rPr>
          <w:t>https://doi.org/10.3390/foods4020240</w:t>
        </w:r>
      </w:hyperlink>
    </w:p>
    <w:p w14:paraId="00BFBEEF" w14:textId="77777777" w:rsidR="001F7A47" w:rsidRDefault="001F7A47" w:rsidP="001F7A47">
      <w:r>
        <w:rPr>
          <w:color w:val="222222"/>
          <w:shd w:val="clear" w:color="auto" w:fill="FFFFFF"/>
        </w:rPr>
        <w:t>Carafa, R., Wollgast, J., Canuti, E., Ligthart, J., Dueri, S., Hanke, G., Eisenreich, S.J., Viaroli, P. and Zaldívar, J.M., 2007. Seasonal variations of selected herbicides and related metabolites in water, sediment, seaweed and clams in the Sacca di Goro coastal lagoon (Northern Adriatic). </w:t>
      </w:r>
      <w:r>
        <w:rPr>
          <w:i/>
          <w:iCs/>
          <w:color w:val="222222"/>
          <w:shd w:val="clear" w:color="auto" w:fill="FFFFFF"/>
        </w:rPr>
        <w:t>Chemosphere</w:t>
      </w:r>
      <w:r>
        <w:rPr>
          <w:color w:val="222222"/>
          <w:shd w:val="clear" w:color="auto" w:fill="FFFFFF"/>
        </w:rPr>
        <w:t>, </w:t>
      </w:r>
      <w:r>
        <w:rPr>
          <w:i/>
          <w:iCs/>
          <w:color w:val="222222"/>
          <w:shd w:val="clear" w:color="auto" w:fill="FFFFFF"/>
        </w:rPr>
        <w:t>69</w:t>
      </w:r>
      <w:r>
        <w:rPr>
          <w:color w:val="222222"/>
          <w:shd w:val="clear" w:color="auto" w:fill="FFFFFF"/>
        </w:rPr>
        <w:t>(10), pp.1625-1637.</w:t>
      </w:r>
    </w:p>
    <w:p w14:paraId="570C9790" w14:textId="5C14C6D8" w:rsidR="001F7A47" w:rsidRDefault="001F7A47" w:rsidP="001F7A47">
      <w:r>
        <w:t xml:space="preserve">CDC. (2024). Iodine and Breastfeeding. Center for Disease Control Website. </w:t>
      </w:r>
      <w:hyperlink r:id="rId116" w:history="1">
        <w:r>
          <w:rPr>
            <w:rStyle w:val="Hyperlink"/>
            <w:rFonts w:cs="Calibri"/>
          </w:rPr>
          <w:t>https://www.cdc.gov/breastfeeding-special-circumstances/hcp/diet-micronutrients/iodine.html</w:t>
        </w:r>
      </w:hyperlink>
    </w:p>
    <w:p w14:paraId="191F46C2" w14:textId="77777777" w:rsidR="001F7A47" w:rsidRDefault="001F7A47" w:rsidP="001F7A47">
      <w:r w:rsidRPr="00E125EA">
        <w:rPr>
          <w:lang w:val="es-ES"/>
        </w:rPr>
        <w:t xml:space="preserve">Circuncisão, A. R., Catarino, M. D., Cardoso, S. M., &amp; Silva, A. M. S. (2018). </w:t>
      </w:r>
      <w:r>
        <w:t xml:space="preserve">Minerals from macroalgae origin: Health benefits and risks for consumers. Marine Drugs, 16(11). </w:t>
      </w:r>
      <w:hyperlink r:id="rId117" w:history="1">
        <w:r>
          <w:rPr>
            <w:rStyle w:val="Hyperlink"/>
            <w:rFonts w:cs="Calibri"/>
            <w:color w:val="1155CC"/>
          </w:rPr>
          <w:t>https://doi.org/10.3390/md16110400</w:t>
        </w:r>
      </w:hyperlink>
    </w:p>
    <w:p w14:paraId="5FEA3E71" w14:textId="77777777" w:rsidR="001F7A47" w:rsidRDefault="001F7A47" w:rsidP="001F7A47">
      <w:r>
        <w:t xml:space="preserve">Dasgupta, P. K., Liu, Y., &amp; Dyke, J. V. (2008). Iodine nutrition: Iodine content of iodized salt in the United States (Environmental Science and Technology (2008) 42, (1315-1323)). Environmental Science and Technology, 42(18), 7025. </w:t>
      </w:r>
      <w:hyperlink r:id="rId118" w:history="1">
        <w:r>
          <w:rPr>
            <w:rStyle w:val="Hyperlink"/>
            <w:rFonts w:cs="Calibri"/>
            <w:color w:val="1155CC"/>
          </w:rPr>
          <w:t>https://doi.org/10.1021/es8016073</w:t>
        </w:r>
      </w:hyperlink>
    </w:p>
    <w:p w14:paraId="386A5735" w14:textId="11A0ACE0" w:rsidR="001F7A47" w:rsidRDefault="001F7A47" w:rsidP="001F7A47">
      <w:r>
        <w:t xml:space="preserve">Domínguez-González, M. R., Chiocchetti, G. M., Herbello-Hermelo, P., Vélez, D., Devesa, V., &amp; Bermejo-Barrera, P. (2017). Evaluation of Iodine Bioavailability in Seaweed Using in Vitro Methods. Journal of Agricultural and Food Chemistry, 65(38), 8435–8442. </w:t>
      </w:r>
      <w:hyperlink r:id="rId119" w:history="1">
        <w:r>
          <w:rPr>
            <w:rStyle w:val="Hyperlink"/>
            <w:rFonts w:cs="Calibri"/>
            <w:color w:val="1155CC"/>
          </w:rPr>
          <w:t>https://doi.org/10.1021/acs.jafc.7b02151</w:t>
        </w:r>
      </w:hyperlink>
    </w:p>
    <w:p w14:paraId="62A06425" w14:textId="77777777" w:rsidR="001F7A47" w:rsidRDefault="001F7A47" w:rsidP="001F7A47">
      <w:r w:rsidRPr="00E125EA">
        <w:rPr>
          <w:lang w:val="es-ES"/>
        </w:rPr>
        <w:lastRenderedPageBreak/>
        <w:t xml:space="preserve">Dujardin, B., Ferreira de Sousa, R., &amp; Gómez Ruiz, J. Á. (2023). </w:t>
      </w:r>
      <w:r>
        <w:t xml:space="preserve">Dietary exposure to heavy metals and iodine intake via consumption of seaweeds and halophytes in the European population. EFSA Journal, 21(1), 1–47. </w:t>
      </w:r>
      <w:hyperlink r:id="rId120" w:history="1">
        <w:r>
          <w:rPr>
            <w:rStyle w:val="Hyperlink"/>
            <w:rFonts w:cs="Calibri"/>
            <w:color w:val="1155CC"/>
          </w:rPr>
          <w:t>https://doi.org/10.2903/j.efsa.2023.7798</w:t>
        </w:r>
      </w:hyperlink>
    </w:p>
    <w:p w14:paraId="3E2EBBC1" w14:textId="77777777" w:rsidR="001F7A47" w:rsidRDefault="001F7A47" w:rsidP="001F7A47">
      <w:r>
        <w:t>EFSA Scientific Committee on Food. (2006). Tolerable upper intake level on vitamins and minerals. In European Food Safety Authority (EFSA).</w:t>
      </w:r>
    </w:p>
    <w:p w14:paraId="21E5AC90" w14:textId="77777777" w:rsidR="001F7A47" w:rsidRDefault="001F7A47" w:rsidP="001F7A47">
      <w:r>
        <w:rPr>
          <w:color w:val="222222"/>
          <w:shd w:val="clear" w:color="auto" w:fill="FFFFFF"/>
        </w:rPr>
        <w:t>EFSA (European Food Safety Authority), 2018. The 2016 European Union report on pesticide residues in food. </w:t>
      </w:r>
      <w:r>
        <w:rPr>
          <w:i/>
          <w:iCs/>
          <w:color w:val="222222"/>
          <w:shd w:val="clear" w:color="auto" w:fill="FFFFFF"/>
        </w:rPr>
        <w:t>EFSA Journal</w:t>
      </w:r>
      <w:r>
        <w:rPr>
          <w:color w:val="222222"/>
          <w:shd w:val="clear" w:color="auto" w:fill="FFFFFF"/>
        </w:rPr>
        <w:t>, </w:t>
      </w:r>
      <w:r>
        <w:rPr>
          <w:i/>
          <w:iCs/>
          <w:color w:val="222222"/>
          <w:shd w:val="clear" w:color="auto" w:fill="FFFFFF"/>
        </w:rPr>
        <w:t>16</w:t>
      </w:r>
      <w:r>
        <w:rPr>
          <w:color w:val="222222"/>
          <w:shd w:val="clear" w:color="auto" w:fill="FFFFFF"/>
        </w:rPr>
        <w:t>(7), p.e05348.</w:t>
      </w:r>
    </w:p>
    <w:p w14:paraId="0319D4CD" w14:textId="77777777" w:rsidR="001F7A47" w:rsidRDefault="001F7A47" w:rsidP="001F7A47">
      <w:r>
        <w:t xml:space="preserve">Farebrother, J., Zimmermann, M. B., &amp; Andersson, M. (2019). Excess iodine intake: sources, assessment, and effects on thyroid function. Annals of the New York Academy of Sciences, 1446(1), 44–65. </w:t>
      </w:r>
      <w:hyperlink r:id="rId121" w:history="1">
        <w:r>
          <w:rPr>
            <w:rStyle w:val="Hyperlink"/>
            <w:rFonts w:cs="Calibri"/>
            <w:color w:val="1155CC"/>
          </w:rPr>
          <w:t>https://doi.org/10.1111/nyas.14041</w:t>
        </w:r>
      </w:hyperlink>
    </w:p>
    <w:p w14:paraId="110570B3" w14:textId="77777777" w:rsidR="001F7A47" w:rsidRDefault="001F7A47" w:rsidP="001F7A47">
      <w:r>
        <w:t xml:space="preserve">Fievet, B., Voiseux, C., Leblanc, C., Maro, D., Hebert, D., Solier, L., &amp; Godinot, C. (2023). Iodine uptake in brown seaweed exposed to radioactive liquid discharges from the reprocessing plant of ORANO La Hague. Journal of Environmental Radioactivity, 256(June 2022), 107045. </w:t>
      </w:r>
      <w:hyperlink r:id="rId122" w:history="1">
        <w:r>
          <w:rPr>
            <w:rStyle w:val="Hyperlink"/>
            <w:rFonts w:cs="Calibri"/>
            <w:color w:val="1155CC"/>
          </w:rPr>
          <w:t>https://doi.org/10.1016/j.jenvrad.2022.107045</w:t>
        </w:r>
      </w:hyperlink>
    </w:p>
    <w:p w14:paraId="18C14DA9" w14:textId="7D7BCE27" w:rsidR="001F7A47" w:rsidRDefault="001F7A47" w:rsidP="001F7A47">
      <w:r w:rsidRPr="00E125EA">
        <w:rPr>
          <w:color w:val="222222"/>
          <w:shd w:val="clear" w:color="auto" w:fill="FFFFFF"/>
          <w:lang w:val="es-ES"/>
        </w:rPr>
        <w:t xml:space="preserve">García-Rodríguez, D., Cela-Torrijos, R., Lorenzo-Ferreira, R.A. and Carro-Díaz, A.M., 2012. </w:t>
      </w:r>
      <w:r>
        <w:rPr>
          <w:color w:val="222222"/>
          <w:shd w:val="clear" w:color="auto" w:fill="FFFFFF"/>
        </w:rPr>
        <w:t>Analysis of pesticide residues in seaweeds using matrix solid-phase dispersion and gas chromatography–mass spectrometry detection. </w:t>
      </w:r>
      <w:r>
        <w:rPr>
          <w:i/>
          <w:iCs/>
          <w:color w:val="222222"/>
          <w:shd w:val="clear" w:color="auto" w:fill="FFFFFF"/>
        </w:rPr>
        <w:t>Food Chemistry</w:t>
      </w:r>
      <w:r>
        <w:rPr>
          <w:color w:val="222222"/>
          <w:shd w:val="clear" w:color="auto" w:fill="FFFFFF"/>
        </w:rPr>
        <w:t>, </w:t>
      </w:r>
      <w:r>
        <w:rPr>
          <w:i/>
          <w:iCs/>
          <w:color w:val="222222"/>
          <w:shd w:val="clear" w:color="auto" w:fill="FFFFFF"/>
        </w:rPr>
        <w:t>135</w:t>
      </w:r>
      <w:r>
        <w:rPr>
          <w:color w:val="222222"/>
          <w:shd w:val="clear" w:color="auto" w:fill="FFFFFF"/>
        </w:rPr>
        <w:t>(1), pp.259-267.</w:t>
      </w:r>
    </w:p>
    <w:p w14:paraId="4ACD1393" w14:textId="34DF819A" w:rsidR="001F7A47" w:rsidRDefault="001F7A47" w:rsidP="001F7A47">
      <w:r>
        <w:t xml:space="preserve">Hartstock, M. D. (1927). Abuse of Iodin, Especially of Iodized Salt, in The Prevention of Goiter. Annals of Internal Medicine, 1(1), 24. </w:t>
      </w:r>
      <w:hyperlink r:id="rId123" w:history="1">
        <w:r>
          <w:rPr>
            <w:rStyle w:val="Hyperlink"/>
            <w:rFonts w:cs="Calibri"/>
            <w:color w:val="1155CC"/>
          </w:rPr>
          <w:t>https://doi.org/10.7326/0003-4819-1-1-24</w:t>
        </w:r>
      </w:hyperlink>
    </w:p>
    <w:p w14:paraId="3874DDAC" w14:textId="77777777" w:rsidR="001F7A47" w:rsidRDefault="001F7A47" w:rsidP="001F7A47">
      <w:r>
        <w:t>Hahn JL, Van Alstyne KL, Gaydos JK, Wallis LK, West JE, Hollenhorst SJ, et al. (2022) Chemical contaminant levels in edible seaweeds of the Salish Sea and implications for their consumption. PLoS ONE 17(9): e0269269. https:// doi.org/10.1371/journal.pone.026926</w:t>
      </w:r>
    </w:p>
    <w:p w14:paraId="7668DF35" w14:textId="640BD461" w:rsidR="001F7A47" w:rsidRDefault="001F7A47" w:rsidP="001F7A47">
      <w:r>
        <w:t>Hatch-McChesney, A., &amp; Lieberman, H. R. (2022). Iodine and Iodine Deficiency : A Comprehensive Review of a Re-Emerging Issue. Nutrients, 3474(14), 1–11.</w:t>
      </w:r>
    </w:p>
    <w:p w14:paraId="3047D849" w14:textId="77777777" w:rsidR="001F7A47" w:rsidRDefault="001F7A47" w:rsidP="001F7A47">
      <w:r>
        <w:t xml:space="preserve">Institute of Medicine. (2001). Dietary Reference Intakes for Vitamin A, Vitamin K, Arsenic, Boron, Chromium, Copper, Iodine, Iron, Manganese, Molybdenum, Nickel, Silicon, Vanadium, and Zinc. In Dietary Reference Intakes for Vitamin A, Vitamin K, Arsenic, Boron, Chromium, Copper, Iodine, Iron, Manganese, Molybdenum, Nickel, Silicon, Vanadium, and Zinc (pp. 258–289). The National Academies Press. </w:t>
      </w:r>
      <w:hyperlink r:id="rId124" w:history="1">
        <w:r>
          <w:rPr>
            <w:rStyle w:val="Hyperlink"/>
            <w:rFonts w:cs="Calibri"/>
            <w:color w:val="1155CC"/>
          </w:rPr>
          <w:t>https://doi.org/10.17226/10026</w:t>
        </w:r>
      </w:hyperlink>
    </w:p>
    <w:p w14:paraId="4F412EE0" w14:textId="0473A84A" w:rsidR="001F7A47" w:rsidRDefault="001F7A47" w:rsidP="001F7A47">
      <w:r>
        <w:t xml:space="preserve">Institute of Medicine Committee on Use of Dietary Reference Intakes in Nutrition Labeling. (2003). Overview of Food Fortification in the United States and Canada. In Dietary Reference intakes: Guiding principles for Nutrition labeling and fortification: Committee on use of dietary </w:t>
      </w:r>
      <w:r>
        <w:lastRenderedPageBreak/>
        <w:t xml:space="preserve">reference intakes in nutrition labeling (pp. 45–55). National Academies Press (US). </w:t>
      </w:r>
      <w:hyperlink r:id="rId125" w:history="1">
        <w:r>
          <w:rPr>
            <w:rStyle w:val="Hyperlink"/>
            <w:rFonts w:cs="Calibri"/>
          </w:rPr>
          <w:t>https://www.ncbi.nlm.nih.gov/books/NBK208881/pdf/Bookshelf_NBK208881.pdf</w:t>
        </w:r>
      </w:hyperlink>
    </w:p>
    <w:p w14:paraId="12B036B9" w14:textId="77777777" w:rsidR="001F7A47" w:rsidRDefault="001F7A47" w:rsidP="001F7A47">
      <w:r>
        <w:t xml:space="preserve">Krook, J. L., Duinker, A., Larssen, W. E., Birkeland, I. M., Skeie, S., Horn, S. J., &amp; Stévant, P. (2023). Approaches for reducing the iodine content of the brown seaweed </w:t>
      </w:r>
      <w:r>
        <w:rPr>
          <w:i/>
          <w:iCs/>
        </w:rPr>
        <w:t>Saccharina latissima</w:t>
      </w:r>
      <w:r>
        <w:t xml:space="preserve">—effects on sensory properties. Journal of Applied Phycology, 0123456789. </w:t>
      </w:r>
      <w:hyperlink r:id="rId126" w:history="1">
        <w:r>
          <w:rPr>
            <w:rStyle w:val="Hyperlink"/>
            <w:rFonts w:cs="Calibri"/>
            <w:color w:val="1155CC"/>
          </w:rPr>
          <w:t>https://doi.org/10.1007/s10811-023-02974-5</w:t>
        </w:r>
      </w:hyperlink>
    </w:p>
    <w:p w14:paraId="0D30078A" w14:textId="77777777" w:rsidR="001F7A47" w:rsidRDefault="001F7A47" w:rsidP="001F7A47">
      <w:r>
        <w:t xml:space="preserve">Lee, K., Bradley, R., Dwyer, J., &amp; Lee, S. L. (1999). Too much versus too little: The implications of current iodine intake in the United States. Nutrition Reviews, 57(6), 177–181. </w:t>
      </w:r>
      <w:hyperlink r:id="rId127" w:history="1">
        <w:r>
          <w:rPr>
            <w:rStyle w:val="Hyperlink"/>
            <w:rFonts w:cs="Calibri"/>
            <w:color w:val="1155CC"/>
          </w:rPr>
          <w:t>https://doi.org/10.1111/j.1753-4887.1999.tb06940.x</w:t>
        </w:r>
      </w:hyperlink>
    </w:p>
    <w:p w14:paraId="7473C3DE" w14:textId="256AC32E" w:rsidR="001F7A47" w:rsidRDefault="001F7A47" w:rsidP="001F7A47">
      <w:r>
        <w:rPr>
          <w:color w:val="222222"/>
          <w:shd w:val="clear" w:color="auto" w:fill="FFFFFF"/>
        </w:rPr>
        <w:t>Lee, H., Kim, M., Park, M., Cho, M., Hur, J.W., Lee, Y., Jo, M.R., Lee, J.G. and Im, M.H., 2024. Determination of 57 pesticide residues in fishery products by GC tandem mass spectrometry combined with QuEChERS (quick, easy, cheap, effective, rugged, and safe) extraction. </w:t>
      </w:r>
      <w:r>
        <w:rPr>
          <w:i/>
          <w:iCs/>
          <w:color w:val="222222"/>
          <w:shd w:val="clear" w:color="auto" w:fill="FFFFFF"/>
        </w:rPr>
        <w:t>Food Science and Biotechnology</w:t>
      </w:r>
      <w:r>
        <w:rPr>
          <w:color w:val="222222"/>
          <w:shd w:val="clear" w:color="auto" w:fill="FFFFFF"/>
        </w:rPr>
        <w:t>, </w:t>
      </w:r>
      <w:r>
        <w:rPr>
          <w:i/>
          <w:iCs/>
          <w:color w:val="222222"/>
          <w:shd w:val="clear" w:color="auto" w:fill="FFFFFF"/>
        </w:rPr>
        <w:t>33</w:t>
      </w:r>
      <w:r>
        <w:rPr>
          <w:color w:val="222222"/>
          <w:shd w:val="clear" w:color="auto" w:fill="FFFFFF"/>
        </w:rPr>
        <w:t>(4), pp.831-853.</w:t>
      </w:r>
    </w:p>
    <w:p w14:paraId="182E0081" w14:textId="77777777" w:rsidR="001F7A47" w:rsidRDefault="001F7A47" w:rsidP="001F7A47">
      <w:r>
        <w:t>Leung, A. M., &amp; Braverman, L. E. (2014). Consequences of excess iodine. Nature Reviews Endocrinology, 10, 136–142. doi:10.1038/nrendo.2013.251 </w:t>
      </w:r>
    </w:p>
    <w:p w14:paraId="37D61B39" w14:textId="77777777" w:rsidR="001F7A47" w:rsidRDefault="001F7A47" w:rsidP="001F7A47">
      <w:r>
        <w:t xml:space="preserve">Leung, A. M., Braverman, L. E., &amp; Pearce, E. N. (2012). History of U.S. iodine fortification and supplementation. Nutrients, 4(11), 1740–1746. </w:t>
      </w:r>
      <w:hyperlink r:id="rId128" w:history="1">
        <w:r>
          <w:rPr>
            <w:rStyle w:val="Hyperlink"/>
            <w:rFonts w:cs="Calibri"/>
            <w:color w:val="1155CC"/>
          </w:rPr>
          <w:t>https://doi.org/10.3390/nu4111740</w:t>
        </w:r>
      </w:hyperlink>
    </w:p>
    <w:p w14:paraId="2BDF22B0" w14:textId="77777777" w:rsidR="001F7A47" w:rsidRDefault="001F7A47" w:rsidP="001F7A47">
      <w:r>
        <w:rPr>
          <w:color w:val="222222"/>
          <w:shd w:val="clear" w:color="auto" w:fill="FFFFFF"/>
        </w:rPr>
        <w:t>Li, J.Y., Yang, F., Jin, L., Wang, Q., Yin, J., He, P. and Chen, Y., 2018. Safety and quality of the green tide algal species Ulva prolifera for option of human consumption: A nutrition and contamination study. </w:t>
      </w:r>
      <w:r>
        <w:rPr>
          <w:i/>
          <w:iCs/>
          <w:color w:val="222222"/>
          <w:shd w:val="clear" w:color="auto" w:fill="FFFFFF"/>
        </w:rPr>
        <w:t>Chemosphere</w:t>
      </w:r>
      <w:r>
        <w:rPr>
          <w:color w:val="222222"/>
          <w:shd w:val="clear" w:color="auto" w:fill="FFFFFF"/>
        </w:rPr>
        <w:t>, </w:t>
      </w:r>
      <w:r>
        <w:rPr>
          <w:i/>
          <w:iCs/>
          <w:color w:val="222222"/>
          <w:shd w:val="clear" w:color="auto" w:fill="FFFFFF"/>
        </w:rPr>
        <w:t>210</w:t>
      </w:r>
      <w:r>
        <w:rPr>
          <w:color w:val="222222"/>
          <w:shd w:val="clear" w:color="auto" w:fill="FFFFFF"/>
        </w:rPr>
        <w:t>, pp.1021-1028.</w:t>
      </w:r>
    </w:p>
    <w:p w14:paraId="2A4290A2" w14:textId="77777777" w:rsidR="001F7A47" w:rsidRDefault="001F7A47" w:rsidP="001F7A47">
      <w:r>
        <w:t>Mouritsen, O. G. (2013). Seaweeds: Edible, Available, and Sustainable. The University of Chicago Press.</w:t>
      </w:r>
    </w:p>
    <w:p w14:paraId="56B35065" w14:textId="77777777" w:rsidR="001F7A47" w:rsidRDefault="001F7A47" w:rsidP="001F7A47">
      <w:r>
        <w:t>Mussig, K. (2009). Iodine-induced toxic effects due to seaweed consumption. In Comprehensive Handbook of Iodine: Nutritional, Biochemical, Pathological and Therapeutic Aspects (pp. 897–908).</w:t>
      </w:r>
    </w:p>
    <w:p w14:paraId="38201FB6" w14:textId="74E952AF" w:rsidR="001F7A47" w:rsidRDefault="001F7A47" w:rsidP="001F7A47">
      <w:r>
        <w:t xml:space="preserve">Nielsen, C. W., Holdt, S.L., Sloth, J.J., Marinho, G.S., Sæther, M., Funderud, J., Rustad, T. (2020) Reducing the High Iodine Content of </w:t>
      </w:r>
      <w:r>
        <w:rPr>
          <w:i/>
          <w:iCs/>
        </w:rPr>
        <w:t>Saccharina latissima</w:t>
      </w:r>
      <w:r>
        <w:t xml:space="preserve"> and Improving the Profile of Other Valuable Compounds by Water Blanching. Foods, 9(5), 1-15. </w:t>
      </w:r>
      <w:hyperlink r:id="rId129" w:history="1">
        <w:r>
          <w:rPr>
            <w:rStyle w:val="Hyperlink"/>
            <w:rFonts w:cs="Calibri"/>
            <w:color w:val="1155CC"/>
          </w:rPr>
          <w:t>https://doi.org/10.3390/foods9050569</w:t>
        </w:r>
      </w:hyperlink>
    </w:p>
    <w:p w14:paraId="436D6DF9" w14:textId="3907A247" w:rsidR="001F7A47" w:rsidRDefault="001F7A47" w:rsidP="001F7A47">
      <w:r>
        <w:t xml:space="preserve">National Institute of Health. (2024). Iodine: Factsheet for Health Professionals. National Institute of Health. </w:t>
      </w:r>
      <w:hyperlink r:id="rId130" w:anchor="h24" w:history="1">
        <w:r>
          <w:rPr>
            <w:rStyle w:val="Hyperlink"/>
            <w:rFonts w:cs="Calibri"/>
            <w:color w:val="1155CC"/>
          </w:rPr>
          <w:t>https://ods.od.nih.gov/factsheets/Iodine-HealthProfessional/#h24</w:t>
        </w:r>
      </w:hyperlink>
    </w:p>
    <w:p w14:paraId="5820AFAA" w14:textId="77777777" w:rsidR="001F7A47" w:rsidRDefault="001F7A47" w:rsidP="001F7A47">
      <w:r>
        <w:lastRenderedPageBreak/>
        <w:t xml:space="preserve">Nitschke, U., &amp; Stengel, D. B. (2016). Quantification of iodine loss in edible Irish seaweeds during processing. Journal of Applied Phycology, 28(6), 3527–3533. </w:t>
      </w:r>
      <w:hyperlink r:id="rId131" w:history="1">
        <w:r>
          <w:rPr>
            <w:rStyle w:val="Hyperlink"/>
            <w:rFonts w:cs="Calibri"/>
            <w:color w:val="1155CC"/>
          </w:rPr>
          <w:t>https://doi.org/10.1007/s10811-016-0868-6</w:t>
        </w:r>
      </w:hyperlink>
    </w:p>
    <w:p w14:paraId="78FFEE29" w14:textId="77777777" w:rsidR="001F7A47" w:rsidRDefault="001F7A47" w:rsidP="001F7A47">
      <w:r>
        <w:t xml:space="preserve">Nitschke, U., Walsh, P., McDaid, J., &amp; Stengel, D. B. (2018). Variability in iodine in temperate seaweeds and iodine accumulation kinetics of </w:t>
      </w:r>
      <w:r>
        <w:rPr>
          <w:i/>
          <w:iCs/>
        </w:rPr>
        <w:t>Fucus vesiculosus</w:t>
      </w:r>
      <w:r>
        <w:t xml:space="preserve"> and </w:t>
      </w:r>
      <w:r>
        <w:rPr>
          <w:i/>
          <w:iCs/>
        </w:rPr>
        <w:t>Laminaria digitata</w:t>
      </w:r>
      <w:r>
        <w:t xml:space="preserve"> (Phaeophyceae, Ochrophyta). Journal of Phycology, 54(1), 114–125. </w:t>
      </w:r>
      <w:hyperlink r:id="rId132" w:history="1">
        <w:r>
          <w:rPr>
            <w:rStyle w:val="Hyperlink"/>
            <w:rFonts w:cs="Calibri"/>
            <w:color w:val="1155CC"/>
          </w:rPr>
          <w:t>https://doi.org/10.1111/jpy.12606</w:t>
        </w:r>
      </w:hyperlink>
    </w:p>
    <w:p w14:paraId="0D60A032" w14:textId="77777777" w:rsidR="001F7A47" w:rsidRPr="00E125EA" w:rsidRDefault="001F7A47" w:rsidP="001F7A47">
      <w:pPr>
        <w:rPr>
          <w:lang w:val="es-ES"/>
        </w:rPr>
      </w:pPr>
      <w:r>
        <w:t xml:space="preserve">Norwegian Seaweed Association. (2021). AS Industry guidelines: Cultivation, harvesting and handling of sugar kelp and winged kelp (version 2.1-12.2021). </w:t>
      </w:r>
      <w:hyperlink r:id="rId133" w:history="1">
        <w:r w:rsidRPr="00E125EA">
          <w:rPr>
            <w:rStyle w:val="Hyperlink"/>
            <w:rFonts w:cs="Calibri"/>
            <w:color w:val="1155CC"/>
            <w:lang w:val="es-ES"/>
          </w:rPr>
          <w:t>https://lovdata.no/dokument/NL/lov/2003-12-19-124</w:t>
        </w:r>
      </w:hyperlink>
    </w:p>
    <w:p w14:paraId="288DC8F1" w14:textId="0BCE7629" w:rsidR="001F7A47" w:rsidRDefault="001F7A47" w:rsidP="001F7A47">
      <w:r w:rsidRPr="00E125EA">
        <w:rPr>
          <w:color w:val="222222"/>
          <w:shd w:val="clear" w:color="auto" w:fill="FFFFFF"/>
          <w:lang w:val="es-ES"/>
        </w:rPr>
        <w:t xml:space="preserve">Pavoni, Bruno, et al. </w:t>
      </w:r>
      <w:r>
        <w:rPr>
          <w:color w:val="222222"/>
          <w:shd w:val="clear" w:color="auto" w:fill="FFFFFF"/>
        </w:rPr>
        <w:t>"Organic micropollutants (PAHs, PCBs, pesticides) in seaweeds of the lagoon of Venice." </w:t>
      </w:r>
      <w:r>
        <w:rPr>
          <w:i/>
          <w:iCs/>
          <w:color w:val="222222"/>
          <w:shd w:val="clear" w:color="auto" w:fill="FFFFFF"/>
        </w:rPr>
        <w:t>Oceanologica Acta</w:t>
      </w:r>
      <w:r>
        <w:rPr>
          <w:color w:val="222222"/>
          <w:shd w:val="clear" w:color="auto" w:fill="FFFFFF"/>
        </w:rPr>
        <w:t> 26.5-6 (2003): 585-596.</w:t>
      </w:r>
    </w:p>
    <w:p w14:paraId="626282C4" w14:textId="77777777" w:rsidR="001F7A47" w:rsidRDefault="001F7A47" w:rsidP="001F7A47">
      <w:r>
        <w:rPr>
          <w:color w:val="222222"/>
          <w:shd w:val="clear" w:color="auto" w:fill="FFFFFF"/>
        </w:rPr>
        <w:t>Polat, A., Polat, S., Simsek, A., Kurt, T.T. and Ozyurt, G., 2018. Pesticide residues in muscles of some marine fish species and seaweeds of Iskenderun Bay (Northeastern Mediterranean), Turkey. </w:t>
      </w:r>
      <w:r>
        <w:rPr>
          <w:i/>
          <w:iCs/>
          <w:color w:val="222222"/>
          <w:shd w:val="clear" w:color="auto" w:fill="FFFFFF"/>
        </w:rPr>
        <w:t>Environmental Science and Pollution Research</w:t>
      </w:r>
      <w:r>
        <w:rPr>
          <w:color w:val="222222"/>
          <w:shd w:val="clear" w:color="auto" w:fill="FFFFFF"/>
        </w:rPr>
        <w:t>, </w:t>
      </w:r>
      <w:r>
        <w:rPr>
          <w:i/>
          <w:iCs/>
          <w:color w:val="222222"/>
          <w:shd w:val="clear" w:color="auto" w:fill="FFFFFF"/>
        </w:rPr>
        <w:t>25</w:t>
      </w:r>
      <w:r>
        <w:rPr>
          <w:color w:val="222222"/>
          <w:shd w:val="clear" w:color="auto" w:fill="FFFFFF"/>
        </w:rPr>
        <w:t>, pp.3756-3764.</w:t>
      </w:r>
    </w:p>
    <w:p w14:paraId="377A8428" w14:textId="0A97AA16" w:rsidR="001F7A47" w:rsidRDefault="001F7A47" w:rsidP="001F7A47">
      <w:r>
        <w:rPr>
          <w:color w:val="222222"/>
          <w:shd w:val="clear" w:color="auto" w:fill="FFFFFF"/>
        </w:rPr>
        <w:t>Qiu, Y.W., Zeng, E.Y., Qiu, H., Yu, K. and Cai, S., 2017. Bioconcentration of polybrominated diphenyl ethers and organochlorine pesticides in algae is an important contaminant route to higher trophic levels. </w:t>
      </w:r>
      <w:r>
        <w:rPr>
          <w:i/>
          <w:iCs/>
          <w:color w:val="222222"/>
          <w:shd w:val="clear" w:color="auto" w:fill="FFFFFF"/>
        </w:rPr>
        <w:t>Science of the Total Environment</w:t>
      </w:r>
      <w:r>
        <w:rPr>
          <w:color w:val="222222"/>
          <w:shd w:val="clear" w:color="auto" w:fill="FFFFFF"/>
        </w:rPr>
        <w:t>, </w:t>
      </w:r>
      <w:r>
        <w:rPr>
          <w:i/>
          <w:iCs/>
          <w:color w:val="222222"/>
          <w:shd w:val="clear" w:color="auto" w:fill="FFFFFF"/>
        </w:rPr>
        <w:t>579</w:t>
      </w:r>
      <w:r>
        <w:rPr>
          <w:color w:val="222222"/>
          <w:shd w:val="clear" w:color="auto" w:fill="FFFFFF"/>
        </w:rPr>
        <w:t>, pp.1885-1893.</w:t>
      </w:r>
    </w:p>
    <w:p w14:paraId="722CCB2B" w14:textId="77777777" w:rsidR="001F7A47" w:rsidRDefault="001F7A47" w:rsidP="001F7A47">
      <w:r>
        <w:t xml:space="preserve">Redway, M. L., &amp; Combet, E. (2023). Seaweed as food: survey of the UK market and appraisal of opportunities and risks in the context of iodine nutrition. British Food Journal, 125(10), 3601–3622. </w:t>
      </w:r>
      <w:hyperlink r:id="rId134" w:history="1">
        <w:r>
          <w:rPr>
            <w:rStyle w:val="Hyperlink"/>
            <w:rFonts w:cs="Calibri"/>
            <w:color w:val="1155CC"/>
          </w:rPr>
          <w:t>https://doi.org/10.1108/BFJ-01-2023-0024</w:t>
        </w:r>
      </w:hyperlink>
    </w:p>
    <w:p w14:paraId="3B7B2C41" w14:textId="77777777" w:rsidR="001F7A47" w:rsidRPr="00E125EA" w:rsidRDefault="001F7A47" w:rsidP="001F7A47">
      <w:pPr>
        <w:rPr>
          <w:lang w:val="es-ES"/>
        </w:rPr>
      </w:pPr>
      <w:r>
        <w:t xml:space="preserve">Romarís-Hortas, V., Bermejo-Barrera, P., Moreda-Piñeiro, J., &amp; Moreda-Piñeiro, A. (2012). Speciation of the bio-available iodine and bromine forms in edible seaweed by high performance liquid chromatography hyphenated with inductively coupled plasma-mass spectrometry. </w:t>
      </w:r>
      <w:r w:rsidRPr="00E125EA">
        <w:rPr>
          <w:lang w:val="es-ES"/>
        </w:rPr>
        <w:t xml:space="preserve">Analytica Chimica Acta, 745, 24–32. </w:t>
      </w:r>
      <w:hyperlink r:id="rId135" w:history="1">
        <w:r w:rsidRPr="00E125EA">
          <w:rPr>
            <w:rStyle w:val="Hyperlink"/>
            <w:rFonts w:cs="Calibri"/>
            <w:color w:val="1155CC"/>
            <w:lang w:val="es-ES"/>
          </w:rPr>
          <w:t>https://doi.org/10.1016/j.aca.2012.07.035</w:t>
        </w:r>
      </w:hyperlink>
    </w:p>
    <w:p w14:paraId="7F5D885C" w14:textId="77777777" w:rsidR="001F7A47" w:rsidRDefault="001F7A47" w:rsidP="001F7A47">
      <w:r w:rsidRPr="00E125EA">
        <w:rPr>
          <w:lang w:val="es-ES"/>
        </w:rPr>
        <w:t xml:space="preserve">Saenko, G. N., Kravtsova, Y. Y., Ivanenko, V. V., &amp; Sheludko, S. I. (1978). </w:t>
      </w:r>
      <w:r>
        <w:t xml:space="preserve">Concentration of lodine and bromine by plants in the seas of Japan and Okhotsk. Marine Biology, 47(3), 243–250. </w:t>
      </w:r>
      <w:hyperlink r:id="rId136" w:history="1">
        <w:r>
          <w:rPr>
            <w:rStyle w:val="Hyperlink"/>
            <w:rFonts w:cs="Calibri"/>
            <w:color w:val="1155CC"/>
          </w:rPr>
          <w:t>https://doi.org/10.1007/BF00541002</w:t>
        </w:r>
      </w:hyperlink>
    </w:p>
    <w:p w14:paraId="42452DF4" w14:textId="77777777" w:rsidR="001F7A47" w:rsidRDefault="001F7A47" w:rsidP="001F7A47">
      <w:r>
        <w:t xml:space="preserve">Sá Monteiro, M., Sloth, J., Holdt, S., &amp; Hansen, M. (2019). Analysis and Risk Assessment of Seaweed. EFSA Journal, 17(S2). </w:t>
      </w:r>
      <w:hyperlink r:id="rId137" w:history="1">
        <w:r>
          <w:rPr>
            <w:rStyle w:val="Hyperlink"/>
            <w:rFonts w:cs="Calibri"/>
            <w:color w:val="1155CC"/>
          </w:rPr>
          <w:t>https://doi.org/10.2903/j.efsa.2019.e170915</w:t>
        </w:r>
      </w:hyperlink>
    </w:p>
    <w:p w14:paraId="7300BF48" w14:textId="77777777" w:rsidR="001F7A47" w:rsidRDefault="001F7A47" w:rsidP="001F7A47">
      <w:r>
        <w:t>Stévant, P., Marfaing, H., Duinker, A., Fleurence, J., Rustad, T., Sandbakken, I., &amp; Chapman, A. (2018). Biomass soaking treatments to reduce potentially undesirable compounds in the edible seaweeds sugar kelp (</w:t>
      </w:r>
      <w:r>
        <w:rPr>
          <w:i/>
          <w:iCs/>
        </w:rPr>
        <w:t>Saccharina latissima</w:t>
      </w:r>
      <w:r>
        <w:t>) and winged kelp (</w:t>
      </w:r>
      <w:r>
        <w:rPr>
          <w:i/>
          <w:iCs/>
        </w:rPr>
        <w:t>Alaria esculenta</w:t>
      </w:r>
      <w:r>
        <w:t xml:space="preserve">) and health risk </w:t>
      </w:r>
      <w:r>
        <w:lastRenderedPageBreak/>
        <w:t xml:space="preserve">estimation for human consumption. Journal of Applied Phycology, 30(3), 2047–2060. </w:t>
      </w:r>
      <w:hyperlink r:id="rId138" w:history="1">
        <w:r>
          <w:rPr>
            <w:rStyle w:val="Hyperlink"/>
            <w:rFonts w:cs="Calibri"/>
            <w:color w:val="1155CC"/>
          </w:rPr>
          <w:t>https://doi.org/10.1007/s10811-017-1343-8</w:t>
        </w:r>
      </w:hyperlink>
    </w:p>
    <w:p w14:paraId="7EB71E98" w14:textId="77777777" w:rsidR="001F7A47" w:rsidRDefault="001F7A47" w:rsidP="001F7A47">
      <w:r>
        <w:t xml:space="preserve">Sun, N., Tan, B., Sun, B., Zhang, J., Li, C., &amp; Yang, W. (2022). Evaluation of protein digestibility and iodine bioavailability in raw and cooked Sargassum fusiforme (harvey) setchell using in vitro methods. British Food Journal, 124(9), 2722–2739. </w:t>
      </w:r>
      <w:hyperlink r:id="rId139" w:history="1">
        <w:r>
          <w:rPr>
            <w:rStyle w:val="Hyperlink"/>
            <w:rFonts w:cs="Calibri"/>
            <w:color w:val="1155CC"/>
          </w:rPr>
          <w:t>https://doi.org/10.1108/BFJ-02-2021-0191</w:t>
        </w:r>
      </w:hyperlink>
    </w:p>
    <w:p w14:paraId="579E5976" w14:textId="7764C164" w:rsidR="001F7A47" w:rsidRDefault="001F7A47" w:rsidP="001F7A47">
      <w:r>
        <w:rPr>
          <w:color w:val="222222"/>
          <w:shd w:val="clear" w:color="auto" w:fill="FFFFFF"/>
        </w:rPr>
        <w:t>Sundhar, S., Shakila, R.J., Jeyasekaran, G., Aanand, S., Shalini, R., Arisekar, U., Surya, T., Malini, N.A.H. and Boda, S., 2020. Risk assessment of organochlorine pesticides in seaweeds along the Gulf of Mannar, Southeast India. </w:t>
      </w:r>
      <w:r>
        <w:rPr>
          <w:i/>
          <w:iCs/>
          <w:color w:val="222222"/>
          <w:shd w:val="clear" w:color="auto" w:fill="FFFFFF"/>
        </w:rPr>
        <w:t>Marine Pollution Bulletin</w:t>
      </w:r>
      <w:r>
        <w:rPr>
          <w:color w:val="222222"/>
          <w:shd w:val="clear" w:color="auto" w:fill="FFFFFF"/>
        </w:rPr>
        <w:t>, </w:t>
      </w:r>
      <w:r>
        <w:rPr>
          <w:i/>
          <w:iCs/>
          <w:color w:val="222222"/>
          <w:shd w:val="clear" w:color="auto" w:fill="FFFFFF"/>
        </w:rPr>
        <w:t>161</w:t>
      </w:r>
      <w:r>
        <w:rPr>
          <w:color w:val="222222"/>
          <w:shd w:val="clear" w:color="auto" w:fill="FFFFFF"/>
        </w:rPr>
        <w:t>, p.111709.</w:t>
      </w:r>
    </w:p>
    <w:p w14:paraId="70DAFA1A" w14:textId="77777777" w:rsidR="001F7A47" w:rsidRDefault="001F7A47" w:rsidP="001F7A47">
      <w:r>
        <w:t xml:space="preserve">Teas, J., Pino, S., Critchley, A., &amp; Braverman, L. E. (2004). Variability of iodine content in common commercially available edible seaweeds. Thyroid, 14(10), 836–841. </w:t>
      </w:r>
      <w:hyperlink r:id="rId140" w:history="1">
        <w:r>
          <w:rPr>
            <w:rStyle w:val="Hyperlink"/>
            <w:rFonts w:cs="Calibri"/>
            <w:color w:val="1155CC"/>
          </w:rPr>
          <w:t>https://doi.org/10.1089/thy.2004.14.836</w:t>
        </w:r>
      </w:hyperlink>
    </w:p>
    <w:p w14:paraId="1BB9A96A" w14:textId="77777777" w:rsidR="001F7A47" w:rsidRDefault="001F7A47" w:rsidP="001F7A47">
      <w:r>
        <w:t xml:space="preserve">Trigo, J. P., Stedt, K., Schmidt, A. E. M., Kollander, B., Edlund, U., Nylund, G., Pavia, H., Abdollahi, M., &amp; Undeland, I. (2023). Mild blanching prior to pH-shift processing of Saccharina latissima retains protein extraction yields and amino acid levels of extracts while minimizing iodine content. Food Chemistry, 404(October 2022). </w:t>
      </w:r>
      <w:hyperlink r:id="rId141" w:history="1">
        <w:r>
          <w:rPr>
            <w:rStyle w:val="Hyperlink"/>
            <w:rFonts w:cs="Calibri"/>
            <w:color w:val="1155CC"/>
          </w:rPr>
          <w:t>https://doi.org/10.1016/j.foodchem.2022.134576</w:t>
        </w:r>
      </w:hyperlink>
    </w:p>
    <w:p w14:paraId="21D594DB" w14:textId="6F5C0A64" w:rsidR="001F7A47" w:rsidRDefault="001F7A47" w:rsidP="001F7A47">
      <w:r>
        <w:t>Wang, J.S., Chou, H.N., Fan, J.J. and Chen, C.M., 1998. Uptake and transfer of high PCB concentrations from phytoplankton to aquatic biota. </w:t>
      </w:r>
      <w:r>
        <w:rPr>
          <w:i/>
          <w:iCs/>
        </w:rPr>
        <w:t>Chemosphere</w:t>
      </w:r>
      <w:r>
        <w:t>, </w:t>
      </w:r>
      <w:r>
        <w:rPr>
          <w:i/>
          <w:iCs/>
        </w:rPr>
        <w:t>36</w:t>
      </w:r>
      <w:r>
        <w:t>(6), pp.1201-1210.</w:t>
      </w:r>
    </w:p>
    <w:p w14:paraId="19BC6536" w14:textId="77777777" w:rsidR="001F7A47" w:rsidRDefault="001F7A47" w:rsidP="001F7A47">
      <w:r>
        <w:t xml:space="preserve">WHO. (2014). Assessment of Iodine Deficiency Disorders and Monitoring Their Elimination (3rd ed.). World Health Organization. </w:t>
      </w:r>
      <w:hyperlink r:id="rId142" w:history="1">
        <w:r>
          <w:rPr>
            <w:rStyle w:val="Hyperlink"/>
            <w:rFonts w:cs="Calibri"/>
            <w:color w:val="1155CC"/>
          </w:rPr>
          <w:t>https://iris.who.int/bitstream/handle/10665/43781/9789241595827_eng.pdf?sequence=1</w:t>
        </w:r>
      </w:hyperlink>
    </w:p>
    <w:p w14:paraId="6B837F50" w14:textId="77777777" w:rsidR="001F7A47" w:rsidRDefault="001F7A47" w:rsidP="001F7A47">
      <w:r>
        <w:t xml:space="preserve">Young, E. G., &amp; Langille, W. M. (1958). The Occurrence of Inorganic Elements in Marine Algae of the Atlantic Provinces of Canada. Canadian Journal of Botany, 36(3), 301–310. </w:t>
      </w:r>
      <w:hyperlink r:id="rId143" w:history="1">
        <w:r>
          <w:rPr>
            <w:rStyle w:val="Hyperlink"/>
            <w:rFonts w:cs="Calibri"/>
            <w:color w:val="1155CC"/>
          </w:rPr>
          <w:t>https://doi.org/10.1139/b58-026</w:t>
        </w:r>
      </w:hyperlink>
    </w:p>
    <w:p w14:paraId="38AC84C7" w14:textId="2EB810D5" w:rsidR="001F7A47" w:rsidRDefault="001F7A47" w:rsidP="001F7A47">
      <w:pPr>
        <w:sectPr w:rsidR="001F7A47" w:rsidSect="00AD559E">
          <w:pgSz w:w="12240" w:h="15840"/>
          <w:pgMar w:top="1440" w:right="1440" w:bottom="1440" w:left="1440" w:header="720" w:footer="720" w:gutter="0"/>
          <w:pgNumType w:chapStyle="1"/>
          <w:cols w:space="720"/>
          <w:docGrid w:linePitch="360"/>
        </w:sectPr>
      </w:pPr>
      <w:r>
        <w:t xml:space="preserve">Zava, T. T., &amp; Zava, D. T. (2011). Assessment of Japanese iodine intake based on seaweed consumption in Japan: A literature-based analysis. Thyroid Research, 4(1), 14. </w:t>
      </w:r>
      <w:hyperlink r:id="rId144" w:history="1">
        <w:r>
          <w:rPr>
            <w:rStyle w:val="Hyperlink"/>
            <w:rFonts w:cs="Calibri"/>
            <w:color w:val="1155CC"/>
          </w:rPr>
          <w:t>https://doi.org/10.1186/1756-6614-4-14</w:t>
        </w:r>
      </w:hyperlink>
    </w:p>
    <w:p w14:paraId="745D41A6" w14:textId="56960E35" w:rsidR="00E579E8" w:rsidRDefault="00E579E8" w:rsidP="00691E23">
      <w:pPr>
        <w:pStyle w:val="Heading1"/>
      </w:pPr>
      <w:bookmarkStart w:id="163" w:name="_Natural_Toxins"/>
      <w:bookmarkStart w:id="164" w:name="_Toc208503247"/>
      <w:bookmarkStart w:id="165" w:name="_Toc210042858"/>
      <w:bookmarkEnd w:id="163"/>
      <w:r>
        <w:lastRenderedPageBreak/>
        <w:t>Natural Toxins</w:t>
      </w:r>
      <w:bookmarkEnd w:id="164"/>
      <w:bookmarkEnd w:id="165"/>
    </w:p>
    <w:p w14:paraId="182A17A9" w14:textId="77777777" w:rsidR="009512E6" w:rsidRDefault="009512E6" w:rsidP="00441BE0">
      <w:pPr>
        <w:pStyle w:val="Heading2"/>
      </w:pPr>
      <w:bookmarkStart w:id="166" w:name="_Toc208503248"/>
      <w:r>
        <w:t>General Background: Understanding the Potential Hazard</w:t>
      </w:r>
      <w:bookmarkEnd w:id="166"/>
    </w:p>
    <w:p w14:paraId="21DA6B50" w14:textId="77777777" w:rsidR="009512E6" w:rsidRDefault="009512E6" w:rsidP="00691E23">
      <w:pPr>
        <w:pStyle w:val="Heading3"/>
      </w:pPr>
      <w:bookmarkStart w:id="167" w:name="_Toc208503249"/>
      <w:r>
        <w:t>Natural Toxins</w:t>
      </w:r>
      <w:bookmarkEnd w:id="167"/>
    </w:p>
    <w:p w14:paraId="5353A963" w14:textId="1AC6D9B1" w:rsidR="009512E6" w:rsidRDefault="009512E6" w:rsidP="00B64049">
      <w:pPr>
        <w:spacing w:before="240"/>
      </w:pPr>
      <w:r>
        <w:t xml:space="preserve">Some seaweeds produce toxic compounds (Sato et al., 1996) that should be carefully monitored and controlled in products intended for consumption. Seaweeds can also absorb natural toxins from their surrounding waters, produced by other organisms (Cheney, 2016; Haddock &amp; Cruz, 1991). These natural toxins—chemical substances made by living organisms such as plants, fungi, bacteria, algae, and animals, often as a defense mechanism—can cause adverse health effects when ingested (USFDA, 2019). Consumption of seaweeds that produce or absorb these toxins can result in foodborne intoxication (Yotsu-Yamashita et al., 2004). This chapter provides an overview of natural toxins associated with seaweed species, including those produced by the seaweeds themselves and those absorbed from contaminated growing waters. Appendix </w:t>
      </w:r>
      <w:r w:rsidR="002D13BE">
        <w:t>C</w:t>
      </w:r>
      <w:r>
        <w:t xml:space="preserve">, Table </w:t>
      </w:r>
      <w:r w:rsidR="002D13BE">
        <w:t>C</w:t>
      </w:r>
      <w:r>
        <w:t>-1 lists specific toxin levels detected in various species.</w:t>
      </w:r>
    </w:p>
    <w:p w14:paraId="4B962630" w14:textId="39839497" w:rsidR="009512E6" w:rsidRDefault="009512E6" w:rsidP="009512E6">
      <w:r>
        <w:t>There are six recognized natural toxin poisoning syndromes associated with the consumption of fish and fishery products contaminated by natural toxins in growing or harvest waters (USFDA, 2019):</w:t>
      </w:r>
    </w:p>
    <w:p w14:paraId="5A43D681" w14:textId="07E834E2" w:rsidR="009512E6" w:rsidRDefault="009512E6" w:rsidP="00846B8F">
      <w:pPr>
        <w:pStyle w:val="ListParagraph"/>
        <w:numPr>
          <w:ilvl w:val="0"/>
          <w:numId w:val="50"/>
        </w:numPr>
        <w:spacing w:before="240"/>
      </w:pPr>
      <w:r>
        <w:t>Amnesic Shellfish Poisoning (ASP)</w:t>
      </w:r>
    </w:p>
    <w:p w14:paraId="7788EF3F" w14:textId="77777777" w:rsidR="009512E6" w:rsidRDefault="009512E6" w:rsidP="00846B8F">
      <w:pPr>
        <w:pStyle w:val="ListParagraph"/>
        <w:numPr>
          <w:ilvl w:val="0"/>
          <w:numId w:val="50"/>
        </w:numPr>
        <w:spacing w:before="240"/>
      </w:pPr>
      <w:r>
        <w:t>Azaspiracid Shellfish Poisoning (AZP)</w:t>
      </w:r>
    </w:p>
    <w:p w14:paraId="5B4F42AA" w14:textId="72417546" w:rsidR="009512E6" w:rsidRDefault="009512E6" w:rsidP="00846B8F">
      <w:pPr>
        <w:pStyle w:val="ListParagraph"/>
        <w:numPr>
          <w:ilvl w:val="0"/>
          <w:numId w:val="50"/>
        </w:numPr>
        <w:spacing w:before="240"/>
      </w:pPr>
      <w:r>
        <w:t>Ciguatera Fish Poisoning (CFP)</w:t>
      </w:r>
    </w:p>
    <w:p w14:paraId="0ABD5A7D" w14:textId="543D00F4" w:rsidR="009512E6" w:rsidRDefault="009512E6" w:rsidP="00846B8F">
      <w:pPr>
        <w:pStyle w:val="ListParagraph"/>
        <w:numPr>
          <w:ilvl w:val="0"/>
          <w:numId w:val="50"/>
        </w:numPr>
        <w:spacing w:before="240"/>
      </w:pPr>
      <w:r>
        <w:t>Diarrhetic Shellfish Poisoning (DSP)</w:t>
      </w:r>
    </w:p>
    <w:p w14:paraId="1D452203" w14:textId="77777777" w:rsidR="009512E6" w:rsidRDefault="009512E6" w:rsidP="00846B8F">
      <w:pPr>
        <w:pStyle w:val="ListParagraph"/>
        <w:numPr>
          <w:ilvl w:val="0"/>
          <w:numId w:val="50"/>
        </w:numPr>
        <w:spacing w:before="240"/>
      </w:pPr>
      <w:r>
        <w:t>Neurotoxic Shellfish Poisoning (NSP)</w:t>
      </w:r>
    </w:p>
    <w:p w14:paraId="00369433" w14:textId="435A7AAA" w:rsidR="009512E6" w:rsidRDefault="009512E6" w:rsidP="00846B8F">
      <w:pPr>
        <w:pStyle w:val="ListParagraph"/>
        <w:numPr>
          <w:ilvl w:val="0"/>
          <w:numId w:val="50"/>
        </w:numPr>
        <w:spacing w:before="240"/>
      </w:pPr>
      <w:r>
        <w:t>Paralytic Shellfish Poisoning (PSP)</w:t>
      </w:r>
    </w:p>
    <w:p w14:paraId="48E02A77" w14:textId="0E787130" w:rsidR="009512E6" w:rsidRDefault="009512E6" w:rsidP="009512E6">
      <w:r>
        <w:t xml:space="preserve">Although intoxication from these seafood-specific toxins </w:t>
      </w:r>
      <w:r w:rsidR="006D17D6">
        <w:t>is</w:t>
      </w:r>
      <w:r>
        <w:t xml:space="preserve"> not directly linked to seaweed consumption, their causative agents can be present in marine waters worldwide. Therefore, seaweed producers and harvesters should exercise caution when harvesting seaweed from areas where such toxins are known to occur.</w:t>
      </w:r>
      <w:r w:rsidR="00060FE6">
        <w:t xml:space="preserve"> </w:t>
      </w:r>
      <w:r>
        <w:t>For more information on these toxins, see Chapter 6 of the</w:t>
      </w:r>
      <w:r w:rsidR="00D31328">
        <w:t xml:space="preserve"> FDA’s</w:t>
      </w:r>
      <w:r>
        <w:t xml:space="preserve"> </w:t>
      </w:r>
      <w:r w:rsidRPr="00060FE6">
        <w:rPr>
          <w:i/>
          <w:iCs/>
        </w:rPr>
        <w:t>Fish and Fishery Products Hazards and Controls Guidance</w:t>
      </w:r>
      <w:r>
        <w:t xml:space="preserve"> (USFDA, 2019).</w:t>
      </w:r>
    </w:p>
    <w:p w14:paraId="5AC9EB13" w14:textId="77777777" w:rsidR="009512E6" w:rsidRDefault="009512E6" w:rsidP="00691E23">
      <w:pPr>
        <w:pStyle w:val="Heading4"/>
      </w:pPr>
      <w:r>
        <w:t>Neurotoxic Amino Acids</w:t>
      </w:r>
    </w:p>
    <w:p w14:paraId="0F4C29F2" w14:textId="77777777" w:rsidR="009512E6" w:rsidRDefault="009512E6" w:rsidP="00B64049">
      <w:pPr>
        <w:spacing w:before="240"/>
        <w:contextualSpacing/>
      </w:pPr>
      <w:r>
        <w:t xml:space="preserve">Neurotoxic amino acids are naturally occurring compounds that disrupt normal nervous system function and can cause a range of adverse neurological effects when ingested. These toxins are commonly produced by marine organisms—including diatoms and some seaweeds—either as a </w:t>
      </w:r>
      <w:r>
        <w:lastRenderedPageBreak/>
        <w:t xml:space="preserve">defense mechanism or as a by-product of metabolic activity (Lundholm et al., 2018). Two notable neurotoxic amino acids include: </w:t>
      </w:r>
    </w:p>
    <w:p w14:paraId="77F1EDEC" w14:textId="5DCE5CAA" w:rsidR="009512E6" w:rsidRDefault="009512E6" w:rsidP="00846B8F">
      <w:pPr>
        <w:pStyle w:val="ListParagraph"/>
        <w:numPr>
          <w:ilvl w:val="0"/>
          <w:numId w:val="51"/>
        </w:numPr>
      </w:pPr>
      <w:r w:rsidRPr="00060FE6">
        <w:rPr>
          <w:b/>
          <w:bCs/>
        </w:rPr>
        <w:t>Domoic Acid</w:t>
      </w:r>
      <w:r w:rsidR="00B64049">
        <w:rPr>
          <w:b/>
          <w:bCs/>
        </w:rPr>
        <w:t>:</w:t>
      </w:r>
      <w:r>
        <w:t xml:space="preserve"> Associated with ASP. Domoic acid poisoning is rare but can cause gastrointestinal symptoms within 24 hours, and neurological symptoms within 48 hours of consumption. Reported symptoms include nausea, vomiting, abdominal cramps, diarrhea, headache, visual disturbances, weakness, altered mental status, cranial nerve palsies, autonomic dysfunction, amnesia, pain, seizures, coma, and death (Sobel &amp; Painter, 2005). While ASP typically results from seafood contaminated by toxic diatoms in growing waters (</w:t>
      </w:r>
      <w:r w:rsidRPr="00060FE6">
        <w:rPr>
          <w:i/>
          <w:iCs/>
        </w:rPr>
        <w:t>Pseudo-nitzschia</w:t>
      </w:r>
      <w:r>
        <w:t xml:space="preserve"> species), some red seaweeds such as </w:t>
      </w:r>
      <w:r w:rsidRPr="00F90E42">
        <w:rPr>
          <w:i/>
          <w:iCs/>
        </w:rPr>
        <w:t>Chondria armata</w:t>
      </w:r>
      <w:r>
        <w:t xml:space="preserve"> also produce domoic acid (</w:t>
      </w:r>
      <w:r w:rsidR="00F90E42">
        <w:t xml:space="preserve">Noguchi &amp; Arakawa, 1996; </w:t>
      </w:r>
      <w:r>
        <w:t xml:space="preserve">Sato et al., 1996; </w:t>
      </w:r>
      <w:r w:rsidR="00F90E42">
        <w:t xml:space="preserve">Sobel &amp; Painter, 2005; </w:t>
      </w:r>
      <w:r>
        <w:t xml:space="preserve">Steele et al., 2022). In the United States, the federal </w:t>
      </w:r>
      <w:hyperlink w:anchor="ActionLevel" w:tooltip="A threshold established by regulatory bodies, such as the U.S. Food and Drug Administration (FDA), indicating the maximum concentration of a contaminant (e.g., arsenic, cadmium, lead, or mercury) in food or feed." w:history="1">
        <w:r w:rsidRPr="009B4748">
          <w:rPr>
            <w:rStyle w:val="Hyperlink"/>
          </w:rPr>
          <w:t>action level</w:t>
        </w:r>
      </w:hyperlink>
      <w:r>
        <w:t xml:space="preserve"> for domoic acid in seafood products is 20 ppm (USFDA, 2021). In Japan, domoic acid levels in seaweed samples have ranged from &lt;1 ppm to as high as 4,300 ppm (Noguchi &amp; Arakawa, 1996).</w:t>
      </w:r>
    </w:p>
    <w:p w14:paraId="17415BBE" w14:textId="56807679" w:rsidR="009512E6" w:rsidRDefault="009512E6" w:rsidP="00846B8F">
      <w:pPr>
        <w:pStyle w:val="ListParagraph"/>
        <w:numPr>
          <w:ilvl w:val="0"/>
          <w:numId w:val="51"/>
        </w:numPr>
      </w:pPr>
      <w:r w:rsidRPr="00060FE6">
        <w:rPr>
          <w:b/>
          <w:bCs/>
        </w:rPr>
        <w:t>Kainic Acid</w:t>
      </w:r>
      <w:r w:rsidR="00B64049">
        <w:rPr>
          <w:b/>
          <w:bCs/>
        </w:rPr>
        <w:t xml:space="preserve">: </w:t>
      </w:r>
      <w:r>
        <w:t xml:space="preserve">A neurotoxin first isolated from the red seaweed </w:t>
      </w:r>
      <w:r w:rsidRPr="00F90E42">
        <w:rPr>
          <w:i/>
          <w:iCs/>
        </w:rPr>
        <w:t>Digenea simplex</w:t>
      </w:r>
      <w:r>
        <w:t xml:space="preserve"> </w:t>
      </w:r>
      <w:r w:rsidR="00F90E42">
        <w:t>(</w:t>
      </w:r>
      <w:r>
        <w:t>Olney et al., 1974), and later found in other species, including dulse (</w:t>
      </w:r>
      <w:r w:rsidRPr="00F90E42">
        <w:rPr>
          <w:i/>
          <w:iCs/>
        </w:rPr>
        <w:t>Palmaria palmata</w:t>
      </w:r>
      <w:r>
        <w:t>) (</w:t>
      </w:r>
      <w:r w:rsidR="00F90E42">
        <w:t xml:space="preserve">Higa &amp; Kuniyoshi, 2000; Impellizzeri et al., 1975; </w:t>
      </w:r>
      <w:r>
        <w:t>Jørgensen &amp; Olesen, 2018).</w:t>
      </w:r>
    </w:p>
    <w:p w14:paraId="416935CE" w14:textId="77777777" w:rsidR="009512E6" w:rsidRDefault="009512E6" w:rsidP="00691E23">
      <w:pPr>
        <w:pStyle w:val="Heading4"/>
      </w:pPr>
      <w:r>
        <w:t>Diethyl Peroxide</w:t>
      </w:r>
    </w:p>
    <w:p w14:paraId="7C41F8FF" w14:textId="77777777" w:rsidR="009512E6" w:rsidRDefault="009512E6" w:rsidP="00B64049">
      <w:pPr>
        <w:spacing w:before="240"/>
      </w:pPr>
      <w:r>
        <w:t xml:space="preserve">Diethyl peroxide, the suspected toxin responsible for Mozuku poisoning, induces gastrointestinal distress (Fusetani &amp; Hashimoto, 1981). Two documented cases of Mozuku poisoning have occurred in Japan following the consumption of the seaweeds </w:t>
      </w:r>
      <w:r w:rsidRPr="00F90E42">
        <w:rPr>
          <w:i/>
          <w:iCs/>
        </w:rPr>
        <w:t>Nemacystus</w:t>
      </w:r>
      <w:r>
        <w:t xml:space="preserve"> </w:t>
      </w:r>
      <w:r w:rsidRPr="00F90E42">
        <w:rPr>
          <w:i/>
          <w:iCs/>
        </w:rPr>
        <w:t>decipiens</w:t>
      </w:r>
      <w:r>
        <w:t xml:space="preserve"> and </w:t>
      </w:r>
      <w:r w:rsidRPr="00F90E42">
        <w:rPr>
          <w:i/>
          <w:iCs/>
        </w:rPr>
        <w:t>Cladosiphon</w:t>
      </w:r>
      <w:r>
        <w:t xml:space="preserve"> </w:t>
      </w:r>
      <w:r w:rsidRPr="00F90E42">
        <w:rPr>
          <w:i/>
          <w:iCs/>
        </w:rPr>
        <w:t>okamuranus</w:t>
      </w:r>
      <w:r>
        <w:t xml:space="preserve"> (Kumar &amp; Sharma, 2021). Diethyl peroxide has also been detected in other seaweed species, including </w:t>
      </w:r>
      <w:r w:rsidRPr="00F90E42">
        <w:rPr>
          <w:i/>
          <w:iCs/>
        </w:rPr>
        <w:t>Sphaerotrichia</w:t>
      </w:r>
      <w:r>
        <w:t xml:space="preserve"> </w:t>
      </w:r>
      <w:r w:rsidRPr="00F90E42">
        <w:rPr>
          <w:i/>
          <w:iCs/>
        </w:rPr>
        <w:t>divaricata</w:t>
      </w:r>
      <w:r>
        <w:t xml:space="preserve">, </w:t>
      </w:r>
      <w:r w:rsidRPr="00F90E42">
        <w:rPr>
          <w:i/>
          <w:iCs/>
        </w:rPr>
        <w:t>Cladosiphon</w:t>
      </w:r>
      <w:r>
        <w:t xml:space="preserve"> </w:t>
      </w:r>
      <w:r w:rsidRPr="00F90E42">
        <w:rPr>
          <w:i/>
          <w:iCs/>
        </w:rPr>
        <w:t>okamuranus</w:t>
      </w:r>
      <w:r>
        <w:t xml:space="preserve">, </w:t>
      </w:r>
      <w:r w:rsidRPr="00F90E42">
        <w:rPr>
          <w:i/>
          <w:iCs/>
        </w:rPr>
        <w:t>Analipus</w:t>
      </w:r>
      <w:r>
        <w:t xml:space="preserve"> </w:t>
      </w:r>
      <w:r w:rsidRPr="00F90E42">
        <w:rPr>
          <w:i/>
          <w:iCs/>
        </w:rPr>
        <w:t>japonicus</w:t>
      </w:r>
      <w:r>
        <w:t xml:space="preserve">, and </w:t>
      </w:r>
      <w:r w:rsidRPr="00F90E42">
        <w:rPr>
          <w:i/>
          <w:iCs/>
        </w:rPr>
        <w:t>Gracilariopsis</w:t>
      </w:r>
      <w:r>
        <w:t xml:space="preserve"> chorda</w:t>
      </w:r>
      <w:r w:rsidRPr="00F90E42">
        <w:rPr>
          <w:i/>
          <w:iCs/>
        </w:rPr>
        <w:t>.</w:t>
      </w:r>
      <w:r>
        <w:t xml:space="preserve"> Notably, the formation of diethyl peroxide occurs only when these seaweeds are heated in water (Fusetani &amp; Hashimoto, 1981).</w:t>
      </w:r>
    </w:p>
    <w:p w14:paraId="09FA54B0" w14:textId="77777777" w:rsidR="009512E6" w:rsidRDefault="009512E6" w:rsidP="00691E23">
      <w:pPr>
        <w:pStyle w:val="Heading4"/>
      </w:pPr>
      <w:r>
        <w:t>Caulerpicin and Caulerpin</w:t>
      </w:r>
    </w:p>
    <w:p w14:paraId="638F95C3" w14:textId="05F2F438" w:rsidR="009512E6" w:rsidRDefault="009512E6" w:rsidP="00B64049">
      <w:pPr>
        <w:spacing w:before="240"/>
      </w:pPr>
      <w:r w:rsidRPr="00F90E42">
        <w:rPr>
          <w:b/>
          <w:bCs/>
        </w:rPr>
        <w:t>Caulerpicin</w:t>
      </w:r>
      <w:r>
        <w:t xml:space="preserve"> is a chemical compound identified by Doty and Aguilar-Santos (1966) during their investigation into the peppery taste sometimes associated with the green alga </w:t>
      </w:r>
      <w:r w:rsidRPr="00F90E42">
        <w:rPr>
          <w:i/>
          <w:iCs/>
        </w:rPr>
        <w:t>Caulerpa</w:t>
      </w:r>
      <w:r>
        <w:t xml:space="preserve"> </w:t>
      </w:r>
      <w:r w:rsidRPr="00F90E42">
        <w:rPr>
          <w:i/>
          <w:iCs/>
        </w:rPr>
        <w:t>racemosa</w:t>
      </w:r>
      <w:r>
        <w:t xml:space="preserve">. Consumption of </w:t>
      </w:r>
      <w:r w:rsidRPr="00F90E42">
        <w:rPr>
          <w:i/>
          <w:iCs/>
        </w:rPr>
        <w:t>Caulerpa</w:t>
      </w:r>
      <w:r>
        <w:t xml:space="preserve"> containing caulerpicin can lead to mild anesthetic effects, which may intensify with repeated exposure. Reported symptoms include numbness in the extremities, cold sensations in the feet and fingers, rapid or difficulty breathing, slight depression, and loss of balance (Doty &amp; Aguilar-Santos, 1966).</w:t>
      </w:r>
    </w:p>
    <w:p w14:paraId="16715207" w14:textId="77777777" w:rsidR="009512E6" w:rsidRDefault="009512E6" w:rsidP="009512E6">
      <w:r w:rsidRPr="00F90E42">
        <w:rPr>
          <w:b/>
          <w:bCs/>
        </w:rPr>
        <w:lastRenderedPageBreak/>
        <w:t>Caulerpin,</w:t>
      </w:r>
      <w:r>
        <w:t xml:space="preserve"> a compound believed to have comparable effects, has also been detected in various Caulerpa species (Doty &amp; Aguilar-Santos, 1970), as well as in the red alga </w:t>
      </w:r>
      <w:r w:rsidRPr="00F90E42">
        <w:rPr>
          <w:i/>
          <w:iCs/>
        </w:rPr>
        <w:t>Chondria</w:t>
      </w:r>
      <w:r>
        <w:t xml:space="preserve"> </w:t>
      </w:r>
      <w:r w:rsidRPr="00F90E42">
        <w:rPr>
          <w:i/>
          <w:iCs/>
        </w:rPr>
        <w:t>armata</w:t>
      </w:r>
      <w:r>
        <w:t xml:space="preserve"> (Govenkar &amp; Wahidulla, 2000).</w:t>
      </w:r>
    </w:p>
    <w:p w14:paraId="14649782" w14:textId="77777777" w:rsidR="009512E6" w:rsidRDefault="009512E6" w:rsidP="009512E6">
      <w:r>
        <w:t xml:space="preserve">While historically associated with toxicity, some studies report no toxic effects from caulerpin and caulerpicin compounds individually (Vidal et al., 1984). However, aqueous extracts of </w:t>
      </w:r>
      <w:r w:rsidRPr="00F90E42">
        <w:rPr>
          <w:i/>
          <w:iCs/>
        </w:rPr>
        <w:t>Caulerpa</w:t>
      </w:r>
      <w:r>
        <w:t xml:space="preserve"> have shown toxicity, suggesting unidentified agents may be responsible (Vidal et al., 1984). Therefore, although the specific toxic agents in </w:t>
      </w:r>
      <w:r w:rsidRPr="00F90E42">
        <w:rPr>
          <w:i/>
          <w:iCs/>
        </w:rPr>
        <w:t>Caulerpa</w:t>
      </w:r>
      <w:r>
        <w:t xml:space="preserve"> remain under debate, the toxicity of </w:t>
      </w:r>
      <w:r w:rsidRPr="00F90E42">
        <w:rPr>
          <w:i/>
          <w:iCs/>
        </w:rPr>
        <w:t>Caulerpa</w:t>
      </w:r>
      <w:r>
        <w:t xml:space="preserve"> species is not and should be taken into consideration when harvesting and processing them for consumption.</w:t>
      </w:r>
    </w:p>
    <w:p w14:paraId="72151C35" w14:textId="77777777" w:rsidR="009512E6" w:rsidRDefault="009512E6" w:rsidP="00691E23">
      <w:pPr>
        <w:pStyle w:val="Heading4"/>
      </w:pPr>
      <w:r>
        <w:t>Prostaglandin E2 (PGE2)</w:t>
      </w:r>
    </w:p>
    <w:p w14:paraId="2EE8101F" w14:textId="3DE4C340" w:rsidR="009512E6" w:rsidRDefault="009512E6" w:rsidP="00B64049">
      <w:pPr>
        <w:spacing w:before="240"/>
      </w:pPr>
      <w:r>
        <w:t xml:space="preserve">Prostaglandin E2 (PGE2) is believed to be the causative agent of </w:t>
      </w:r>
      <w:r w:rsidRPr="00F90E42">
        <w:rPr>
          <w:i/>
          <w:iCs/>
        </w:rPr>
        <w:t>ogonori</w:t>
      </w:r>
      <w:r>
        <w:t xml:space="preserve"> poisoning, typically inducing vomiting and diarrhea within an hour of consumption. In severe cases, PGE2 can cause dangerously low blood pressure (hypotension), shock, and even death (Hammann et al., 2016). PGE2 has been linked to seaweed-related foodborne intoxication, particularly following consumption of </w:t>
      </w:r>
      <w:r w:rsidRPr="00F90E42">
        <w:rPr>
          <w:i/>
          <w:iCs/>
        </w:rPr>
        <w:t>Gracilaria</w:t>
      </w:r>
      <w:r>
        <w:t xml:space="preserve"> </w:t>
      </w:r>
      <w:r w:rsidRPr="00F90E42">
        <w:rPr>
          <w:i/>
          <w:iCs/>
        </w:rPr>
        <w:t>verrucosa</w:t>
      </w:r>
      <w:r>
        <w:t xml:space="preserve"> and </w:t>
      </w:r>
      <w:r w:rsidRPr="00F90E42">
        <w:rPr>
          <w:i/>
          <w:iCs/>
        </w:rPr>
        <w:t>Gracilaria</w:t>
      </w:r>
      <w:r>
        <w:t xml:space="preserve"> </w:t>
      </w:r>
      <w:r w:rsidRPr="00F90E42">
        <w:rPr>
          <w:i/>
          <w:iCs/>
        </w:rPr>
        <w:t>chorda</w:t>
      </w:r>
      <w:r>
        <w:t xml:space="preserve">, which caused symptoms ranging from nausea, vomiting, abdominal pain, and diarrhea to sometimes fatal outcomes (Fusetani &amp; Hashimoto, 1984). Several </w:t>
      </w:r>
      <w:r w:rsidRPr="00F90E42">
        <w:rPr>
          <w:i/>
          <w:iCs/>
        </w:rPr>
        <w:t>Gracilaria</w:t>
      </w:r>
      <w:r>
        <w:t xml:space="preserve"> species produce PGE2 when under stress (Fusetani </w:t>
      </w:r>
      <w:r w:rsidR="00F90E42">
        <w:t>&amp;</w:t>
      </w:r>
      <w:r>
        <w:t xml:space="preserve"> Hashimoto, 1984; Gregson et al., 1979; Hsu et al., 2008; Noguchi et al., 1994). For example:</w:t>
      </w:r>
    </w:p>
    <w:p w14:paraId="17BF3A46" w14:textId="15EDF2D3" w:rsidR="009512E6" w:rsidRDefault="009512E6" w:rsidP="00846B8F">
      <w:pPr>
        <w:pStyle w:val="ListParagraph"/>
        <w:numPr>
          <w:ilvl w:val="0"/>
          <w:numId w:val="52"/>
        </w:numPr>
        <w:spacing w:before="240"/>
      </w:pPr>
      <w:r w:rsidRPr="00F90E42">
        <w:rPr>
          <w:i/>
          <w:iCs/>
        </w:rPr>
        <w:t>Gracilaria</w:t>
      </w:r>
      <w:r>
        <w:t xml:space="preserve"> </w:t>
      </w:r>
      <w:r w:rsidRPr="00F90E42">
        <w:rPr>
          <w:i/>
          <w:iCs/>
        </w:rPr>
        <w:t>tenuistipitata</w:t>
      </w:r>
      <w:r>
        <w:t xml:space="preserve"> shows elevated PGE2 levels under various environmental and stress conditions, including changes in temperature, salinity, irradiance, and air exposure (Hsu et al., 2008).</w:t>
      </w:r>
    </w:p>
    <w:p w14:paraId="1E2B4E12" w14:textId="298CB44F" w:rsidR="009512E6" w:rsidRDefault="009512E6" w:rsidP="00846B8F">
      <w:pPr>
        <w:pStyle w:val="ListParagraph"/>
        <w:numPr>
          <w:ilvl w:val="0"/>
          <w:numId w:val="52"/>
        </w:numPr>
        <w:spacing w:before="240"/>
      </w:pPr>
      <w:r w:rsidRPr="00F90E42">
        <w:rPr>
          <w:i/>
          <w:iCs/>
        </w:rPr>
        <w:t>Gracilaria</w:t>
      </w:r>
      <w:r>
        <w:t xml:space="preserve"> </w:t>
      </w:r>
      <w:r w:rsidRPr="00F90E42">
        <w:rPr>
          <w:i/>
          <w:iCs/>
        </w:rPr>
        <w:t>vermiculophylla</w:t>
      </w:r>
      <w:r>
        <w:t xml:space="preserve"> produces PGE2 when damaged or grazed upon by herbivores—production is elevated when growing in non-native waters (Hammann et al., 2016).</w:t>
      </w:r>
    </w:p>
    <w:p w14:paraId="7E5EDCAE" w14:textId="64893E00" w:rsidR="009512E6" w:rsidRDefault="009512E6" w:rsidP="009512E6">
      <w:r>
        <w:t xml:space="preserve">Even when raw seaweed doesn’t contain PGE2, it can still be produced later. This happens when enzymes from the seaweed, the body, or other consumed foods break down unsaturated fatty acids present in those same sources after harvest or during digestion (Noguchi et al., 1994). Commercial processing practices, such as lime treatment (Noguchi et al., 1994) could reduce the risk of </w:t>
      </w:r>
      <w:r w:rsidRPr="00F90E42">
        <w:rPr>
          <w:i/>
          <w:iCs/>
        </w:rPr>
        <w:t>oginori</w:t>
      </w:r>
      <w:r>
        <w:t xml:space="preserve"> poisoning. Cooking may also degrade it (Hsu et al., 2008), as shown in cooked salmon (Raatz et al., 2011).</w:t>
      </w:r>
    </w:p>
    <w:p w14:paraId="1844FEBE" w14:textId="77777777" w:rsidR="009512E6" w:rsidRDefault="009512E6" w:rsidP="00691E23">
      <w:pPr>
        <w:pStyle w:val="Heading4"/>
      </w:pPr>
      <w:r>
        <w:t>Cyanobacteria: Aplysiatoxin and Debromoaplysiatoxin</w:t>
      </w:r>
    </w:p>
    <w:p w14:paraId="29ED787F" w14:textId="77777777" w:rsidR="009512E6" w:rsidRDefault="009512E6" w:rsidP="00B64049">
      <w:pPr>
        <w:spacing w:before="240"/>
      </w:pPr>
      <w:r>
        <w:t xml:space="preserve">Aplysiatoxin and debromoaplysiatoxin are toxic alkaloids produced by marine cyanobacteria (blue-green algae). These cyanobacteria are known to grow as epiphytes on marine seaweed, </w:t>
      </w:r>
      <w:r>
        <w:lastRenderedPageBreak/>
        <w:t xml:space="preserve">including </w:t>
      </w:r>
      <w:r w:rsidRPr="00F90E42">
        <w:rPr>
          <w:i/>
          <w:iCs/>
        </w:rPr>
        <w:t>Gracilaria</w:t>
      </w:r>
      <w:r>
        <w:t xml:space="preserve"> </w:t>
      </w:r>
      <w:r w:rsidRPr="00F90E42">
        <w:rPr>
          <w:i/>
          <w:iCs/>
        </w:rPr>
        <w:t>coronopifolia</w:t>
      </w:r>
      <w:r>
        <w:t>. The toxic alkaloids produced by these epiphytic organisms have been linked to foodborne poisoning, causing symptoms such as gastrointestinal distress and a burning sensation in the mouth and throat. At least two such cases have been documented in Hawaiʻi, following contaminated seaweed consumption (Nagai et al., 1996; Nagai et al., 1997).</w:t>
      </w:r>
    </w:p>
    <w:p w14:paraId="16345FD4" w14:textId="77777777" w:rsidR="009512E6" w:rsidRDefault="009512E6" w:rsidP="00691E23">
      <w:pPr>
        <w:pStyle w:val="Heading4"/>
      </w:pPr>
      <w:r>
        <w:t>Polycavernoside A</w:t>
      </w:r>
    </w:p>
    <w:p w14:paraId="724D0AA0" w14:textId="55E76DB7" w:rsidR="009512E6" w:rsidRDefault="00F90E42" w:rsidP="00B64049">
      <w:pPr>
        <w:spacing w:before="240"/>
      </w:pPr>
      <w:r>
        <w:t xml:space="preserve">Polycavernoside A is </w:t>
      </w:r>
      <w:r w:rsidR="009512E6">
        <w:t xml:space="preserve">Isolated from </w:t>
      </w:r>
      <w:r w:rsidR="009512E6" w:rsidRPr="00F90E42">
        <w:rPr>
          <w:i/>
          <w:iCs/>
        </w:rPr>
        <w:t>Gracilaria</w:t>
      </w:r>
      <w:r w:rsidR="009512E6">
        <w:t xml:space="preserve"> </w:t>
      </w:r>
      <w:r w:rsidR="009512E6" w:rsidRPr="00F90E42">
        <w:rPr>
          <w:i/>
          <w:iCs/>
        </w:rPr>
        <w:t>edulis</w:t>
      </w:r>
      <w:r w:rsidR="009512E6">
        <w:t xml:space="preserve"> (formerly </w:t>
      </w:r>
      <w:r w:rsidR="009512E6" w:rsidRPr="00F90E42">
        <w:rPr>
          <w:i/>
          <w:iCs/>
        </w:rPr>
        <w:t>Polycavernosa</w:t>
      </w:r>
      <w:r w:rsidR="009512E6">
        <w:t xml:space="preserve"> </w:t>
      </w:r>
      <w:r w:rsidR="009512E6" w:rsidRPr="00F90E42">
        <w:rPr>
          <w:i/>
          <w:iCs/>
        </w:rPr>
        <w:t>tsudai</w:t>
      </w:r>
      <w:r w:rsidR="009512E6">
        <w:t>) and is believed to cause both gastrointestinal and neurological effects (Yotsu-Yamashita et al., 2004). It has been linked to 22 cases of foodborne intoxication and 5 deaths during two outbreaks in Guam and the Philippines (Cheney, 2016).</w:t>
      </w:r>
    </w:p>
    <w:p w14:paraId="109D8853" w14:textId="77777777" w:rsidR="009512E6" w:rsidRDefault="009512E6" w:rsidP="00846B8F">
      <w:pPr>
        <w:pStyle w:val="Heading4"/>
        <w:numPr>
          <w:ilvl w:val="3"/>
          <w:numId w:val="147"/>
        </w:numPr>
      </w:pPr>
      <w:r>
        <w:t>Mycotoxins</w:t>
      </w:r>
    </w:p>
    <w:p w14:paraId="068396B9" w14:textId="1B6750E4" w:rsidR="009512E6" w:rsidRDefault="009512E6" w:rsidP="00B64049">
      <w:pPr>
        <w:spacing w:before="240"/>
      </w:pPr>
      <w:r>
        <w:t xml:space="preserve">Certain foods can harbor fungi and molds that produce toxic compounds known as mycotoxins. Although typically associated with dried foods such as grains, beans, fruits, and coffee (USFDA, 2024), </w:t>
      </w:r>
      <w:r w:rsidR="002D13BE">
        <w:t>mycotoxins</w:t>
      </w:r>
      <w:r>
        <w:t xml:space="preserve"> have also been detected in seaweeds (Kononenko et al., 2021; Burkin &amp; Kononenko, 2023</w:t>
      </w:r>
      <w:r w:rsidR="00F90E42">
        <w:t xml:space="preserve">; </w:t>
      </w:r>
      <w:r>
        <w:t xml:space="preserve">see Appendix </w:t>
      </w:r>
      <w:r w:rsidR="002D13BE">
        <w:t>C</w:t>
      </w:r>
      <w:r>
        <w:t>, Table</w:t>
      </w:r>
      <w:r w:rsidR="002D13BE">
        <w:t>s</w:t>
      </w:r>
      <w:r>
        <w:t xml:space="preserve"> </w:t>
      </w:r>
      <w:r w:rsidR="002D13BE">
        <w:t>C</w:t>
      </w:r>
      <w:r>
        <w:t>-2</w:t>
      </w:r>
      <w:r w:rsidR="002D13BE">
        <w:t xml:space="preserve"> and C-3</w:t>
      </w:r>
      <w:r>
        <w:t>). Levels in seaweeds are generally below those causing intoxication, and no cases of seaweed-related mycotoxin poisoning have been reported.</w:t>
      </w:r>
    </w:p>
    <w:p w14:paraId="0139DE06" w14:textId="77777777" w:rsidR="009512E6" w:rsidRDefault="009512E6" w:rsidP="009512E6">
      <w:r>
        <w:t>Many other natural toxins are present in marine environments, although not specifically associated with seaweeds. Seaweed producers and harvesters aware of potential toxins in their growing or harvest waters should implement effective controls to minimize exposure and protect public health.</w:t>
      </w:r>
    </w:p>
    <w:p w14:paraId="2407431B" w14:textId="77777777" w:rsidR="009512E6" w:rsidRDefault="009512E6" w:rsidP="00846B8F">
      <w:pPr>
        <w:pStyle w:val="Heading2"/>
        <w:numPr>
          <w:ilvl w:val="1"/>
          <w:numId w:val="147"/>
        </w:numPr>
      </w:pPr>
      <w:bookmarkStart w:id="168" w:name="_Toc208503250"/>
      <w:r>
        <w:t>Determining if the Hazard is Significant</w:t>
      </w:r>
      <w:bookmarkEnd w:id="168"/>
    </w:p>
    <w:p w14:paraId="45A61BC1" w14:textId="77777777" w:rsidR="009512E6" w:rsidRDefault="009512E6" w:rsidP="00B64049">
      <w:pPr>
        <w:spacing w:before="240"/>
      </w:pPr>
      <w:r>
        <w:t>Seaweeds grown or harvested from waters with reported occurrence of natural toxins, or harvest of seaweeds that naturally produce toxins of concern, pose a significant hazard—either “reasonably likely to occur” (HACCP) or “hazard requiring a preventive control” (PCHF)—to human health. Controls should be implemented to reduce hazard risk and protect public health. To assess risk:</w:t>
      </w:r>
    </w:p>
    <w:p w14:paraId="1083A241" w14:textId="6E25E99C" w:rsidR="009512E6" w:rsidRDefault="009512E6" w:rsidP="00846B8F">
      <w:pPr>
        <w:pStyle w:val="ListParagraph"/>
        <w:numPr>
          <w:ilvl w:val="0"/>
          <w:numId w:val="53"/>
        </w:numPr>
        <w:spacing w:before="240"/>
      </w:pPr>
      <w:r>
        <w:t xml:space="preserve">Review historical toxin occurrence using resources such as the </w:t>
      </w:r>
      <w:hyperlink r:id="rId145" w:history="1">
        <w:r w:rsidRPr="00997F0A">
          <w:rPr>
            <w:rStyle w:val="Hyperlink"/>
          </w:rPr>
          <w:t>Harmful Algal Blooms: NOAA State of the Science Fact Sheet</w:t>
        </w:r>
      </w:hyperlink>
      <w:r>
        <w:t xml:space="preserve"> and </w:t>
      </w:r>
      <w:hyperlink r:id="rId146" w:history="1">
        <w:r w:rsidRPr="00997F0A">
          <w:rPr>
            <w:rStyle w:val="Hyperlink"/>
          </w:rPr>
          <w:t>Woods Hole Oceanographic Institute</w:t>
        </w:r>
        <w:r w:rsidR="00997F0A">
          <w:rPr>
            <w:rStyle w:val="Hyperlink"/>
          </w:rPr>
          <w:t>’</w:t>
        </w:r>
        <w:r w:rsidRPr="00997F0A">
          <w:rPr>
            <w:rStyle w:val="Hyperlink"/>
          </w:rPr>
          <w:t>s Harmful Algae website</w:t>
        </w:r>
      </w:hyperlink>
      <w:r w:rsidR="00997F0A">
        <w:t>.</w:t>
      </w:r>
    </w:p>
    <w:p w14:paraId="24F45F66" w14:textId="5292341B" w:rsidR="009512E6" w:rsidRDefault="009512E6" w:rsidP="00846B8F">
      <w:pPr>
        <w:pStyle w:val="ListParagraph"/>
        <w:numPr>
          <w:ilvl w:val="0"/>
          <w:numId w:val="53"/>
        </w:numPr>
        <w:spacing w:before="240"/>
      </w:pPr>
      <w:r>
        <w:t>Consult with local, state and federal agencies involved in managing water quality.</w:t>
      </w:r>
    </w:p>
    <w:p w14:paraId="5E3A44C7" w14:textId="4DFC7FFB" w:rsidR="009512E6" w:rsidRDefault="009512E6" w:rsidP="00846B8F">
      <w:pPr>
        <w:pStyle w:val="ListParagraph"/>
        <w:numPr>
          <w:ilvl w:val="0"/>
          <w:numId w:val="53"/>
        </w:numPr>
        <w:spacing w:before="240"/>
      </w:pPr>
      <w:r>
        <w:lastRenderedPageBreak/>
        <w:t>Search the credible literature and media outlets for intoxication events specifically linked with the growing or harvest waters.</w:t>
      </w:r>
    </w:p>
    <w:p w14:paraId="2943C407" w14:textId="10CA4431" w:rsidR="00997F0A" w:rsidRDefault="00997F0A" w:rsidP="00846B8F">
      <w:pPr>
        <w:pStyle w:val="Heading2"/>
        <w:numPr>
          <w:ilvl w:val="1"/>
          <w:numId w:val="147"/>
        </w:numPr>
      </w:pPr>
      <w:bookmarkStart w:id="169" w:name="_Toc208503251"/>
      <w:r>
        <w:t>Hazard Controls and Critical Control Points</w:t>
      </w:r>
      <w:bookmarkEnd w:id="169"/>
    </w:p>
    <w:p w14:paraId="63EB4C20" w14:textId="73C0CD0F" w:rsidR="001B1433" w:rsidRPr="001B1433" w:rsidRDefault="00997F0A" w:rsidP="00045395">
      <w:pPr>
        <w:spacing w:before="240"/>
      </w:pPr>
      <w:r>
        <w:t>The following control strategies provide guidance on designing effective measures to manage natural toxins when they are identified as a significant hazard</w:t>
      </w:r>
      <w:r w:rsidR="00173FBA" w:rsidRPr="00173FBA">
        <w:t>—either “reasonably likely to occur” (HACCP) or “hazard requiring a preventive control” (PCHF)—</w:t>
      </w:r>
      <w:r>
        <w:t>in your operation.</w:t>
      </w:r>
    </w:p>
    <w:p w14:paraId="57E5A274" w14:textId="6A968045" w:rsidR="00045395" w:rsidRDefault="00045395" w:rsidP="00C54E07">
      <w:pPr>
        <w:pStyle w:val="Caption"/>
      </w:pPr>
      <w:r w:rsidRPr="006646D2">
        <w:t xml:space="preserve">Table </w:t>
      </w:r>
      <w:fldSimple w:instr=" STYLEREF 1 \s ">
        <w:r w:rsidR="00A042AD">
          <w:rPr>
            <w:noProof/>
          </w:rPr>
          <w:t>9</w:t>
        </w:r>
      </w:fldSimple>
      <w:r w:rsidR="00896F22" w:rsidRPr="006646D2">
        <w:noBreakHyphen/>
      </w:r>
      <w:fldSimple w:instr=" SEQ Table \* ARABIC \s 1 ">
        <w:r w:rsidR="00A042AD">
          <w:rPr>
            <w:noProof/>
          </w:rPr>
          <w:t>1</w:t>
        </w:r>
      </w:fldSimple>
      <w:r w:rsidRPr="006646D2">
        <w:t>:</w:t>
      </w:r>
      <w:r>
        <w:t xml:space="preserve"> </w:t>
      </w:r>
      <w:r w:rsidRPr="00A34A75">
        <w:t>Control Strategies for Natural Toxins in Seaweeds</w:t>
      </w:r>
    </w:p>
    <w:tbl>
      <w:tblPr>
        <w:tblStyle w:val="TableGrid"/>
        <w:tblW w:w="0" w:type="auto"/>
        <w:tblInd w:w="-5" w:type="dxa"/>
        <w:tblLook w:val="04A0" w:firstRow="1" w:lastRow="0" w:firstColumn="1" w:lastColumn="0" w:noHBand="0" w:noVBand="1"/>
      </w:tblPr>
      <w:tblGrid>
        <w:gridCol w:w="2460"/>
        <w:gridCol w:w="2460"/>
        <w:gridCol w:w="2460"/>
      </w:tblGrid>
      <w:tr w:rsidR="008B0A55" w14:paraId="5304AE7B" w14:textId="77777777" w:rsidTr="00045395">
        <w:trPr>
          <w:trHeight w:val="467"/>
        </w:trPr>
        <w:tc>
          <w:tcPr>
            <w:tcW w:w="2460" w:type="dxa"/>
            <w:vAlign w:val="bottom"/>
          </w:tcPr>
          <w:p w14:paraId="5C83A2BC" w14:textId="77777777" w:rsidR="008B0A55" w:rsidRPr="00EB199E" w:rsidRDefault="008B0A55" w:rsidP="00DF5603">
            <w:pPr>
              <w:jc w:val="center"/>
              <w:rPr>
                <w:b/>
                <w:bCs/>
              </w:rPr>
            </w:pPr>
            <w:r w:rsidRPr="00EB199E">
              <w:rPr>
                <w:b/>
                <w:bCs/>
              </w:rPr>
              <w:t>Control Strategy</w:t>
            </w:r>
          </w:p>
        </w:tc>
        <w:tc>
          <w:tcPr>
            <w:tcW w:w="2460" w:type="dxa"/>
            <w:vAlign w:val="bottom"/>
          </w:tcPr>
          <w:p w14:paraId="4106E0BC" w14:textId="77777777" w:rsidR="008B0A55" w:rsidRPr="00EB199E" w:rsidRDefault="008B0A55" w:rsidP="00DF5603">
            <w:pPr>
              <w:jc w:val="center"/>
              <w:rPr>
                <w:b/>
                <w:bCs/>
              </w:rPr>
            </w:pPr>
            <w:r w:rsidRPr="00EB199E">
              <w:rPr>
                <w:b/>
                <w:bCs/>
              </w:rPr>
              <w:t>Primary</w:t>
            </w:r>
            <w:r>
              <w:rPr>
                <w:b/>
                <w:bCs/>
              </w:rPr>
              <w:t xml:space="preserve"> Processor</w:t>
            </w:r>
          </w:p>
        </w:tc>
        <w:tc>
          <w:tcPr>
            <w:tcW w:w="2460" w:type="dxa"/>
            <w:vAlign w:val="bottom"/>
          </w:tcPr>
          <w:p w14:paraId="3FE86F5A" w14:textId="77777777" w:rsidR="008B0A55" w:rsidRPr="00EB199E" w:rsidRDefault="008B0A55" w:rsidP="00DF5603">
            <w:pPr>
              <w:jc w:val="center"/>
              <w:rPr>
                <w:b/>
                <w:bCs/>
              </w:rPr>
            </w:pPr>
            <w:r w:rsidRPr="00EB199E">
              <w:rPr>
                <w:b/>
                <w:bCs/>
              </w:rPr>
              <w:t>Secondary</w:t>
            </w:r>
            <w:r>
              <w:rPr>
                <w:b/>
                <w:bCs/>
              </w:rPr>
              <w:t xml:space="preserve"> Processor</w:t>
            </w:r>
          </w:p>
        </w:tc>
      </w:tr>
      <w:tr w:rsidR="008B0A55" w14:paraId="4A733CC5" w14:textId="77777777" w:rsidTr="00045395">
        <w:trPr>
          <w:trHeight w:val="521"/>
        </w:trPr>
        <w:tc>
          <w:tcPr>
            <w:tcW w:w="2460" w:type="dxa"/>
            <w:vAlign w:val="center"/>
          </w:tcPr>
          <w:p w14:paraId="75A675E7" w14:textId="7A1C6ABF" w:rsidR="008B0A55" w:rsidRDefault="008B0A55" w:rsidP="00DF5603">
            <w:r>
              <w:t>Source Control</w:t>
            </w:r>
          </w:p>
        </w:tc>
        <w:tc>
          <w:tcPr>
            <w:tcW w:w="2460" w:type="dxa"/>
            <w:vAlign w:val="center"/>
          </w:tcPr>
          <w:p w14:paraId="0E061B3A" w14:textId="77777777" w:rsidR="008B0A55" w:rsidRDefault="008B0A55" w:rsidP="00DF5603">
            <w:pPr>
              <w:jc w:val="center"/>
            </w:pPr>
            <w:r w:rsidRPr="00587FA2">
              <w:rPr>
                <w:rFonts w:ascii="Wingdings" w:hAnsi="Wingdings" w:cs="Calibri"/>
                <w:b/>
                <w:bCs/>
              </w:rPr>
              <w:t>ü</w:t>
            </w:r>
          </w:p>
        </w:tc>
        <w:tc>
          <w:tcPr>
            <w:tcW w:w="2460" w:type="dxa"/>
            <w:vAlign w:val="center"/>
          </w:tcPr>
          <w:p w14:paraId="1B4F40BC" w14:textId="77777777" w:rsidR="008B0A55" w:rsidRDefault="008B0A55" w:rsidP="00DF5603">
            <w:pPr>
              <w:jc w:val="center"/>
            </w:pPr>
            <w:r w:rsidRPr="00587FA2">
              <w:rPr>
                <w:rFonts w:ascii="Wingdings" w:hAnsi="Wingdings" w:cs="Calibri"/>
                <w:b/>
                <w:bCs/>
              </w:rPr>
              <w:t>ü</w:t>
            </w:r>
          </w:p>
        </w:tc>
      </w:tr>
      <w:tr w:rsidR="008B0A55" w14:paraId="2AFF7D26" w14:textId="77777777" w:rsidTr="00045395">
        <w:trPr>
          <w:trHeight w:val="521"/>
        </w:trPr>
        <w:tc>
          <w:tcPr>
            <w:tcW w:w="2460" w:type="dxa"/>
            <w:vAlign w:val="center"/>
          </w:tcPr>
          <w:p w14:paraId="41EF2E8D" w14:textId="449A1254" w:rsidR="008B0A55" w:rsidRDefault="008B0A55" w:rsidP="00DF5603">
            <w:r>
              <w:t>Processing Control*</w:t>
            </w:r>
          </w:p>
        </w:tc>
        <w:tc>
          <w:tcPr>
            <w:tcW w:w="2460" w:type="dxa"/>
            <w:vAlign w:val="center"/>
          </w:tcPr>
          <w:p w14:paraId="0FD9C106" w14:textId="77777777" w:rsidR="008B0A55" w:rsidRDefault="008B0A55" w:rsidP="00DF5603">
            <w:pPr>
              <w:jc w:val="center"/>
            </w:pPr>
            <w:r w:rsidRPr="00587FA2">
              <w:rPr>
                <w:rFonts w:ascii="Wingdings" w:hAnsi="Wingdings" w:cs="Calibri"/>
                <w:b/>
                <w:bCs/>
              </w:rPr>
              <w:t>ü</w:t>
            </w:r>
          </w:p>
        </w:tc>
        <w:tc>
          <w:tcPr>
            <w:tcW w:w="2460" w:type="dxa"/>
            <w:vAlign w:val="center"/>
          </w:tcPr>
          <w:p w14:paraId="2FCEC8F0" w14:textId="77777777" w:rsidR="008B0A55" w:rsidRDefault="008B0A55" w:rsidP="00DF5603">
            <w:pPr>
              <w:jc w:val="center"/>
            </w:pPr>
            <w:r w:rsidRPr="00587FA2">
              <w:rPr>
                <w:rFonts w:ascii="Wingdings" w:hAnsi="Wingdings" w:cs="Calibri"/>
                <w:b/>
                <w:bCs/>
              </w:rPr>
              <w:t>ü</w:t>
            </w:r>
          </w:p>
        </w:tc>
      </w:tr>
    </w:tbl>
    <w:p w14:paraId="4266BD8C" w14:textId="65BDF5EF" w:rsidR="00997F0A" w:rsidRDefault="00997F0A" w:rsidP="001B1433">
      <w:pPr>
        <w:spacing w:before="240"/>
      </w:pPr>
      <w:r>
        <w:t>*Not all natural toxins can be reduced or eliminated through processing. This control strategy applies only to those toxins that are known to be reduced or destroyed by such methods. Based on a review of the available literature, only PGE2 has been identified as having the potential to be reduced through processing.</w:t>
      </w:r>
    </w:p>
    <w:p w14:paraId="18E4BB6B" w14:textId="03A1E5C5" w:rsidR="008B0A55" w:rsidRDefault="008B0A55" w:rsidP="00691E23">
      <w:pPr>
        <w:pStyle w:val="Heading3"/>
      </w:pPr>
      <w:bookmarkStart w:id="170" w:name="_Toc208503252"/>
      <w:r>
        <w:t>Control Strategy 1 – Source Control</w:t>
      </w:r>
      <w:bookmarkEnd w:id="170"/>
    </w:p>
    <w:p w14:paraId="7B288D2E" w14:textId="207DE5C7" w:rsidR="00997F0A" w:rsidRDefault="00997F0A" w:rsidP="00846B8F">
      <w:pPr>
        <w:pStyle w:val="Heading4"/>
        <w:numPr>
          <w:ilvl w:val="3"/>
          <w:numId w:val="125"/>
        </w:numPr>
      </w:pPr>
      <w:r>
        <w:t>Critical Limit(s)/Parameter(s) and Value(s)</w:t>
      </w:r>
    </w:p>
    <w:p w14:paraId="5DBD0D21" w14:textId="77777777" w:rsidR="00997F0A" w:rsidRDefault="00997F0A" w:rsidP="00B64049">
      <w:pPr>
        <w:spacing w:before="240"/>
      </w:pPr>
      <w:r>
        <w:t>Primary processors may not receive seaweed when the harvest locations are:</w:t>
      </w:r>
    </w:p>
    <w:p w14:paraId="38AD88B9" w14:textId="6C34FED3" w:rsidR="00997F0A" w:rsidRDefault="00997F0A" w:rsidP="00846B8F">
      <w:pPr>
        <w:pStyle w:val="ListParagraph"/>
        <w:numPr>
          <w:ilvl w:val="0"/>
          <w:numId w:val="54"/>
        </w:numPr>
      </w:pPr>
      <w:r>
        <w:t>Closed to fishing by foreign, federal, state, tribal, territorial, or local authorities</w:t>
      </w:r>
      <w:r w:rsidR="008B0A55">
        <w:t>,</w:t>
      </w:r>
    </w:p>
    <w:p w14:paraId="746303F6" w14:textId="77777777" w:rsidR="00997F0A" w:rsidRPr="008B0A55" w:rsidRDefault="00997F0A" w:rsidP="001B1433">
      <w:pPr>
        <w:ind w:firstLine="360"/>
        <w:rPr>
          <w:b/>
          <w:bCs/>
        </w:rPr>
      </w:pPr>
      <w:r w:rsidRPr="008B0A55">
        <w:rPr>
          <w:b/>
          <w:bCs/>
        </w:rPr>
        <w:t>OR</w:t>
      </w:r>
    </w:p>
    <w:p w14:paraId="159BDDA5" w14:textId="73505760" w:rsidR="00997F0A" w:rsidRDefault="00997F0A" w:rsidP="00846B8F">
      <w:pPr>
        <w:pStyle w:val="ListParagraph"/>
        <w:numPr>
          <w:ilvl w:val="0"/>
          <w:numId w:val="54"/>
        </w:numPr>
      </w:pPr>
      <w:r>
        <w:t>Subject to a consumption advisory</w:t>
      </w:r>
      <w:r w:rsidR="008B0A55">
        <w:t>.</w:t>
      </w:r>
    </w:p>
    <w:p w14:paraId="1792BE5D" w14:textId="77777777" w:rsidR="00997F0A" w:rsidRDefault="00997F0A" w:rsidP="00846B8F">
      <w:pPr>
        <w:pStyle w:val="Heading4"/>
        <w:numPr>
          <w:ilvl w:val="3"/>
          <w:numId w:val="148"/>
        </w:numPr>
      </w:pPr>
      <w:r>
        <w:t>Monitoring – What, How, How Often, Who</w:t>
      </w:r>
    </w:p>
    <w:p w14:paraId="739DAAD5" w14:textId="77777777" w:rsidR="00997F0A" w:rsidRDefault="00997F0A" w:rsidP="00846B8F">
      <w:pPr>
        <w:pStyle w:val="ListParagraph"/>
        <w:numPr>
          <w:ilvl w:val="0"/>
          <w:numId w:val="54"/>
        </w:numPr>
        <w:spacing w:before="240"/>
        <w:contextualSpacing w:val="0"/>
      </w:pPr>
      <w:r>
        <w:t>What will be monitored?</w:t>
      </w:r>
    </w:p>
    <w:p w14:paraId="02AF9E4D" w14:textId="1791FFD8" w:rsidR="00997F0A" w:rsidRDefault="00997F0A" w:rsidP="00846B8F">
      <w:pPr>
        <w:pStyle w:val="ListParagraph"/>
        <w:numPr>
          <w:ilvl w:val="1"/>
          <w:numId w:val="54"/>
        </w:numPr>
        <w:contextualSpacing w:val="0"/>
      </w:pPr>
      <w:r>
        <w:t>The status of the harvest location is not closed or subject to a consumption advisory.</w:t>
      </w:r>
    </w:p>
    <w:p w14:paraId="26589943" w14:textId="77777777" w:rsidR="00997F0A" w:rsidRPr="00B877A5" w:rsidRDefault="00997F0A" w:rsidP="00B877A5">
      <w:pPr>
        <w:ind w:firstLine="360"/>
        <w:rPr>
          <w:b/>
          <w:bCs/>
        </w:rPr>
      </w:pPr>
      <w:r w:rsidRPr="00B877A5">
        <w:rPr>
          <w:b/>
          <w:bCs/>
        </w:rPr>
        <w:t>OR</w:t>
      </w:r>
    </w:p>
    <w:p w14:paraId="2FFC560B" w14:textId="77777777" w:rsidR="00997F0A" w:rsidRDefault="00997F0A" w:rsidP="00846B8F">
      <w:pPr>
        <w:pStyle w:val="ListParagraph"/>
        <w:numPr>
          <w:ilvl w:val="1"/>
          <w:numId w:val="54"/>
        </w:numPr>
        <w:contextualSpacing w:val="0"/>
      </w:pPr>
      <w:r>
        <w:lastRenderedPageBreak/>
        <w:t>Presence declaration from the producer stating that the harvest areas or products are free from natural toxins or grown/harvested from areas with no history of toxin.</w:t>
      </w:r>
    </w:p>
    <w:p w14:paraId="7E7D9F09" w14:textId="77777777" w:rsidR="00997F0A" w:rsidRDefault="00997F0A" w:rsidP="00846B8F">
      <w:pPr>
        <w:pStyle w:val="ListParagraph"/>
        <w:numPr>
          <w:ilvl w:val="0"/>
          <w:numId w:val="54"/>
        </w:numPr>
        <w:contextualSpacing w:val="0"/>
      </w:pPr>
      <w:r>
        <w:t>How will monitoring be done?</w:t>
      </w:r>
    </w:p>
    <w:p w14:paraId="344B2191" w14:textId="77777777" w:rsidR="00997F0A" w:rsidRDefault="00997F0A" w:rsidP="00846B8F">
      <w:pPr>
        <w:pStyle w:val="ListParagraph"/>
        <w:numPr>
          <w:ilvl w:val="1"/>
          <w:numId w:val="54"/>
        </w:numPr>
        <w:contextualSpacing w:val="0"/>
      </w:pPr>
      <w:r>
        <w:t>Visual observation of the status of the harvest location and/or declaration identifying the harvest area location is not under a restriction, advisory or prohibited from fishing by any foreign, federal, state tribal, territorial, or local authorities.</w:t>
      </w:r>
    </w:p>
    <w:p w14:paraId="415396E9" w14:textId="77777777" w:rsidR="00997F0A" w:rsidRDefault="00997F0A" w:rsidP="00846B8F">
      <w:pPr>
        <w:pStyle w:val="ListParagraph"/>
        <w:numPr>
          <w:ilvl w:val="0"/>
          <w:numId w:val="54"/>
        </w:numPr>
        <w:contextualSpacing w:val="0"/>
      </w:pPr>
      <w:r>
        <w:t>How often will monitoring be done (frequency)?</w:t>
      </w:r>
    </w:p>
    <w:p w14:paraId="3ED13D50" w14:textId="43A24E57" w:rsidR="00997F0A" w:rsidRDefault="00997F0A" w:rsidP="00846B8F">
      <w:pPr>
        <w:pStyle w:val="ListParagraph"/>
        <w:numPr>
          <w:ilvl w:val="1"/>
          <w:numId w:val="54"/>
        </w:numPr>
        <w:spacing w:before="240"/>
        <w:contextualSpacing w:val="0"/>
      </w:pPr>
      <w:r>
        <w:t>Every shipment received</w:t>
      </w:r>
      <w:r w:rsidR="00B877A5">
        <w:t>.</w:t>
      </w:r>
    </w:p>
    <w:p w14:paraId="7C2A09A4" w14:textId="77777777" w:rsidR="00997F0A" w:rsidRDefault="00997F0A" w:rsidP="00846B8F">
      <w:pPr>
        <w:pStyle w:val="ListParagraph"/>
        <w:numPr>
          <w:ilvl w:val="0"/>
          <w:numId w:val="54"/>
        </w:numPr>
        <w:contextualSpacing w:val="0"/>
      </w:pPr>
      <w:r>
        <w:t>Who will do the monitoring?</w:t>
      </w:r>
    </w:p>
    <w:p w14:paraId="73C0C1C6" w14:textId="5710ADC0" w:rsidR="00997F0A" w:rsidRDefault="00997F0A" w:rsidP="00846B8F">
      <w:pPr>
        <w:pStyle w:val="ListParagraph"/>
        <w:numPr>
          <w:ilvl w:val="1"/>
          <w:numId w:val="54"/>
        </w:numPr>
        <w:contextualSpacing w:val="0"/>
      </w:pPr>
      <w:r>
        <w:t>An individual with an understanding of the control and trained to carry out the required monitoring procedures.</w:t>
      </w:r>
    </w:p>
    <w:p w14:paraId="44D6CA08" w14:textId="77777777" w:rsidR="00997F0A" w:rsidRDefault="00997F0A" w:rsidP="00846B8F">
      <w:pPr>
        <w:pStyle w:val="Heading4"/>
        <w:numPr>
          <w:ilvl w:val="3"/>
          <w:numId w:val="149"/>
        </w:numPr>
      </w:pPr>
      <w:r>
        <w:t>Corrective Action/Corrections</w:t>
      </w:r>
    </w:p>
    <w:p w14:paraId="7F116D8B" w14:textId="77777777" w:rsidR="00997F0A" w:rsidRDefault="00997F0A" w:rsidP="00846B8F">
      <w:pPr>
        <w:pStyle w:val="ListParagraph"/>
        <w:numPr>
          <w:ilvl w:val="0"/>
          <w:numId w:val="55"/>
        </w:numPr>
        <w:spacing w:before="240"/>
        <w:contextualSpacing w:val="0"/>
      </w:pPr>
      <w:r>
        <w:t xml:space="preserve">If harvest location is closed to harvest </w:t>
      </w:r>
      <w:r w:rsidRPr="00B877A5">
        <w:rPr>
          <w:b/>
          <w:bCs/>
        </w:rPr>
        <w:t>OR</w:t>
      </w:r>
      <w:r>
        <w:t xml:space="preserve"> harvest area is under consumption advisory, then reject lot.</w:t>
      </w:r>
    </w:p>
    <w:p w14:paraId="5AA46920" w14:textId="77777777" w:rsidR="00997F0A" w:rsidRDefault="00997F0A" w:rsidP="00846B8F">
      <w:pPr>
        <w:pStyle w:val="ListParagraph"/>
        <w:numPr>
          <w:ilvl w:val="0"/>
          <w:numId w:val="55"/>
        </w:numPr>
        <w:contextualSpacing w:val="0"/>
      </w:pPr>
      <w:r>
        <w:t xml:space="preserve">If proper declaration of harvest area is free of toxins was not provided, then hold shipment and contact suppliers to confirm and request proper source information to confirm safety </w:t>
      </w:r>
      <w:r w:rsidRPr="00B877A5">
        <w:rPr>
          <w:b/>
          <w:bCs/>
        </w:rPr>
        <w:t>OR</w:t>
      </w:r>
      <w:r>
        <w:t xml:space="preserve"> reject the lot.</w:t>
      </w:r>
    </w:p>
    <w:p w14:paraId="7061E5BC" w14:textId="1C63D57B" w:rsidR="00997F0A" w:rsidRDefault="00997F0A" w:rsidP="00B877A5">
      <w:r w:rsidRPr="00B877A5">
        <w:rPr>
          <w:b/>
          <w:bCs/>
        </w:rPr>
        <w:t>AND</w:t>
      </w:r>
      <w:r>
        <w:t xml:space="preserve"> address the root cause to prevent future occurrence.</w:t>
      </w:r>
    </w:p>
    <w:p w14:paraId="76B759D3" w14:textId="35E68601" w:rsidR="00997F0A" w:rsidRDefault="00997F0A" w:rsidP="00846B8F">
      <w:pPr>
        <w:pStyle w:val="ListParagraph"/>
        <w:numPr>
          <w:ilvl w:val="0"/>
          <w:numId w:val="55"/>
        </w:numPr>
        <w:contextualSpacing w:val="0"/>
      </w:pPr>
      <w:r>
        <w:t>Discontinue use of suppliers until shipment practices are adjusted to prevent future errors upon receipt.</w:t>
      </w:r>
    </w:p>
    <w:p w14:paraId="72FDEFA8" w14:textId="77777777" w:rsidR="00997F0A" w:rsidRDefault="00997F0A" w:rsidP="00846B8F">
      <w:pPr>
        <w:pStyle w:val="Heading4"/>
        <w:numPr>
          <w:ilvl w:val="3"/>
          <w:numId w:val="149"/>
        </w:numPr>
      </w:pPr>
      <w:r>
        <w:t>Verification</w:t>
      </w:r>
    </w:p>
    <w:p w14:paraId="12DFF18D" w14:textId="55B5C0DC" w:rsidR="00997F0A" w:rsidRDefault="00997F0A" w:rsidP="00846B8F">
      <w:pPr>
        <w:pStyle w:val="ListParagraph"/>
        <w:numPr>
          <w:ilvl w:val="0"/>
          <w:numId w:val="55"/>
        </w:numPr>
        <w:spacing w:before="240"/>
        <w:contextualSpacing w:val="0"/>
      </w:pPr>
      <w:r>
        <w:t>Review or monitoring and corrective action records within one week of preparation to ensure they were completed appropriately.</w:t>
      </w:r>
    </w:p>
    <w:p w14:paraId="344268E4" w14:textId="38B4A2D8" w:rsidR="00997F0A" w:rsidRDefault="00997F0A" w:rsidP="00846B8F">
      <w:pPr>
        <w:pStyle w:val="ListParagraph"/>
        <w:numPr>
          <w:ilvl w:val="0"/>
          <w:numId w:val="55"/>
        </w:numPr>
        <w:contextualSpacing w:val="0"/>
      </w:pPr>
      <w:r>
        <w:t>Periodically monitor governmental and other resources for the most current information regarding harvest restrictions, advisories, and waterbody closures due to natural toxins.</w:t>
      </w:r>
    </w:p>
    <w:p w14:paraId="72BED548" w14:textId="77777777" w:rsidR="00997F0A" w:rsidRDefault="00997F0A" w:rsidP="00846B8F">
      <w:pPr>
        <w:pStyle w:val="ListParagraph"/>
        <w:numPr>
          <w:ilvl w:val="0"/>
          <w:numId w:val="55"/>
        </w:numPr>
        <w:contextualSpacing w:val="0"/>
      </w:pPr>
      <w:r>
        <w:t>Conduct an annual assessment of consumer complaints to identify any signs or evidence of potential natural toxin presence in products.</w:t>
      </w:r>
    </w:p>
    <w:p w14:paraId="1E091EEC" w14:textId="77777777" w:rsidR="00997F0A" w:rsidRDefault="00997F0A" w:rsidP="00846B8F">
      <w:pPr>
        <w:pStyle w:val="Heading4"/>
        <w:numPr>
          <w:ilvl w:val="3"/>
          <w:numId w:val="149"/>
        </w:numPr>
      </w:pPr>
      <w:r>
        <w:lastRenderedPageBreak/>
        <w:t>Records</w:t>
      </w:r>
    </w:p>
    <w:p w14:paraId="5EF40FA3" w14:textId="77777777" w:rsidR="00997F0A" w:rsidRDefault="00997F0A" w:rsidP="00846B8F">
      <w:pPr>
        <w:pStyle w:val="ListParagraph"/>
        <w:numPr>
          <w:ilvl w:val="0"/>
          <w:numId w:val="56"/>
        </w:numPr>
        <w:spacing w:before="240"/>
        <w:contextualSpacing w:val="0"/>
      </w:pPr>
      <w:r w:rsidRPr="00B877A5">
        <w:rPr>
          <w:b/>
          <w:bCs/>
        </w:rPr>
        <w:t>Monitoring Records:</w:t>
      </w:r>
      <w:r>
        <w:t xml:space="preserve"> Receiving logs indicating visual checks that source information was cross referenced to confirm no closures or consumption advisories. Supporting documentation including harvest location and declaration of no toxins, if relevant.</w:t>
      </w:r>
    </w:p>
    <w:p w14:paraId="5408BA21" w14:textId="77777777" w:rsidR="00997F0A" w:rsidRDefault="00997F0A" w:rsidP="00846B8F">
      <w:pPr>
        <w:pStyle w:val="ListParagraph"/>
        <w:numPr>
          <w:ilvl w:val="0"/>
          <w:numId w:val="56"/>
        </w:numPr>
        <w:contextualSpacing w:val="0"/>
      </w:pPr>
      <w:r w:rsidRPr="00B877A5">
        <w:rPr>
          <w:b/>
          <w:bCs/>
        </w:rPr>
        <w:t>Corrective Action Records:</w:t>
      </w:r>
      <w:r>
        <w:t xml:space="preserve"> Any records indicating what was done to address potential deviations from parameters, values, or critical limits.</w:t>
      </w:r>
    </w:p>
    <w:p w14:paraId="6DD95CA0" w14:textId="716B450C" w:rsidR="00997F0A" w:rsidRDefault="00997F0A" w:rsidP="00846B8F">
      <w:pPr>
        <w:pStyle w:val="ListParagraph"/>
        <w:numPr>
          <w:ilvl w:val="0"/>
          <w:numId w:val="56"/>
        </w:numPr>
        <w:contextualSpacing w:val="0"/>
      </w:pPr>
      <w:r w:rsidRPr="00B877A5">
        <w:rPr>
          <w:b/>
          <w:bCs/>
        </w:rPr>
        <w:t>Verification Records:</w:t>
      </w:r>
      <w:r>
        <w:t xml:space="preserve"> Periodic (at least annually) evaluation of harvest locations for closures for advisories.</w:t>
      </w:r>
    </w:p>
    <w:p w14:paraId="46C361C2" w14:textId="04D81A08" w:rsidR="00997F0A" w:rsidRDefault="00997F0A" w:rsidP="00846B8F">
      <w:pPr>
        <w:pStyle w:val="ListParagraph"/>
        <w:numPr>
          <w:ilvl w:val="0"/>
          <w:numId w:val="56"/>
        </w:numPr>
        <w:contextualSpacing w:val="0"/>
      </w:pPr>
      <w:r w:rsidRPr="00B877A5">
        <w:rPr>
          <w:b/>
          <w:bCs/>
        </w:rPr>
        <w:t>Recall Plan</w:t>
      </w:r>
      <w:r>
        <w:t>: A written recall plan is required for any products with significant hazards if regulated under preventive controls for human foods.</w:t>
      </w:r>
    </w:p>
    <w:p w14:paraId="143BFAAA" w14:textId="77777777" w:rsidR="00460EDC" w:rsidRDefault="00997F0A" w:rsidP="00846B8F">
      <w:pPr>
        <w:pStyle w:val="ListParagraph"/>
        <w:numPr>
          <w:ilvl w:val="0"/>
          <w:numId w:val="56"/>
        </w:numPr>
        <w:contextualSpacing w:val="0"/>
        <w:sectPr w:rsidR="00460EDC" w:rsidSect="00060FE6">
          <w:pgSz w:w="12240" w:h="15840"/>
          <w:pgMar w:top="1440" w:right="1440" w:bottom="1440" w:left="1440" w:header="720" w:footer="720" w:gutter="0"/>
          <w:pgNumType w:start="1" w:chapStyle="1"/>
          <w:cols w:space="720"/>
          <w:docGrid w:linePitch="360"/>
        </w:sectPr>
      </w:pPr>
      <w:r w:rsidRPr="00B877A5">
        <w:rPr>
          <w:b/>
          <w:bCs/>
        </w:rPr>
        <w:t>Training Records:</w:t>
      </w:r>
      <w:r>
        <w:t xml:space="preserve"> Training records for the preventive controls qualified individual (PCQI) must be maintained if regulated under preventive controls for human foods. While the HACCP rule requires a HACCP trained individual, records of that training are not explicitly required.</w:t>
      </w:r>
    </w:p>
    <w:p w14:paraId="238514D2" w14:textId="0369713D" w:rsidR="00460EDC" w:rsidRDefault="00460EDC" w:rsidP="00846B8F">
      <w:pPr>
        <w:pStyle w:val="Heading4"/>
        <w:numPr>
          <w:ilvl w:val="3"/>
          <w:numId w:val="150"/>
        </w:numPr>
      </w:pPr>
      <w:r>
        <w:lastRenderedPageBreak/>
        <w:t>Example HACCP Plan for Source Control</w:t>
      </w:r>
    </w:p>
    <w:p w14:paraId="5F06CDA3" w14:textId="16017D2E" w:rsidR="00D75A6A" w:rsidRPr="00D75A6A" w:rsidRDefault="00D75A6A" w:rsidP="00D75A6A">
      <w:pPr>
        <w:ind w:left="-810" w:right="-990"/>
      </w:pPr>
      <w:r w:rsidRPr="00460EDC">
        <w:t xml:space="preserve">Below are examples showing what food safety plans could look like. They are intended for illustrative purposes only. Each producer must develop a plan tailored to their unique products, production and processing methods, and regulatory requirements. </w:t>
      </w:r>
      <w:r w:rsidRPr="00460EDC">
        <w:rPr>
          <w:b/>
          <w:bCs/>
        </w:rPr>
        <w:t>These examples should not be copied and used without modification to fit your specific operation.</w:t>
      </w:r>
    </w:p>
    <w:p w14:paraId="181D80C6" w14:textId="77751B1F" w:rsidR="00460EDC" w:rsidRDefault="00460EDC" w:rsidP="00460EDC">
      <w:pPr>
        <w:spacing w:before="240"/>
        <w:ind w:left="-806"/>
        <w:contextualSpacing/>
      </w:pPr>
      <w:r w:rsidRPr="00E579E8">
        <w:rPr>
          <w:b/>
          <w:bCs/>
        </w:rPr>
        <w:t>Control Strategy:</w:t>
      </w:r>
      <w:r>
        <w:t xml:space="preserve"> Source Control</w:t>
      </w:r>
    </w:p>
    <w:p w14:paraId="3EE1EF24" w14:textId="60F97C4A" w:rsidR="00460EDC" w:rsidRDefault="00460EDC" w:rsidP="00460EDC">
      <w:pPr>
        <w:spacing w:before="240"/>
        <w:ind w:left="-806"/>
        <w:contextualSpacing/>
      </w:pPr>
      <w:r>
        <w:rPr>
          <w:b/>
          <w:bCs/>
        </w:rPr>
        <w:t>Supply Chain Preventive Control (PCHF)</w:t>
      </w:r>
      <w:r w:rsidRPr="00E579E8">
        <w:rPr>
          <w:b/>
          <w:bCs/>
        </w:rPr>
        <w:t>:</w:t>
      </w:r>
      <w:r>
        <w:t xml:space="preserve"> Receiving Step</w:t>
      </w:r>
    </w:p>
    <w:p w14:paraId="7CA00F4B" w14:textId="3B7AF77C" w:rsidR="00460EDC" w:rsidRPr="00AD559E" w:rsidRDefault="00460EDC" w:rsidP="00460EDC">
      <w:pPr>
        <w:spacing w:before="240"/>
        <w:ind w:left="-806"/>
        <w:contextualSpacing/>
      </w:pPr>
      <w:r w:rsidRPr="00E579E8">
        <w:rPr>
          <w:b/>
          <w:bCs/>
        </w:rPr>
        <w:t>Hazard:</w:t>
      </w:r>
      <w:r>
        <w:t xml:space="preserve"> Natural Toxins</w:t>
      </w:r>
    </w:p>
    <w:tbl>
      <w:tblPr>
        <w:tblStyle w:val="TableGrid"/>
        <w:tblW w:w="14670" w:type="dxa"/>
        <w:tblInd w:w="-81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tblCellMar>
        <w:tblLook w:val="04A0" w:firstRow="1" w:lastRow="0" w:firstColumn="1" w:lastColumn="0" w:noHBand="0" w:noVBand="1"/>
        <w:tblCaption w:val="Example HACCP Plan for Source Control: Natural Toxins"/>
        <w:tblDescription w:val="Column Headers: Parameters/Values/Critical Limits, Monitoring (What/How/When/Who as subheader columns within), Corrective Action, Verification, Records."/>
      </w:tblPr>
      <w:tblGrid>
        <w:gridCol w:w="2340"/>
        <w:gridCol w:w="1417"/>
        <w:gridCol w:w="1463"/>
        <w:gridCol w:w="1372"/>
        <w:gridCol w:w="1418"/>
        <w:gridCol w:w="2070"/>
        <w:gridCol w:w="2520"/>
        <w:gridCol w:w="2070"/>
      </w:tblGrid>
      <w:tr w:rsidR="00460EDC" w14:paraId="2BE54A29" w14:textId="77777777" w:rsidTr="00A61B74">
        <w:trPr>
          <w:trHeight w:val="390"/>
        </w:trPr>
        <w:tc>
          <w:tcPr>
            <w:tcW w:w="2340" w:type="dxa"/>
            <w:vMerge w:val="restart"/>
            <w:shd w:val="clear" w:color="auto" w:fill="D1D1D1" w:themeFill="background2" w:themeFillShade="E6"/>
          </w:tcPr>
          <w:p w14:paraId="23779A92" w14:textId="77777777" w:rsidR="00460EDC" w:rsidRPr="0001662C" w:rsidRDefault="00460EDC" w:rsidP="00DF5603">
            <w:pPr>
              <w:jc w:val="center"/>
              <w:rPr>
                <w:b/>
                <w:bCs/>
              </w:rPr>
            </w:pPr>
            <w:r w:rsidRPr="0001662C">
              <w:rPr>
                <w:b/>
                <w:bCs/>
              </w:rPr>
              <w:t>Parameters, Values, Critical Limits</w:t>
            </w:r>
          </w:p>
        </w:tc>
        <w:tc>
          <w:tcPr>
            <w:tcW w:w="5670" w:type="dxa"/>
            <w:gridSpan w:val="4"/>
            <w:shd w:val="clear" w:color="auto" w:fill="D1D1D1" w:themeFill="background2" w:themeFillShade="E6"/>
          </w:tcPr>
          <w:p w14:paraId="3E71A34A" w14:textId="77777777" w:rsidR="00460EDC" w:rsidRPr="0001662C" w:rsidRDefault="00460EDC" w:rsidP="00DF5603">
            <w:pPr>
              <w:jc w:val="center"/>
              <w:rPr>
                <w:b/>
                <w:bCs/>
              </w:rPr>
            </w:pPr>
            <w:r w:rsidRPr="0001662C">
              <w:rPr>
                <w:b/>
                <w:bCs/>
              </w:rPr>
              <w:t>Monitoring</w:t>
            </w:r>
          </w:p>
        </w:tc>
        <w:tc>
          <w:tcPr>
            <w:tcW w:w="2070" w:type="dxa"/>
            <w:vMerge w:val="restart"/>
            <w:shd w:val="clear" w:color="auto" w:fill="D1D1D1" w:themeFill="background2" w:themeFillShade="E6"/>
          </w:tcPr>
          <w:p w14:paraId="289215F7" w14:textId="77777777" w:rsidR="00460EDC" w:rsidRPr="0001662C" w:rsidRDefault="00460EDC" w:rsidP="00DF5603">
            <w:pPr>
              <w:jc w:val="center"/>
              <w:rPr>
                <w:b/>
                <w:bCs/>
              </w:rPr>
            </w:pPr>
            <w:r w:rsidRPr="0001662C">
              <w:rPr>
                <w:b/>
                <w:bCs/>
              </w:rPr>
              <w:t>Corrective Action</w:t>
            </w:r>
          </w:p>
        </w:tc>
        <w:tc>
          <w:tcPr>
            <w:tcW w:w="2520" w:type="dxa"/>
            <w:vMerge w:val="restart"/>
            <w:shd w:val="clear" w:color="auto" w:fill="D1D1D1" w:themeFill="background2" w:themeFillShade="E6"/>
          </w:tcPr>
          <w:p w14:paraId="07617488" w14:textId="77777777" w:rsidR="00460EDC" w:rsidRPr="0001662C" w:rsidRDefault="00460EDC" w:rsidP="00DF5603">
            <w:pPr>
              <w:jc w:val="center"/>
              <w:rPr>
                <w:b/>
                <w:bCs/>
              </w:rPr>
            </w:pPr>
            <w:r w:rsidRPr="0001662C">
              <w:rPr>
                <w:b/>
                <w:bCs/>
              </w:rPr>
              <w:t>Verification</w:t>
            </w:r>
          </w:p>
        </w:tc>
        <w:tc>
          <w:tcPr>
            <w:tcW w:w="2070" w:type="dxa"/>
            <w:vMerge w:val="restart"/>
            <w:shd w:val="clear" w:color="auto" w:fill="D1D1D1" w:themeFill="background2" w:themeFillShade="E6"/>
          </w:tcPr>
          <w:p w14:paraId="40C04A0A" w14:textId="77777777" w:rsidR="00460EDC" w:rsidRPr="0001662C" w:rsidRDefault="00460EDC" w:rsidP="00DF5603">
            <w:pPr>
              <w:jc w:val="center"/>
              <w:rPr>
                <w:b/>
                <w:bCs/>
              </w:rPr>
            </w:pPr>
            <w:r w:rsidRPr="0001662C">
              <w:rPr>
                <w:b/>
                <w:bCs/>
              </w:rPr>
              <w:t>Records</w:t>
            </w:r>
          </w:p>
        </w:tc>
      </w:tr>
      <w:tr w:rsidR="00460EDC" w14:paraId="29C56F17" w14:textId="77777777" w:rsidTr="00A61B74">
        <w:trPr>
          <w:trHeight w:val="20"/>
        </w:trPr>
        <w:tc>
          <w:tcPr>
            <w:tcW w:w="2340" w:type="dxa"/>
            <w:vMerge/>
          </w:tcPr>
          <w:p w14:paraId="165AC949" w14:textId="77777777" w:rsidR="00460EDC" w:rsidRPr="0001662C" w:rsidRDefault="00460EDC" w:rsidP="00DF5603">
            <w:pPr>
              <w:rPr>
                <w:b/>
                <w:bCs/>
              </w:rPr>
            </w:pPr>
          </w:p>
        </w:tc>
        <w:tc>
          <w:tcPr>
            <w:tcW w:w="1417" w:type="dxa"/>
            <w:shd w:val="clear" w:color="auto" w:fill="D1D1D1" w:themeFill="background2" w:themeFillShade="E6"/>
          </w:tcPr>
          <w:p w14:paraId="33E8A673" w14:textId="77777777" w:rsidR="00460EDC" w:rsidRPr="0001662C" w:rsidRDefault="00460EDC" w:rsidP="00DF5603">
            <w:pPr>
              <w:jc w:val="center"/>
              <w:rPr>
                <w:b/>
                <w:bCs/>
              </w:rPr>
            </w:pPr>
            <w:r w:rsidRPr="0001662C">
              <w:rPr>
                <w:b/>
                <w:bCs/>
              </w:rPr>
              <w:t>What</w:t>
            </w:r>
          </w:p>
        </w:tc>
        <w:tc>
          <w:tcPr>
            <w:tcW w:w="1463" w:type="dxa"/>
            <w:shd w:val="clear" w:color="auto" w:fill="D1D1D1" w:themeFill="background2" w:themeFillShade="E6"/>
          </w:tcPr>
          <w:p w14:paraId="7F4654B4" w14:textId="77777777" w:rsidR="00460EDC" w:rsidRPr="0001662C" w:rsidRDefault="00460EDC" w:rsidP="00DF5603">
            <w:pPr>
              <w:jc w:val="center"/>
              <w:rPr>
                <w:b/>
                <w:bCs/>
              </w:rPr>
            </w:pPr>
            <w:r w:rsidRPr="0001662C">
              <w:rPr>
                <w:b/>
                <w:bCs/>
              </w:rPr>
              <w:t>How</w:t>
            </w:r>
          </w:p>
        </w:tc>
        <w:tc>
          <w:tcPr>
            <w:tcW w:w="1372" w:type="dxa"/>
            <w:shd w:val="clear" w:color="auto" w:fill="D1D1D1" w:themeFill="background2" w:themeFillShade="E6"/>
          </w:tcPr>
          <w:p w14:paraId="482C6FCE" w14:textId="77777777" w:rsidR="00460EDC" w:rsidRPr="0001662C" w:rsidRDefault="00460EDC" w:rsidP="00DF5603">
            <w:pPr>
              <w:jc w:val="center"/>
              <w:rPr>
                <w:b/>
                <w:bCs/>
              </w:rPr>
            </w:pPr>
            <w:r w:rsidRPr="0001662C">
              <w:rPr>
                <w:b/>
                <w:bCs/>
              </w:rPr>
              <w:t>When</w:t>
            </w:r>
          </w:p>
        </w:tc>
        <w:tc>
          <w:tcPr>
            <w:tcW w:w="1418" w:type="dxa"/>
            <w:shd w:val="clear" w:color="auto" w:fill="D1D1D1" w:themeFill="background2" w:themeFillShade="E6"/>
          </w:tcPr>
          <w:p w14:paraId="6BCA19C2" w14:textId="77777777" w:rsidR="00460EDC" w:rsidRPr="0001662C" w:rsidRDefault="00460EDC" w:rsidP="00DF5603">
            <w:pPr>
              <w:jc w:val="center"/>
              <w:rPr>
                <w:b/>
                <w:bCs/>
              </w:rPr>
            </w:pPr>
            <w:r w:rsidRPr="0001662C">
              <w:rPr>
                <w:b/>
                <w:bCs/>
              </w:rPr>
              <w:t>Who</w:t>
            </w:r>
          </w:p>
        </w:tc>
        <w:tc>
          <w:tcPr>
            <w:tcW w:w="2070" w:type="dxa"/>
            <w:vMerge/>
          </w:tcPr>
          <w:p w14:paraId="434B2535" w14:textId="77777777" w:rsidR="00460EDC" w:rsidRDefault="00460EDC" w:rsidP="00DF5603"/>
        </w:tc>
        <w:tc>
          <w:tcPr>
            <w:tcW w:w="2520" w:type="dxa"/>
            <w:vMerge/>
          </w:tcPr>
          <w:p w14:paraId="34DF344D" w14:textId="77777777" w:rsidR="00460EDC" w:rsidRDefault="00460EDC" w:rsidP="00DF5603"/>
        </w:tc>
        <w:tc>
          <w:tcPr>
            <w:tcW w:w="2070" w:type="dxa"/>
            <w:vMerge/>
          </w:tcPr>
          <w:p w14:paraId="71E643D6" w14:textId="77777777" w:rsidR="00460EDC" w:rsidRDefault="00460EDC" w:rsidP="00DF5603"/>
        </w:tc>
      </w:tr>
      <w:tr w:rsidR="00460EDC" w14:paraId="71782629" w14:textId="77777777" w:rsidTr="00A61B74">
        <w:trPr>
          <w:trHeight w:val="5358"/>
        </w:trPr>
        <w:tc>
          <w:tcPr>
            <w:tcW w:w="2340" w:type="dxa"/>
          </w:tcPr>
          <w:p w14:paraId="66A074FA" w14:textId="77777777" w:rsidR="00460EDC" w:rsidRPr="00460EDC" w:rsidRDefault="00460EDC" w:rsidP="00460EDC">
            <w:pPr>
              <w:spacing w:before="240"/>
              <w:rPr>
                <w:sz w:val="22"/>
                <w:szCs w:val="22"/>
              </w:rPr>
            </w:pPr>
            <w:r w:rsidRPr="00460EDC">
              <w:rPr>
                <w:sz w:val="22"/>
                <w:szCs w:val="22"/>
              </w:rPr>
              <w:t>Harvest location is not closed to fishing by foreign, federal, state, tribal, territorial, or local authorities OR Subject to a consumption advisory</w:t>
            </w:r>
          </w:p>
          <w:p w14:paraId="34B49388" w14:textId="77777777" w:rsidR="00460EDC" w:rsidRPr="00460EDC" w:rsidRDefault="00460EDC" w:rsidP="00460EDC">
            <w:pPr>
              <w:spacing w:before="240"/>
              <w:rPr>
                <w:b/>
                <w:bCs/>
                <w:sz w:val="22"/>
                <w:szCs w:val="22"/>
              </w:rPr>
            </w:pPr>
            <w:r w:rsidRPr="00460EDC">
              <w:rPr>
                <w:b/>
                <w:bCs/>
                <w:sz w:val="22"/>
                <w:szCs w:val="22"/>
              </w:rPr>
              <w:t>OR</w:t>
            </w:r>
          </w:p>
          <w:p w14:paraId="1643930F" w14:textId="0E8C93CA" w:rsidR="00460EDC" w:rsidRPr="00677CAA" w:rsidRDefault="00460EDC" w:rsidP="00460EDC">
            <w:pPr>
              <w:spacing w:before="240"/>
              <w:rPr>
                <w:sz w:val="22"/>
                <w:szCs w:val="22"/>
              </w:rPr>
            </w:pPr>
            <w:r w:rsidRPr="00460EDC">
              <w:rPr>
                <w:sz w:val="22"/>
                <w:szCs w:val="22"/>
              </w:rPr>
              <w:t>The species is not known to contain unsafe levels of the toxin.</w:t>
            </w:r>
          </w:p>
        </w:tc>
        <w:tc>
          <w:tcPr>
            <w:tcW w:w="1417" w:type="dxa"/>
          </w:tcPr>
          <w:p w14:paraId="396D67CA" w14:textId="0AB457B4" w:rsidR="00460EDC" w:rsidRPr="00677CAA" w:rsidRDefault="00460EDC" w:rsidP="00DF5603">
            <w:pPr>
              <w:spacing w:before="240"/>
              <w:rPr>
                <w:sz w:val="22"/>
                <w:szCs w:val="22"/>
              </w:rPr>
            </w:pPr>
            <w:r w:rsidRPr="00460EDC">
              <w:rPr>
                <w:sz w:val="22"/>
                <w:szCs w:val="22"/>
              </w:rPr>
              <w:t>Seaweed received comes with a supplier declaration stating that the harvest areas are free from natural toxins and not known to produce natural toxins.</w:t>
            </w:r>
          </w:p>
        </w:tc>
        <w:tc>
          <w:tcPr>
            <w:tcW w:w="1463" w:type="dxa"/>
          </w:tcPr>
          <w:p w14:paraId="353372D8" w14:textId="16AADB3A" w:rsidR="00460EDC" w:rsidRPr="00677CAA" w:rsidRDefault="00460EDC" w:rsidP="00DF5603">
            <w:pPr>
              <w:spacing w:before="240"/>
              <w:rPr>
                <w:sz w:val="22"/>
                <w:szCs w:val="22"/>
              </w:rPr>
            </w:pPr>
            <w:r w:rsidRPr="00460EDC">
              <w:rPr>
                <w:sz w:val="22"/>
                <w:szCs w:val="22"/>
              </w:rPr>
              <w:t>Visual observation for declaration</w:t>
            </w:r>
            <w:r>
              <w:rPr>
                <w:sz w:val="22"/>
                <w:szCs w:val="22"/>
              </w:rPr>
              <w:t>.</w:t>
            </w:r>
          </w:p>
        </w:tc>
        <w:tc>
          <w:tcPr>
            <w:tcW w:w="1372" w:type="dxa"/>
          </w:tcPr>
          <w:p w14:paraId="11C9A6BB" w14:textId="133779ED" w:rsidR="00460EDC" w:rsidRPr="00677CAA" w:rsidRDefault="00460EDC" w:rsidP="00DF5603">
            <w:pPr>
              <w:spacing w:before="240"/>
              <w:rPr>
                <w:sz w:val="22"/>
                <w:szCs w:val="22"/>
              </w:rPr>
            </w:pPr>
            <w:r>
              <w:rPr>
                <w:sz w:val="22"/>
                <w:szCs w:val="22"/>
              </w:rPr>
              <w:t>Every Lot</w:t>
            </w:r>
          </w:p>
        </w:tc>
        <w:tc>
          <w:tcPr>
            <w:tcW w:w="1418" w:type="dxa"/>
          </w:tcPr>
          <w:p w14:paraId="000E1ABF" w14:textId="763F8366" w:rsidR="00460EDC" w:rsidRPr="00677CAA" w:rsidRDefault="00460EDC" w:rsidP="00DF5603">
            <w:pPr>
              <w:spacing w:before="240"/>
              <w:rPr>
                <w:sz w:val="22"/>
                <w:szCs w:val="22"/>
              </w:rPr>
            </w:pPr>
            <w:r>
              <w:rPr>
                <w:sz w:val="22"/>
                <w:szCs w:val="22"/>
              </w:rPr>
              <w:t>Receiving Manager</w:t>
            </w:r>
          </w:p>
        </w:tc>
        <w:tc>
          <w:tcPr>
            <w:tcW w:w="2070" w:type="dxa"/>
          </w:tcPr>
          <w:p w14:paraId="4C8963D3" w14:textId="77777777" w:rsidR="00460EDC" w:rsidRDefault="00460EDC" w:rsidP="00DF5603">
            <w:pPr>
              <w:spacing w:before="240"/>
              <w:rPr>
                <w:sz w:val="22"/>
                <w:szCs w:val="22"/>
              </w:rPr>
            </w:pPr>
            <w:r w:rsidRPr="00460EDC">
              <w:rPr>
                <w:sz w:val="22"/>
                <w:szCs w:val="22"/>
              </w:rPr>
              <w:t>If a proper declaration is not provided, then, hold the lot until the declaration is received</w:t>
            </w:r>
          </w:p>
          <w:p w14:paraId="40822DBA" w14:textId="5840E476" w:rsidR="00460EDC" w:rsidRDefault="00460EDC" w:rsidP="00DF5603">
            <w:pPr>
              <w:spacing w:before="240"/>
              <w:rPr>
                <w:sz w:val="22"/>
                <w:szCs w:val="22"/>
              </w:rPr>
            </w:pPr>
            <w:r w:rsidRPr="00460EDC">
              <w:rPr>
                <w:b/>
                <w:bCs/>
                <w:sz w:val="22"/>
                <w:szCs w:val="22"/>
              </w:rPr>
              <w:t>OR</w:t>
            </w:r>
            <w:r w:rsidRPr="00460EDC">
              <w:rPr>
                <w:sz w:val="22"/>
                <w:szCs w:val="22"/>
              </w:rPr>
              <w:t xml:space="preserve"> </w:t>
            </w:r>
          </w:p>
          <w:p w14:paraId="12431E3D" w14:textId="5667D35D" w:rsidR="00460EDC" w:rsidRDefault="00460EDC" w:rsidP="00DF5603">
            <w:pPr>
              <w:spacing w:before="240"/>
              <w:rPr>
                <w:sz w:val="22"/>
                <w:szCs w:val="22"/>
              </w:rPr>
            </w:pPr>
            <w:r>
              <w:rPr>
                <w:sz w:val="22"/>
                <w:szCs w:val="22"/>
              </w:rPr>
              <w:t>R</w:t>
            </w:r>
            <w:r w:rsidRPr="00460EDC">
              <w:rPr>
                <w:sz w:val="22"/>
                <w:szCs w:val="22"/>
              </w:rPr>
              <w:t xml:space="preserve">eject the lot </w:t>
            </w:r>
          </w:p>
          <w:p w14:paraId="76837721" w14:textId="77777777" w:rsidR="00460EDC" w:rsidRDefault="00460EDC" w:rsidP="00DF5603">
            <w:pPr>
              <w:spacing w:before="240"/>
              <w:rPr>
                <w:sz w:val="22"/>
                <w:szCs w:val="22"/>
              </w:rPr>
            </w:pPr>
            <w:r w:rsidRPr="00460EDC">
              <w:rPr>
                <w:b/>
                <w:bCs/>
                <w:sz w:val="22"/>
                <w:szCs w:val="22"/>
              </w:rPr>
              <w:t>AND</w:t>
            </w:r>
            <w:r w:rsidRPr="00460EDC">
              <w:rPr>
                <w:sz w:val="22"/>
                <w:szCs w:val="22"/>
              </w:rPr>
              <w:t xml:space="preserve"> </w:t>
            </w:r>
          </w:p>
          <w:p w14:paraId="26B14A9A" w14:textId="7B9C1061" w:rsidR="00460EDC" w:rsidRPr="00677CAA" w:rsidRDefault="00460EDC" w:rsidP="00DF5603">
            <w:pPr>
              <w:spacing w:before="240"/>
              <w:rPr>
                <w:sz w:val="22"/>
                <w:szCs w:val="22"/>
              </w:rPr>
            </w:pPr>
            <w:r>
              <w:rPr>
                <w:sz w:val="22"/>
                <w:szCs w:val="22"/>
              </w:rPr>
              <w:t>D</w:t>
            </w:r>
            <w:r w:rsidRPr="00460EDC">
              <w:rPr>
                <w:sz w:val="22"/>
                <w:szCs w:val="22"/>
              </w:rPr>
              <w:t>iscuss with supplier shipment requirements to prevent future errors upon receipt.</w:t>
            </w:r>
          </w:p>
        </w:tc>
        <w:tc>
          <w:tcPr>
            <w:tcW w:w="2520" w:type="dxa"/>
          </w:tcPr>
          <w:p w14:paraId="760F3C8C" w14:textId="77777777" w:rsidR="00460EDC" w:rsidRPr="00460EDC" w:rsidRDefault="00460EDC" w:rsidP="00460EDC">
            <w:pPr>
              <w:spacing w:before="240"/>
              <w:rPr>
                <w:sz w:val="22"/>
                <w:szCs w:val="22"/>
              </w:rPr>
            </w:pPr>
            <w:r w:rsidRPr="00460EDC">
              <w:rPr>
                <w:sz w:val="22"/>
                <w:szCs w:val="22"/>
              </w:rPr>
              <w:t>Weekly review of monitoring and corrective action records</w:t>
            </w:r>
          </w:p>
          <w:p w14:paraId="4192D047" w14:textId="77777777" w:rsidR="00460EDC" w:rsidRPr="00460EDC" w:rsidRDefault="00460EDC" w:rsidP="00460EDC">
            <w:pPr>
              <w:spacing w:before="240"/>
              <w:rPr>
                <w:sz w:val="22"/>
                <w:szCs w:val="22"/>
              </w:rPr>
            </w:pPr>
            <w:r w:rsidRPr="00460EDC">
              <w:rPr>
                <w:sz w:val="22"/>
                <w:szCs w:val="22"/>
              </w:rPr>
              <w:t xml:space="preserve">Periodically monitor governmental and other resources for the most current information regarding harvest restrictions, advisories, and waterbody closures due to natural toxins. </w:t>
            </w:r>
          </w:p>
          <w:p w14:paraId="4746A32D" w14:textId="384D12BA" w:rsidR="00460EDC" w:rsidRPr="00677CAA" w:rsidRDefault="00460EDC" w:rsidP="00460EDC">
            <w:pPr>
              <w:spacing w:before="240"/>
              <w:rPr>
                <w:sz w:val="22"/>
                <w:szCs w:val="22"/>
              </w:rPr>
            </w:pPr>
            <w:r w:rsidRPr="00460EDC">
              <w:rPr>
                <w:sz w:val="22"/>
                <w:szCs w:val="22"/>
              </w:rPr>
              <w:t>Conduct an annual assessment of consumer complaints to identify any signs or evidence of potential natural toxin presence in products.</w:t>
            </w:r>
          </w:p>
        </w:tc>
        <w:tc>
          <w:tcPr>
            <w:tcW w:w="2070" w:type="dxa"/>
          </w:tcPr>
          <w:p w14:paraId="32D8D27F" w14:textId="77777777" w:rsidR="00460EDC" w:rsidRPr="00460EDC" w:rsidRDefault="00460EDC" w:rsidP="00460EDC">
            <w:pPr>
              <w:spacing w:before="240"/>
              <w:rPr>
                <w:sz w:val="22"/>
                <w:szCs w:val="22"/>
              </w:rPr>
            </w:pPr>
            <w:r w:rsidRPr="00460EDC">
              <w:rPr>
                <w:sz w:val="22"/>
                <w:szCs w:val="22"/>
              </w:rPr>
              <w:t xml:space="preserve">Monitoring record indicating receipt of declaration and declaration itself. </w:t>
            </w:r>
          </w:p>
          <w:p w14:paraId="4310205D" w14:textId="77777777" w:rsidR="00460EDC" w:rsidRPr="00460EDC" w:rsidRDefault="00460EDC" w:rsidP="00460EDC">
            <w:pPr>
              <w:spacing w:before="240"/>
              <w:rPr>
                <w:sz w:val="22"/>
                <w:szCs w:val="22"/>
              </w:rPr>
            </w:pPr>
            <w:r w:rsidRPr="00460EDC">
              <w:rPr>
                <w:sz w:val="22"/>
                <w:szCs w:val="22"/>
              </w:rPr>
              <w:t>Corrective action records, if necessary</w:t>
            </w:r>
          </w:p>
          <w:p w14:paraId="758459DB" w14:textId="5CB65B89" w:rsidR="00460EDC" w:rsidRPr="00677CAA" w:rsidRDefault="00460EDC" w:rsidP="00460EDC">
            <w:pPr>
              <w:spacing w:before="240"/>
              <w:rPr>
                <w:sz w:val="22"/>
                <w:szCs w:val="22"/>
              </w:rPr>
            </w:pPr>
            <w:r w:rsidRPr="00460EDC">
              <w:rPr>
                <w:sz w:val="22"/>
                <w:szCs w:val="22"/>
              </w:rPr>
              <w:t>Verification records indicating periodic review of harvest location status and consumer complaints report.</w:t>
            </w:r>
          </w:p>
        </w:tc>
      </w:tr>
    </w:tbl>
    <w:p w14:paraId="6B547E7B" w14:textId="4DA978D5" w:rsidR="00460EDC" w:rsidRDefault="00460EDC" w:rsidP="00846B8F">
      <w:pPr>
        <w:pStyle w:val="Heading4"/>
        <w:numPr>
          <w:ilvl w:val="3"/>
          <w:numId w:val="151"/>
        </w:numPr>
      </w:pPr>
      <w:r w:rsidRPr="00671CAF">
        <w:lastRenderedPageBreak/>
        <w:t xml:space="preserve">Example </w:t>
      </w:r>
      <w:r>
        <w:t>Food Safety Plan</w:t>
      </w:r>
      <w:r w:rsidRPr="00671CAF">
        <w:t xml:space="preserve"> for</w:t>
      </w:r>
      <w:r>
        <w:t xml:space="preserve"> Source Control</w:t>
      </w:r>
    </w:p>
    <w:p w14:paraId="0200196A" w14:textId="0CD30F0A" w:rsidR="00460EDC" w:rsidRDefault="00460EDC" w:rsidP="0020794B">
      <w:pPr>
        <w:ind w:left="-990" w:right="-1170"/>
      </w:pPr>
      <w:r>
        <w:t>Facilities regulated under the Preventive Controls for Human Food (PCHF) rule that identify a supply-chain-applied preventive control must establish and implement a supply-chain program. This program should detail how suppliers are selected, approved, and verified to ensure they effectively control the identified hazard. For more detailed guidance, refer to Chapter 15 of the FDA</w:t>
      </w:r>
      <w:r w:rsidR="00D31328">
        <w:t>’s</w:t>
      </w:r>
      <w:r>
        <w:t xml:space="preserve"> </w:t>
      </w:r>
      <w:r w:rsidRPr="00D75A6A">
        <w:rPr>
          <w:i/>
          <w:iCs/>
        </w:rPr>
        <w:t>Draft Guidance for Industry: Hazard Analysis and Risk-Based Preventive Controls for Human Food</w:t>
      </w:r>
      <w:r>
        <w:t xml:space="preserve"> (USFDA, 2024).</w:t>
      </w:r>
    </w:p>
    <w:p w14:paraId="58DBADE8" w14:textId="77777777" w:rsidR="00460EDC" w:rsidRDefault="00460EDC" w:rsidP="0020794B">
      <w:pPr>
        <w:ind w:left="-990" w:right="-1170"/>
        <w:contextualSpacing/>
      </w:pPr>
      <w:r w:rsidRPr="00324CA8">
        <w:rPr>
          <w:b/>
          <w:bCs/>
        </w:rPr>
        <w:t>Control Strategy:</w:t>
      </w:r>
      <w:r>
        <w:t xml:space="preserve"> Source Control</w:t>
      </w:r>
    </w:p>
    <w:p w14:paraId="7EAB722D" w14:textId="77777777" w:rsidR="00460EDC" w:rsidRDefault="00460EDC" w:rsidP="0020794B">
      <w:pPr>
        <w:ind w:left="-990" w:right="-1170"/>
        <w:contextualSpacing/>
      </w:pPr>
      <w:r w:rsidRPr="00324CA8">
        <w:rPr>
          <w:b/>
          <w:bCs/>
        </w:rPr>
        <w:t>Supply Chain Preventive Control (PCHF):</w:t>
      </w:r>
      <w:r>
        <w:t xml:space="preserve"> Receiving Step</w:t>
      </w:r>
    </w:p>
    <w:p w14:paraId="1248117A" w14:textId="794B8167" w:rsidR="00460EDC" w:rsidRDefault="00460EDC" w:rsidP="0020794B">
      <w:pPr>
        <w:ind w:left="-990" w:right="-1170"/>
        <w:contextualSpacing/>
      </w:pPr>
      <w:r w:rsidRPr="00324CA8">
        <w:rPr>
          <w:b/>
          <w:bCs/>
        </w:rPr>
        <w:t>Hazard:</w:t>
      </w:r>
      <w:r>
        <w:t xml:space="preserve"> </w:t>
      </w:r>
      <w:r w:rsidR="00D75A6A">
        <w:t>Natural Toxins</w:t>
      </w:r>
    </w:p>
    <w:tbl>
      <w:tblPr>
        <w:tblStyle w:val="TableGrid"/>
        <w:tblW w:w="15120" w:type="dxa"/>
        <w:tblInd w:w="-99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29" w:type="dxa"/>
          <w:left w:w="43" w:type="dxa"/>
          <w:right w:w="43" w:type="dxa"/>
        </w:tblCellMar>
        <w:tblLook w:val="04A0" w:firstRow="1" w:lastRow="0" w:firstColumn="1" w:lastColumn="0" w:noHBand="0" w:noVBand="1"/>
        <w:tblCaption w:val="Example Food Safety Plan for Source Control: Natural Toxins"/>
      </w:tblPr>
      <w:tblGrid>
        <w:gridCol w:w="1350"/>
        <w:gridCol w:w="1440"/>
        <w:gridCol w:w="1170"/>
        <w:gridCol w:w="1260"/>
        <w:gridCol w:w="1350"/>
        <w:gridCol w:w="1260"/>
        <w:gridCol w:w="1980"/>
        <w:gridCol w:w="3150"/>
        <w:gridCol w:w="2160"/>
      </w:tblGrid>
      <w:tr w:rsidR="0020794B" w14:paraId="54CC4C67" w14:textId="77777777" w:rsidTr="00A61B74">
        <w:tc>
          <w:tcPr>
            <w:tcW w:w="1350" w:type="dxa"/>
            <w:shd w:val="clear" w:color="auto" w:fill="D1D1D1" w:themeFill="background2" w:themeFillShade="E6"/>
          </w:tcPr>
          <w:p w14:paraId="71D322CD" w14:textId="77777777" w:rsidR="00460EDC" w:rsidRPr="006C63B7" w:rsidRDefault="00460EDC" w:rsidP="00DF5603">
            <w:pPr>
              <w:contextualSpacing/>
              <w:jc w:val="center"/>
              <w:rPr>
                <w:b/>
                <w:bCs/>
              </w:rPr>
            </w:pPr>
            <w:r w:rsidRPr="006C63B7">
              <w:rPr>
                <w:b/>
                <w:bCs/>
              </w:rPr>
              <w:t>Raw Material / Ingredient</w:t>
            </w:r>
          </w:p>
        </w:tc>
        <w:tc>
          <w:tcPr>
            <w:tcW w:w="1440" w:type="dxa"/>
            <w:shd w:val="clear" w:color="auto" w:fill="D1D1D1" w:themeFill="background2" w:themeFillShade="E6"/>
          </w:tcPr>
          <w:p w14:paraId="4BEAF620" w14:textId="77777777" w:rsidR="00460EDC" w:rsidRPr="006C63B7" w:rsidRDefault="00460EDC" w:rsidP="00DF5603">
            <w:pPr>
              <w:contextualSpacing/>
              <w:jc w:val="center"/>
              <w:rPr>
                <w:b/>
                <w:bCs/>
              </w:rPr>
            </w:pPr>
            <w:r w:rsidRPr="006C63B7">
              <w:rPr>
                <w:b/>
                <w:bCs/>
              </w:rPr>
              <w:t>Approved Supplier</w:t>
            </w:r>
          </w:p>
        </w:tc>
        <w:tc>
          <w:tcPr>
            <w:tcW w:w="1170" w:type="dxa"/>
            <w:shd w:val="clear" w:color="auto" w:fill="D1D1D1" w:themeFill="background2" w:themeFillShade="E6"/>
          </w:tcPr>
          <w:p w14:paraId="0FF119F2" w14:textId="77777777" w:rsidR="00460EDC" w:rsidRPr="006C63B7" w:rsidRDefault="00460EDC" w:rsidP="00DF5603">
            <w:pPr>
              <w:contextualSpacing/>
              <w:jc w:val="center"/>
              <w:rPr>
                <w:b/>
                <w:bCs/>
              </w:rPr>
            </w:pPr>
            <w:r w:rsidRPr="006C63B7">
              <w:rPr>
                <w:b/>
                <w:bCs/>
              </w:rPr>
              <w:t>Date of Approval</w:t>
            </w:r>
          </w:p>
        </w:tc>
        <w:tc>
          <w:tcPr>
            <w:tcW w:w="1260" w:type="dxa"/>
            <w:shd w:val="clear" w:color="auto" w:fill="D1D1D1" w:themeFill="background2" w:themeFillShade="E6"/>
          </w:tcPr>
          <w:p w14:paraId="2F7D171B" w14:textId="77777777" w:rsidR="00460EDC" w:rsidRPr="006C63B7" w:rsidRDefault="00460EDC" w:rsidP="00DF5603">
            <w:pPr>
              <w:contextualSpacing/>
              <w:jc w:val="center"/>
              <w:rPr>
                <w:b/>
                <w:bCs/>
              </w:rPr>
            </w:pPr>
            <w:r w:rsidRPr="006C63B7">
              <w:rPr>
                <w:b/>
                <w:bCs/>
              </w:rPr>
              <w:t>Hazard Requiring PC</w:t>
            </w:r>
          </w:p>
        </w:tc>
        <w:tc>
          <w:tcPr>
            <w:tcW w:w="1350" w:type="dxa"/>
            <w:shd w:val="clear" w:color="auto" w:fill="D1D1D1" w:themeFill="background2" w:themeFillShade="E6"/>
          </w:tcPr>
          <w:p w14:paraId="6CEC3781" w14:textId="77777777" w:rsidR="00460EDC" w:rsidRPr="006C63B7" w:rsidRDefault="00460EDC" w:rsidP="00DF5603">
            <w:pPr>
              <w:contextualSpacing/>
              <w:jc w:val="center"/>
              <w:rPr>
                <w:b/>
                <w:bCs/>
              </w:rPr>
            </w:pPr>
            <w:r w:rsidRPr="006C63B7">
              <w:rPr>
                <w:b/>
                <w:bCs/>
              </w:rPr>
              <w:t>Preventiv</w:t>
            </w:r>
            <w:r>
              <w:rPr>
                <w:b/>
                <w:bCs/>
              </w:rPr>
              <w:t xml:space="preserve">e </w:t>
            </w:r>
            <w:r w:rsidRPr="006C63B7">
              <w:rPr>
                <w:b/>
                <w:bCs/>
              </w:rPr>
              <w:t>Control Applied by Supplier</w:t>
            </w:r>
          </w:p>
        </w:tc>
        <w:tc>
          <w:tcPr>
            <w:tcW w:w="1260" w:type="dxa"/>
            <w:shd w:val="clear" w:color="auto" w:fill="D1D1D1" w:themeFill="background2" w:themeFillShade="E6"/>
          </w:tcPr>
          <w:p w14:paraId="3359668D" w14:textId="46EF4CD8" w:rsidR="00460EDC" w:rsidRPr="006C63B7" w:rsidRDefault="00460EDC" w:rsidP="0020794B">
            <w:pPr>
              <w:jc w:val="center"/>
              <w:rPr>
                <w:b/>
                <w:bCs/>
              </w:rPr>
            </w:pPr>
            <w:r w:rsidRPr="006C63B7">
              <w:rPr>
                <w:b/>
                <w:bCs/>
              </w:rPr>
              <w:t>Verification Activities</w:t>
            </w:r>
            <w:r w:rsidR="0020794B">
              <w:rPr>
                <w:b/>
                <w:bCs/>
              </w:rPr>
              <w:t xml:space="preserve"> </w:t>
            </w:r>
            <w:r w:rsidRPr="006C63B7">
              <w:rPr>
                <w:b/>
                <w:bCs/>
              </w:rPr>
              <w:t>Supplier</w:t>
            </w:r>
          </w:p>
        </w:tc>
        <w:tc>
          <w:tcPr>
            <w:tcW w:w="1980" w:type="dxa"/>
            <w:shd w:val="clear" w:color="auto" w:fill="D1D1D1" w:themeFill="background2" w:themeFillShade="E6"/>
          </w:tcPr>
          <w:p w14:paraId="45C21681" w14:textId="77777777" w:rsidR="0020794B" w:rsidRDefault="00460EDC" w:rsidP="0020794B">
            <w:pPr>
              <w:jc w:val="center"/>
              <w:rPr>
                <w:b/>
                <w:bCs/>
              </w:rPr>
            </w:pPr>
            <w:r w:rsidRPr="006C63B7">
              <w:rPr>
                <w:b/>
                <w:bCs/>
              </w:rPr>
              <w:t>Verification Procedures</w:t>
            </w:r>
          </w:p>
          <w:p w14:paraId="6A513D34" w14:textId="443BD0B2" w:rsidR="00460EDC" w:rsidRPr="006C63B7" w:rsidRDefault="00460EDC" w:rsidP="0020794B">
            <w:pPr>
              <w:jc w:val="center"/>
              <w:rPr>
                <w:b/>
                <w:bCs/>
              </w:rPr>
            </w:pPr>
            <w:r w:rsidRPr="006C63B7">
              <w:rPr>
                <w:b/>
                <w:bCs/>
              </w:rPr>
              <w:t>Buyer</w:t>
            </w:r>
          </w:p>
        </w:tc>
        <w:tc>
          <w:tcPr>
            <w:tcW w:w="3150" w:type="dxa"/>
            <w:shd w:val="clear" w:color="auto" w:fill="D1D1D1" w:themeFill="background2" w:themeFillShade="E6"/>
          </w:tcPr>
          <w:p w14:paraId="49A5D419" w14:textId="77777777" w:rsidR="00460EDC" w:rsidRPr="006C63B7" w:rsidRDefault="00460EDC" w:rsidP="00DF5603">
            <w:pPr>
              <w:contextualSpacing/>
              <w:jc w:val="center"/>
              <w:rPr>
                <w:b/>
                <w:bCs/>
              </w:rPr>
            </w:pPr>
            <w:r w:rsidRPr="006C63B7">
              <w:rPr>
                <w:b/>
                <w:bCs/>
              </w:rPr>
              <w:t>Corrective Actions</w:t>
            </w:r>
          </w:p>
        </w:tc>
        <w:tc>
          <w:tcPr>
            <w:tcW w:w="2160" w:type="dxa"/>
            <w:shd w:val="clear" w:color="auto" w:fill="D1D1D1" w:themeFill="background2" w:themeFillShade="E6"/>
          </w:tcPr>
          <w:p w14:paraId="79C6A59C" w14:textId="77777777" w:rsidR="00460EDC" w:rsidRPr="006C63B7" w:rsidRDefault="00460EDC" w:rsidP="00DF5603">
            <w:pPr>
              <w:contextualSpacing/>
              <w:jc w:val="center"/>
              <w:rPr>
                <w:b/>
                <w:bCs/>
              </w:rPr>
            </w:pPr>
            <w:r w:rsidRPr="006C63B7">
              <w:rPr>
                <w:b/>
                <w:bCs/>
              </w:rPr>
              <w:t>Records</w:t>
            </w:r>
          </w:p>
        </w:tc>
      </w:tr>
      <w:tr w:rsidR="0020794B" w14:paraId="76F4738C" w14:textId="77777777" w:rsidTr="00A61B74">
        <w:trPr>
          <w:trHeight w:val="4846"/>
        </w:trPr>
        <w:tc>
          <w:tcPr>
            <w:tcW w:w="1350" w:type="dxa"/>
          </w:tcPr>
          <w:p w14:paraId="146EFB63" w14:textId="77777777" w:rsidR="00D75A6A" w:rsidRPr="00D75A6A" w:rsidRDefault="00D75A6A" w:rsidP="00D75A6A">
            <w:pPr>
              <w:spacing w:before="240"/>
              <w:rPr>
                <w:sz w:val="22"/>
                <w:szCs w:val="22"/>
              </w:rPr>
            </w:pPr>
            <w:r w:rsidRPr="00D75A6A">
              <w:rPr>
                <w:sz w:val="22"/>
                <w:szCs w:val="22"/>
              </w:rPr>
              <w:t>Bull Kelp</w:t>
            </w:r>
          </w:p>
          <w:p w14:paraId="3C9BF9A3" w14:textId="00AEAF9A" w:rsidR="00460EDC" w:rsidRPr="00D75A6A" w:rsidRDefault="00D75A6A" w:rsidP="00D75A6A">
            <w:pPr>
              <w:spacing w:before="240"/>
              <w:rPr>
                <w:i/>
                <w:iCs/>
                <w:sz w:val="22"/>
                <w:szCs w:val="22"/>
              </w:rPr>
            </w:pPr>
            <w:r w:rsidRPr="00D75A6A">
              <w:rPr>
                <w:i/>
                <w:iCs/>
                <w:sz w:val="22"/>
                <w:szCs w:val="22"/>
              </w:rPr>
              <w:t>Nereocystis luetkeana</w:t>
            </w:r>
          </w:p>
        </w:tc>
        <w:tc>
          <w:tcPr>
            <w:tcW w:w="1440" w:type="dxa"/>
          </w:tcPr>
          <w:p w14:paraId="3C8F60F4" w14:textId="77777777" w:rsidR="00D75A6A" w:rsidRPr="00D75A6A" w:rsidRDefault="00D75A6A" w:rsidP="0020794B">
            <w:pPr>
              <w:spacing w:before="240"/>
              <w:rPr>
                <w:sz w:val="22"/>
                <w:szCs w:val="22"/>
              </w:rPr>
            </w:pPr>
            <w:r w:rsidRPr="00D75A6A">
              <w:rPr>
                <w:sz w:val="22"/>
                <w:szCs w:val="22"/>
              </w:rPr>
              <w:t>ABC Seaweed Co.</w:t>
            </w:r>
          </w:p>
          <w:p w14:paraId="63873B1E" w14:textId="77777777" w:rsidR="00D75A6A" w:rsidRPr="00D75A6A" w:rsidRDefault="00D75A6A" w:rsidP="0020794B">
            <w:pPr>
              <w:spacing w:before="240"/>
              <w:contextualSpacing/>
              <w:rPr>
                <w:sz w:val="22"/>
                <w:szCs w:val="22"/>
              </w:rPr>
            </w:pPr>
            <w:r w:rsidRPr="00D75A6A">
              <w:rPr>
                <w:sz w:val="22"/>
                <w:szCs w:val="22"/>
              </w:rPr>
              <w:t>123 Sugar Dr.</w:t>
            </w:r>
          </w:p>
          <w:p w14:paraId="058BC9F5" w14:textId="076D0ADE" w:rsidR="00460EDC" w:rsidRPr="006C63B7" w:rsidRDefault="00D75A6A" w:rsidP="0020794B">
            <w:pPr>
              <w:spacing w:before="240"/>
              <w:contextualSpacing/>
              <w:rPr>
                <w:sz w:val="22"/>
                <w:szCs w:val="22"/>
              </w:rPr>
            </w:pPr>
            <w:r w:rsidRPr="00D75A6A">
              <w:rPr>
                <w:sz w:val="22"/>
                <w:szCs w:val="22"/>
              </w:rPr>
              <w:t>Somewhere, NY 55555</w:t>
            </w:r>
          </w:p>
        </w:tc>
        <w:tc>
          <w:tcPr>
            <w:tcW w:w="1170" w:type="dxa"/>
          </w:tcPr>
          <w:p w14:paraId="5ECF7D0A" w14:textId="50B6E5D3" w:rsidR="00460EDC" w:rsidRPr="006C63B7" w:rsidRDefault="00D75A6A" w:rsidP="00D75A6A">
            <w:pPr>
              <w:spacing w:before="240"/>
              <w:rPr>
                <w:sz w:val="22"/>
                <w:szCs w:val="22"/>
              </w:rPr>
            </w:pPr>
            <w:r w:rsidRPr="00D75A6A">
              <w:rPr>
                <w:sz w:val="22"/>
                <w:szCs w:val="22"/>
              </w:rPr>
              <w:t>July. 5, 2025</w:t>
            </w:r>
          </w:p>
        </w:tc>
        <w:tc>
          <w:tcPr>
            <w:tcW w:w="1260" w:type="dxa"/>
          </w:tcPr>
          <w:p w14:paraId="58FCDBF2" w14:textId="0A062FEB" w:rsidR="00460EDC" w:rsidRPr="006C63B7" w:rsidRDefault="00D75A6A" w:rsidP="00D75A6A">
            <w:pPr>
              <w:spacing w:before="240"/>
              <w:rPr>
                <w:sz w:val="22"/>
                <w:szCs w:val="22"/>
              </w:rPr>
            </w:pPr>
            <w:r w:rsidRPr="00D75A6A">
              <w:rPr>
                <w:sz w:val="22"/>
                <w:szCs w:val="22"/>
              </w:rPr>
              <w:t>Natural Toxins</w:t>
            </w:r>
          </w:p>
        </w:tc>
        <w:tc>
          <w:tcPr>
            <w:tcW w:w="1350" w:type="dxa"/>
          </w:tcPr>
          <w:p w14:paraId="778EC1A8" w14:textId="3AD0E58C" w:rsidR="00460EDC" w:rsidRPr="006C63B7" w:rsidRDefault="00D75A6A" w:rsidP="00D75A6A">
            <w:pPr>
              <w:spacing w:before="240"/>
              <w:rPr>
                <w:sz w:val="22"/>
                <w:szCs w:val="22"/>
              </w:rPr>
            </w:pPr>
            <w:r w:rsidRPr="00D75A6A">
              <w:rPr>
                <w:sz w:val="22"/>
                <w:szCs w:val="22"/>
              </w:rPr>
              <w:t>Pre-harvest review of growing waters for active HAB occurrence or advisories by relevant regulatory authorities.</w:t>
            </w:r>
          </w:p>
        </w:tc>
        <w:tc>
          <w:tcPr>
            <w:tcW w:w="1260" w:type="dxa"/>
          </w:tcPr>
          <w:p w14:paraId="3AA835B4" w14:textId="666EC578" w:rsidR="00460EDC" w:rsidRPr="006C63B7" w:rsidRDefault="00D75A6A" w:rsidP="00D75A6A">
            <w:pPr>
              <w:spacing w:before="240"/>
              <w:rPr>
                <w:sz w:val="22"/>
                <w:szCs w:val="22"/>
              </w:rPr>
            </w:pPr>
            <w:r w:rsidRPr="00D75A6A">
              <w:rPr>
                <w:sz w:val="22"/>
                <w:szCs w:val="22"/>
              </w:rPr>
              <w:t>Annual assessment of potential intoxication events or toxin occurrence in growing/ harvest waters.</w:t>
            </w:r>
          </w:p>
        </w:tc>
        <w:tc>
          <w:tcPr>
            <w:tcW w:w="1980" w:type="dxa"/>
          </w:tcPr>
          <w:p w14:paraId="0BFAFFD6" w14:textId="50B567E2" w:rsidR="00D75A6A" w:rsidRPr="00D75A6A" w:rsidRDefault="00D75A6A" w:rsidP="00D75A6A">
            <w:pPr>
              <w:spacing w:before="240"/>
              <w:rPr>
                <w:sz w:val="22"/>
                <w:szCs w:val="22"/>
              </w:rPr>
            </w:pPr>
            <w:r w:rsidRPr="00D75A6A">
              <w:rPr>
                <w:sz w:val="22"/>
                <w:szCs w:val="22"/>
              </w:rPr>
              <w:t>Producer records indicating harvest location and visual verification that location is not closed to harvest or under a consumption advisory.</w:t>
            </w:r>
          </w:p>
          <w:p w14:paraId="37357196" w14:textId="77777777" w:rsidR="00D75A6A" w:rsidRPr="00D75A6A" w:rsidRDefault="00D75A6A" w:rsidP="00D75A6A">
            <w:pPr>
              <w:spacing w:before="240"/>
              <w:rPr>
                <w:sz w:val="22"/>
                <w:szCs w:val="22"/>
              </w:rPr>
            </w:pPr>
            <w:r w:rsidRPr="00D75A6A">
              <w:rPr>
                <w:sz w:val="22"/>
                <w:szCs w:val="22"/>
              </w:rPr>
              <w:t>Producer record of annual verification practices.</w:t>
            </w:r>
          </w:p>
          <w:p w14:paraId="622114FA" w14:textId="18534DDA" w:rsidR="00460EDC" w:rsidRPr="006C63B7" w:rsidRDefault="00D75A6A" w:rsidP="00D75A6A">
            <w:pPr>
              <w:spacing w:before="240"/>
              <w:rPr>
                <w:sz w:val="22"/>
                <w:szCs w:val="22"/>
              </w:rPr>
            </w:pPr>
            <w:r w:rsidRPr="00D75A6A">
              <w:rPr>
                <w:sz w:val="22"/>
                <w:szCs w:val="22"/>
              </w:rPr>
              <w:t>Annual assessment of consumer complaints.</w:t>
            </w:r>
          </w:p>
        </w:tc>
        <w:tc>
          <w:tcPr>
            <w:tcW w:w="3150" w:type="dxa"/>
          </w:tcPr>
          <w:p w14:paraId="10C09A9C" w14:textId="61BEA243" w:rsidR="00D75A6A" w:rsidRPr="00D75A6A" w:rsidRDefault="00D75A6A" w:rsidP="00D75A6A">
            <w:pPr>
              <w:spacing w:before="240"/>
              <w:rPr>
                <w:sz w:val="22"/>
                <w:szCs w:val="22"/>
              </w:rPr>
            </w:pPr>
            <w:r w:rsidRPr="00D75A6A">
              <w:rPr>
                <w:sz w:val="22"/>
                <w:szCs w:val="22"/>
              </w:rPr>
              <w:t xml:space="preserve">If seaweed is received without appropriate producer records indicating harvest </w:t>
            </w:r>
            <w:r w:rsidR="006D17D6" w:rsidRPr="00D75A6A">
              <w:rPr>
                <w:sz w:val="22"/>
                <w:szCs w:val="22"/>
              </w:rPr>
              <w:t>location,</w:t>
            </w:r>
            <w:r w:rsidRPr="00D75A6A">
              <w:rPr>
                <w:sz w:val="22"/>
                <w:szCs w:val="22"/>
              </w:rPr>
              <w:t xml:space="preserve"> then, hold product until records are received </w:t>
            </w:r>
            <w:r w:rsidRPr="0020794B">
              <w:rPr>
                <w:b/>
                <w:bCs/>
                <w:sz w:val="22"/>
                <w:szCs w:val="22"/>
              </w:rPr>
              <w:t>OR</w:t>
            </w:r>
            <w:r w:rsidRPr="00D75A6A">
              <w:rPr>
                <w:sz w:val="22"/>
                <w:szCs w:val="22"/>
              </w:rPr>
              <w:t xml:space="preserve"> reject the lot </w:t>
            </w:r>
            <w:r w:rsidRPr="0020794B">
              <w:rPr>
                <w:b/>
                <w:bCs/>
                <w:sz w:val="22"/>
                <w:szCs w:val="22"/>
              </w:rPr>
              <w:t xml:space="preserve">AND </w:t>
            </w:r>
            <w:r w:rsidRPr="00D75A6A">
              <w:rPr>
                <w:sz w:val="22"/>
                <w:szCs w:val="22"/>
              </w:rPr>
              <w:t>discontinue use of the supplier until receiving practices are modified to prevent reoccurrence.</w:t>
            </w:r>
          </w:p>
          <w:p w14:paraId="2A2EABD0" w14:textId="44F150B2" w:rsidR="00460EDC" w:rsidRPr="00D75A6A" w:rsidRDefault="00D75A6A" w:rsidP="00D75A6A">
            <w:pPr>
              <w:spacing w:before="240"/>
              <w:rPr>
                <w:sz w:val="22"/>
                <w:szCs w:val="22"/>
              </w:rPr>
            </w:pPr>
            <w:r w:rsidRPr="00D75A6A">
              <w:rPr>
                <w:sz w:val="22"/>
                <w:szCs w:val="22"/>
              </w:rPr>
              <w:t>If records indicate seaweed was harvested from waters with an active consumption advisory or closure then, reject the lot OR divert to a non-food use AND discontinue use of the supplier until practices are modified to prevent reoccurrence.</w:t>
            </w:r>
          </w:p>
        </w:tc>
        <w:tc>
          <w:tcPr>
            <w:tcW w:w="2160" w:type="dxa"/>
          </w:tcPr>
          <w:p w14:paraId="5EA3BA62" w14:textId="77777777" w:rsidR="00D75A6A" w:rsidRPr="00D75A6A" w:rsidRDefault="00D75A6A" w:rsidP="00D75A6A">
            <w:pPr>
              <w:spacing w:before="240"/>
              <w:rPr>
                <w:sz w:val="22"/>
                <w:szCs w:val="22"/>
              </w:rPr>
            </w:pPr>
            <w:r w:rsidRPr="00D75A6A">
              <w:rPr>
                <w:sz w:val="22"/>
                <w:szCs w:val="22"/>
              </w:rPr>
              <w:t>Receiving log that indicates shipment arrived with appropriate records and harvest location was verified as open and safe for consumption.</w:t>
            </w:r>
          </w:p>
          <w:p w14:paraId="4A322225" w14:textId="77777777" w:rsidR="00D75A6A" w:rsidRPr="00D75A6A" w:rsidRDefault="00D75A6A" w:rsidP="00D75A6A">
            <w:pPr>
              <w:spacing w:before="240"/>
              <w:rPr>
                <w:sz w:val="22"/>
                <w:szCs w:val="22"/>
              </w:rPr>
            </w:pPr>
            <w:r w:rsidRPr="00D75A6A">
              <w:rPr>
                <w:sz w:val="22"/>
                <w:szCs w:val="22"/>
              </w:rPr>
              <w:t>Corrective action records, if necessary.</w:t>
            </w:r>
          </w:p>
          <w:p w14:paraId="0054D431" w14:textId="77777777" w:rsidR="00D75A6A" w:rsidRPr="00D75A6A" w:rsidRDefault="00D75A6A" w:rsidP="00D75A6A">
            <w:pPr>
              <w:spacing w:before="240"/>
              <w:rPr>
                <w:sz w:val="22"/>
                <w:szCs w:val="22"/>
              </w:rPr>
            </w:pPr>
            <w:r w:rsidRPr="00D75A6A">
              <w:rPr>
                <w:sz w:val="22"/>
                <w:szCs w:val="22"/>
              </w:rPr>
              <w:t>Supplier verification records.</w:t>
            </w:r>
          </w:p>
          <w:p w14:paraId="0FEFA0B2" w14:textId="515CFABF" w:rsidR="00460EDC" w:rsidRPr="006C63B7" w:rsidRDefault="00D75A6A" w:rsidP="00D75A6A">
            <w:pPr>
              <w:spacing w:before="240"/>
              <w:rPr>
                <w:sz w:val="22"/>
                <w:szCs w:val="22"/>
              </w:rPr>
            </w:pPr>
            <w:r w:rsidRPr="00D75A6A">
              <w:rPr>
                <w:sz w:val="22"/>
                <w:szCs w:val="22"/>
              </w:rPr>
              <w:t>PCQI Training records</w:t>
            </w:r>
          </w:p>
        </w:tc>
      </w:tr>
    </w:tbl>
    <w:p w14:paraId="4487AB70" w14:textId="77777777" w:rsidR="00460EDC" w:rsidRDefault="00460EDC" w:rsidP="00460EDC">
      <w:pPr>
        <w:sectPr w:rsidR="00460EDC" w:rsidSect="00FB4CF4">
          <w:pgSz w:w="15840" w:h="12240" w:orient="landscape"/>
          <w:pgMar w:top="1440" w:right="1440" w:bottom="1440" w:left="1440" w:header="720" w:footer="720" w:gutter="0"/>
          <w:pgNumType w:chapStyle="1"/>
          <w:cols w:space="720"/>
          <w:docGrid w:linePitch="360"/>
        </w:sectPr>
      </w:pPr>
    </w:p>
    <w:p w14:paraId="711B6F3F" w14:textId="53F59AB5" w:rsidR="00460EDC" w:rsidRDefault="00D75A6A" w:rsidP="00846B8F">
      <w:pPr>
        <w:pStyle w:val="Heading3"/>
        <w:numPr>
          <w:ilvl w:val="2"/>
          <w:numId w:val="152"/>
        </w:numPr>
      </w:pPr>
      <w:bookmarkStart w:id="171" w:name="_Toc208503253"/>
      <w:r>
        <w:lastRenderedPageBreak/>
        <w:t>Control Strategy 2 – Processing Control</w:t>
      </w:r>
      <w:bookmarkEnd w:id="171"/>
    </w:p>
    <w:p w14:paraId="44FEC944" w14:textId="25020AAE" w:rsidR="00D75A6A" w:rsidRDefault="00D75A6A" w:rsidP="00B64049">
      <w:pPr>
        <w:spacing w:before="240"/>
      </w:pPr>
      <w:r w:rsidRPr="00D75A6A">
        <w:rPr>
          <w:b/>
          <w:bCs/>
        </w:rPr>
        <w:t>NOTE:</w:t>
      </w:r>
      <w:r>
        <w:t xml:space="preserve"> There are currently no validated methods for controlling natural toxins in seaweeds. Facilities must work with qualified experts to validate any proposed processing methods for toxin control before implementation.</w:t>
      </w:r>
    </w:p>
    <w:p w14:paraId="7D7C0EDE" w14:textId="77777777" w:rsidR="00D75A6A" w:rsidRDefault="00D75A6A" w:rsidP="00846B8F">
      <w:pPr>
        <w:pStyle w:val="Heading4"/>
        <w:numPr>
          <w:ilvl w:val="3"/>
          <w:numId w:val="152"/>
        </w:numPr>
      </w:pPr>
      <w:r>
        <w:t>Critical Limit(s)/Parameter(s) and Value(s)</w:t>
      </w:r>
    </w:p>
    <w:p w14:paraId="1B535156" w14:textId="5117A728" w:rsidR="00D75A6A" w:rsidRDefault="00D75A6A" w:rsidP="00846B8F">
      <w:pPr>
        <w:pStyle w:val="ListParagraph"/>
        <w:numPr>
          <w:ilvl w:val="0"/>
          <w:numId w:val="60"/>
        </w:numPr>
        <w:spacing w:before="240"/>
      </w:pPr>
      <w:r>
        <w:t>Seaweed is processed according to a scheduled process validated to effectively control the toxin(s) of concern.</w:t>
      </w:r>
    </w:p>
    <w:p w14:paraId="66641F4A" w14:textId="77777777" w:rsidR="00D75A6A" w:rsidRDefault="00D75A6A" w:rsidP="00846B8F">
      <w:pPr>
        <w:pStyle w:val="Heading4"/>
        <w:numPr>
          <w:ilvl w:val="3"/>
          <w:numId w:val="152"/>
        </w:numPr>
      </w:pPr>
      <w:r>
        <w:t>Monitoring – What, How, How Often, Who</w:t>
      </w:r>
    </w:p>
    <w:p w14:paraId="2A114BED" w14:textId="77777777" w:rsidR="00D75A6A" w:rsidRDefault="00D75A6A" w:rsidP="00846B8F">
      <w:pPr>
        <w:pStyle w:val="ListParagraph"/>
        <w:numPr>
          <w:ilvl w:val="0"/>
          <w:numId w:val="59"/>
        </w:numPr>
        <w:spacing w:before="240"/>
        <w:contextualSpacing w:val="0"/>
      </w:pPr>
      <w:r>
        <w:t>What will be monitored?</w:t>
      </w:r>
    </w:p>
    <w:p w14:paraId="749A881B" w14:textId="77777777" w:rsidR="00D75A6A" w:rsidRDefault="00D75A6A" w:rsidP="00846B8F">
      <w:pPr>
        <w:pStyle w:val="ListParagraph"/>
        <w:numPr>
          <w:ilvl w:val="1"/>
          <w:numId w:val="59"/>
        </w:numPr>
        <w:contextualSpacing w:val="0"/>
      </w:pPr>
      <w:r>
        <w:t>Processing criteria outlined in the scheduled process (e.g., time, temperature, weight or volume etc.)</w:t>
      </w:r>
    </w:p>
    <w:p w14:paraId="676458CF" w14:textId="77777777" w:rsidR="00D75A6A" w:rsidRDefault="00D75A6A" w:rsidP="00846B8F">
      <w:pPr>
        <w:pStyle w:val="ListParagraph"/>
        <w:numPr>
          <w:ilvl w:val="0"/>
          <w:numId w:val="59"/>
        </w:numPr>
        <w:contextualSpacing w:val="0"/>
      </w:pPr>
      <w:r>
        <w:t>How will monitoring be done?</w:t>
      </w:r>
    </w:p>
    <w:p w14:paraId="0FAFF7B6" w14:textId="77777777" w:rsidR="00D75A6A" w:rsidRDefault="00D75A6A" w:rsidP="00846B8F">
      <w:pPr>
        <w:pStyle w:val="ListParagraph"/>
        <w:numPr>
          <w:ilvl w:val="1"/>
          <w:numId w:val="59"/>
        </w:numPr>
        <w:contextualSpacing w:val="0"/>
      </w:pPr>
      <w:r>
        <w:t>Visual observations or measurements with relevant equipment (e.g., calibrated thermometers)</w:t>
      </w:r>
    </w:p>
    <w:p w14:paraId="6CBEB3EB" w14:textId="77777777" w:rsidR="00D75A6A" w:rsidRDefault="00D75A6A" w:rsidP="00846B8F">
      <w:pPr>
        <w:pStyle w:val="ListParagraph"/>
        <w:numPr>
          <w:ilvl w:val="0"/>
          <w:numId w:val="59"/>
        </w:numPr>
        <w:contextualSpacing w:val="0"/>
      </w:pPr>
      <w:r>
        <w:t>How often will monitoring be done (frequency)?</w:t>
      </w:r>
    </w:p>
    <w:p w14:paraId="6B091E0D" w14:textId="13747FA0" w:rsidR="00D75A6A" w:rsidRDefault="00D75A6A" w:rsidP="00846B8F">
      <w:pPr>
        <w:pStyle w:val="ListParagraph"/>
        <w:numPr>
          <w:ilvl w:val="1"/>
          <w:numId w:val="59"/>
        </w:numPr>
        <w:contextualSpacing w:val="0"/>
      </w:pPr>
      <w:r>
        <w:t>Every batch</w:t>
      </w:r>
    </w:p>
    <w:p w14:paraId="57D2D747" w14:textId="77777777" w:rsidR="00D75A6A" w:rsidRDefault="00D75A6A" w:rsidP="00846B8F">
      <w:pPr>
        <w:pStyle w:val="ListParagraph"/>
        <w:numPr>
          <w:ilvl w:val="0"/>
          <w:numId w:val="59"/>
        </w:numPr>
        <w:contextualSpacing w:val="0"/>
      </w:pPr>
      <w:r>
        <w:t>Who will do the monitoring?</w:t>
      </w:r>
    </w:p>
    <w:p w14:paraId="4E9990B0" w14:textId="7750EBA6" w:rsidR="00D75A6A" w:rsidRDefault="00D75A6A" w:rsidP="00846B8F">
      <w:pPr>
        <w:pStyle w:val="ListParagraph"/>
        <w:numPr>
          <w:ilvl w:val="1"/>
          <w:numId w:val="59"/>
        </w:numPr>
        <w:contextualSpacing w:val="0"/>
      </w:pPr>
      <w:r>
        <w:t>An individual with an understanding of the control and trained to carry out the required monitoring procedures.</w:t>
      </w:r>
    </w:p>
    <w:p w14:paraId="74509E3B" w14:textId="77777777" w:rsidR="00D75A6A" w:rsidRDefault="00D75A6A" w:rsidP="00846B8F">
      <w:pPr>
        <w:pStyle w:val="Heading4"/>
        <w:numPr>
          <w:ilvl w:val="3"/>
          <w:numId w:val="152"/>
        </w:numPr>
      </w:pPr>
      <w:r>
        <w:t>Corrective Action/Corrections</w:t>
      </w:r>
    </w:p>
    <w:p w14:paraId="53D325A8" w14:textId="77777777" w:rsidR="00D75A6A" w:rsidRDefault="00D75A6A" w:rsidP="00846B8F">
      <w:pPr>
        <w:pStyle w:val="ListParagraph"/>
        <w:numPr>
          <w:ilvl w:val="0"/>
          <w:numId w:val="59"/>
        </w:numPr>
        <w:spacing w:before="240"/>
        <w:contextualSpacing w:val="0"/>
      </w:pPr>
      <w:r>
        <w:t xml:space="preserve">If the required criteria outlined in the scheduled process are not met, </w:t>
      </w:r>
      <w:r w:rsidRPr="00D75A6A">
        <w:rPr>
          <w:b/>
          <w:bCs/>
        </w:rPr>
        <w:t>then</w:t>
      </w:r>
      <w:r>
        <w:t xml:space="preserve"> reprocess the product to ensure the required criteria are met </w:t>
      </w:r>
      <w:r w:rsidRPr="00D75A6A">
        <w:rPr>
          <w:b/>
          <w:bCs/>
        </w:rPr>
        <w:t>OR</w:t>
      </w:r>
      <w:r>
        <w:t xml:space="preserve"> discard the product </w:t>
      </w:r>
      <w:r w:rsidRPr="00D75A6A">
        <w:rPr>
          <w:b/>
          <w:bCs/>
        </w:rPr>
        <w:t>OR</w:t>
      </w:r>
      <w:r>
        <w:t xml:space="preserve"> divert to non-food use.</w:t>
      </w:r>
    </w:p>
    <w:p w14:paraId="66589158" w14:textId="766D26ED" w:rsidR="00D75A6A" w:rsidRDefault="00D75A6A" w:rsidP="00D75A6A">
      <w:r w:rsidRPr="00D75A6A">
        <w:rPr>
          <w:b/>
          <w:bCs/>
        </w:rPr>
        <w:t>AND</w:t>
      </w:r>
      <w:r>
        <w:t xml:space="preserve"> address the root cause to prevent future occurrence.</w:t>
      </w:r>
    </w:p>
    <w:p w14:paraId="6ECCCBB6" w14:textId="1B4797C1" w:rsidR="00D75A6A" w:rsidRDefault="00D75A6A" w:rsidP="00846B8F">
      <w:pPr>
        <w:pStyle w:val="ListParagraph"/>
        <w:numPr>
          <w:ilvl w:val="0"/>
          <w:numId w:val="59"/>
        </w:numPr>
        <w:contextualSpacing w:val="0"/>
      </w:pPr>
      <w:r>
        <w:t>Determine the cause of the deviation critical limit and adjust procedures as needed to prevent it from happening again.</w:t>
      </w:r>
    </w:p>
    <w:p w14:paraId="41AFF0CA" w14:textId="77777777" w:rsidR="00D75A6A" w:rsidRDefault="00D75A6A" w:rsidP="00846B8F">
      <w:pPr>
        <w:pStyle w:val="Heading4"/>
        <w:numPr>
          <w:ilvl w:val="3"/>
          <w:numId w:val="152"/>
        </w:numPr>
      </w:pPr>
      <w:r>
        <w:lastRenderedPageBreak/>
        <w:t>Verification</w:t>
      </w:r>
    </w:p>
    <w:p w14:paraId="15B54FF9" w14:textId="77777777" w:rsidR="00D75A6A" w:rsidRDefault="00D75A6A" w:rsidP="00846B8F">
      <w:pPr>
        <w:pStyle w:val="ListParagraph"/>
        <w:numPr>
          <w:ilvl w:val="0"/>
          <w:numId w:val="58"/>
        </w:numPr>
        <w:spacing w:before="240"/>
        <w:contextualSpacing w:val="0"/>
      </w:pPr>
      <w:r>
        <w:t>Review or monitoring and corrective action records within one week of preparation to ensure they were completed appropriately.</w:t>
      </w:r>
    </w:p>
    <w:p w14:paraId="67C9CE15" w14:textId="24959065" w:rsidR="00D75A6A" w:rsidRDefault="00D75A6A" w:rsidP="00846B8F">
      <w:pPr>
        <w:pStyle w:val="ListParagraph"/>
        <w:numPr>
          <w:ilvl w:val="0"/>
          <w:numId w:val="58"/>
        </w:numPr>
        <w:contextualSpacing w:val="0"/>
      </w:pPr>
      <w:r>
        <w:t>The adequacy of the processing method should be confirmed through a validation study. This study, kept on file, must demonstrate that the method effectively reduces toxin concentrations to safe levels.</w:t>
      </w:r>
    </w:p>
    <w:p w14:paraId="43F3F889" w14:textId="77777777" w:rsidR="00D75A6A" w:rsidRDefault="00D75A6A" w:rsidP="00846B8F">
      <w:pPr>
        <w:pStyle w:val="ListParagraph"/>
        <w:numPr>
          <w:ilvl w:val="0"/>
          <w:numId w:val="58"/>
        </w:numPr>
        <w:contextualSpacing w:val="0"/>
      </w:pPr>
      <w:r>
        <w:t>Periodic accuracy checks and calibration of measuring devices used.</w:t>
      </w:r>
    </w:p>
    <w:p w14:paraId="019271BF" w14:textId="77777777" w:rsidR="00D75A6A" w:rsidRDefault="00D75A6A" w:rsidP="00846B8F">
      <w:pPr>
        <w:pStyle w:val="Heading4"/>
        <w:numPr>
          <w:ilvl w:val="3"/>
          <w:numId w:val="152"/>
        </w:numPr>
      </w:pPr>
      <w:r>
        <w:t>Records</w:t>
      </w:r>
    </w:p>
    <w:p w14:paraId="6A2254EC" w14:textId="3312C38E" w:rsidR="00D75A6A" w:rsidRDefault="00D75A6A" w:rsidP="00846B8F">
      <w:pPr>
        <w:pStyle w:val="ListParagraph"/>
        <w:numPr>
          <w:ilvl w:val="0"/>
          <w:numId w:val="57"/>
        </w:numPr>
        <w:spacing w:before="240"/>
        <w:contextualSpacing w:val="0"/>
      </w:pPr>
      <w:r w:rsidRPr="00D75A6A">
        <w:rPr>
          <w:b/>
          <w:bCs/>
        </w:rPr>
        <w:t>Monitoring Records</w:t>
      </w:r>
      <w:r>
        <w:t>: Processing logs with all required parameters recorded.</w:t>
      </w:r>
    </w:p>
    <w:p w14:paraId="4220C5D7" w14:textId="77777777" w:rsidR="00D75A6A" w:rsidRDefault="00D75A6A" w:rsidP="00846B8F">
      <w:pPr>
        <w:pStyle w:val="ListParagraph"/>
        <w:numPr>
          <w:ilvl w:val="0"/>
          <w:numId w:val="57"/>
        </w:numPr>
        <w:contextualSpacing w:val="0"/>
      </w:pPr>
      <w:r w:rsidRPr="00D75A6A">
        <w:rPr>
          <w:b/>
          <w:bCs/>
        </w:rPr>
        <w:t>Corrective Action Records:</w:t>
      </w:r>
      <w:r>
        <w:t xml:space="preserve"> Any records indicating what was done to address potential deviations from parameters, values, or critical limits.</w:t>
      </w:r>
    </w:p>
    <w:p w14:paraId="7E52A1D1" w14:textId="77777777" w:rsidR="00D75A6A" w:rsidRDefault="00D75A6A" w:rsidP="00846B8F">
      <w:pPr>
        <w:pStyle w:val="ListParagraph"/>
        <w:numPr>
          <w:ilvl w:val="0"/>
          <w:numId w:val="57"/>
        </w:numPr>
        <w:contextualSpacing w:val="0"/>
      </w:pPr>
      <w:r w:rsidRPr="00D75A6A">
        <w:rPr>
          <w:b/>
          <w:bCs/>
        </w:rPr>
        <w:t>Verification Records:</w:t>
      </w:r>
      <w:r>
        <w:t xml:space="preserve"> Accuracy checks, calibration, validated scheduled process (e.g., cook study)</w:t>
      </w:r>
    </w:p>
    <w:p w14:paraId="4316D187" w14:textId="18D13EE5" w:rsidR="00D75A6A" w:rsidRDefault="00D75A6A" w:rsidP="00846B8F">
      <w:pPr>
        <w:pStyle w:val="ListParagraph"/>
        <w:numPr>
          <w:ilvl w:val="0"/>
          <w:numId w:val="57"/>
        </w:numPr>
        <w:contextualSpacing w:val="0"/>
      </w:pPr>
      <w:r w:rsidRPr="00D75A6A">
        <w:rPr>
          <w:b/>
          <w:bCs/>
        </w:rPr>
        <w:t>Recall Plan:</w:t>
      </w:r>
      <w:r>
        <w:t xml:space="preserve"> A written recall plan is required for any products with significant hazards if regulated under preventive controls for human foods.</w:t>
      </w:r>
    </w:p>
    <w:p w14:paraId="4CE7473F" w14:textId="77777777" w:rsidR="00D75A6A" w:rsidRDefault="00D75A6A" w:rsidP="00846B8F">
      <w:pPr>
        <w:pStyle w:val="ListParagraph"/>
        <w:numPr>
          <w:ilvl w:val="0"/>
          <w:numId w:val="57"/>
        </w:numPr>
        <w:contextualSpacing w:val="0"/>
        <w:sectPr w:rsidR="00D75A6A" w:rsidSect="00FB4CF4">
          <w:pgSz w:w="12240" w:h="15840"/>
          <w:pgMar w:top="1440" w:right="1440" w:bottom="1440" w:left="1440" w:header="720" w:footer="720" w:gutter="0"/>
          <w:pgNumType w:chapStyle="1"/>
          <w:cols w:space="720"/>
          <w:docGrid w:linePitch="360"/>
        </w:sectPr>
      </w:pPr>
      <w:r w:rsidRPr="00D75A6A">
        <w:rPr>
          <w:b/>
          <w:bCs/>
        </w:rPr>
        <w:t>Training Records:</w:t>
      </w:r>
      <w:r>
        <w:t xml:space="preserve"> Training records for the preventive controls qualified individual (PCQI) must be maintained if regulated under preventive controls for human foods. While the HACCP rule requires a HACCP trained individual, records of that training are not explicitly required.</w:t>
      </w:r>
    </w:p>
    <w:p w14:paraId="4D347872" w14:textId="35987C7C" w:rsidR="00D75A6A" w:rsidRDefault="00D75A6A" w:rsidP="00846B8F">
      <w:pPr>
        <w:pStyle w:val="Heading4"/>
        <w:numPr>
          <w:ilvl w:val="3"/>
          <w:numId w:val="153"/>
        </w:numPr>
      </w:pPr>
      <w:r>
        <w:lastRenderedPageBreak/>
        <w:t>Example HACCP</w:t>
      </w:r>
      <w:r w:rsidR="007235FC">
        <w:t>/Food Safety</w:t>
      </w:r>
      <w:r>
        <w:t xml:space="preserve"> Plan for Source Control</w:t>
      </w:r>
    </w:p>
    <w:p w14:paraId="70FD87C6" w14:textId="33D7A558" w:rsidR="00D75A6A" w:rsidRPr="00D75A6A" w:rsidRDefault="00D75A6A" w:rsidP="00D75A6A">
      <w:pPr>
        <w:ind w:left="-810" w:right="-990"/>
      </w:pPr>
      <w:r w:rsidRPr="00460EDC">
        <w:t xml:space="preserve">Below are examples showing what </w:t>
      </w:r>
      <w:r w:rsidR="007235FC">
        <w:t xml:space="preserve">a </w:t>
      </w:r>
      <w:r w:rsidRPr="00460EDC">
        <w:t xml:space="preserve">food safety plan could look like. </w:t>
      </w:r>
      <w:r w:rsidR="007235FC">
        <w:t>It is</w:t>
      </w:r>
      <w:r w:rsidRPr="00460EDC">
        <w:t xml:space="preserve"> intended for illustrative purposes only. Each producer must develop a plan tailored to their unique products, production and processing methods, and regulatory requirements. </w:t>
      </w:r>
      <w:r w:rsidRPr="00460EDC">
        <w:rPr>
          <w:b/>
          <w:bCs/>
        </w:rPr>
        <w:t>Th</w:t>
      </w:r>
      <w:r w:rsidR="007235FC">
        <w:rPr>
          <w:b/>
          <w:bCs/>
        </w:rPr>
        <w:t>is</w:t>
      </w:r>
      <w:r w:rsidRPr="00460EDC">
        <w:rPr>
          <w:b/>
          <w:bCs/>
        </w:rPr>
        <w:t xml:space="preserve"> example should not be copied and used without modification to fit your specific operation.</w:t>
      </w:r>
    </w:p>
    <w:p w14:paraId="494EB961" w14:textId="74AA25C6" w:rsidR="00D75A6A" w:rsidRDefault="00D75A6A" w:rsidP="00D75A6A">
      <w:pPr>
        <w:spacing w:before="240"/>
        <w:ind w:left="-806"/>
        <w:contextualSpacing/>
      </w:pPr>
      <w:r w:rsidRPr="00E579E8">
        <w:rPr>
          <w:b/>
          <w:bCs/>
        </w:rPr>
        <w:t>Control Strategy:</w:t>
      </w:r>
      <w:r>
        <w:t xml:space="preserve"> </w:t>
      </w:r>
      <w:r w:rsidR="007235FC">
        <w:t>Processing</w:t>
      </w:r>
      <w:r>
        <w:t xml:space="preserve"> Control</w:t>
      </w:r>
    </w:p>
    <w:p w14:paraId="6C2AA137" w14:textId="1E0DAA44" w:rsidR="00D75A6A" w:rsidRDefault="007235FC" w:rsidP="00D75A6A">
      <w:pPr>
        <w:spacing w:before="240"/>
        <w:ind w:left="-806"/>
        <w:contextualSpacing/>
      </w:pPr>
      <w:r w:rsidRPr="007235FC">
        <w:rPr>
          <w:b/>
          <w:bCs/>
        </w:rPr>
        <w:t xml:space="preserve">Critical Control Point/Process Preventive Control Step: </w:t>
      </w:r>
      <w:r>
        <w:t xml:space="preserve">Boiling </w:t>
      </w:r>
      <w:r w:rsidR="00D75A6A">
        <w:t>Step</w:t>
      </w:r>
    </w:p>
    <w:p w14:paraId="3A77B929" w14:textId="77777777" w:rsidR="00D75A6A" w:rsidRPr="00AD559E" w:rsidRDefault="00D75A6A" w:rsidP="00D75A6A">
      <w:pPr>
        <w:spacing w:before="240"/>
        <w:ind w:left="-806"/>
        <w:contextualSpacing/>
      </w:pPr>
      <w:r w:rsidRPr="00E579E8">
        <w:rPr>
          <w:b/>
          <w:bCs/>
        </w:rPr>
        <w:t>Hazard:</w:t>
      </w:r>
      <w:r>
        <w:t xml:space="preserve"> Natural Toxins</w:t>
      </w:r>
    </w:p>
    <w:tbl>
      <w:tblPr>
        <w:tblStyle w:val="TableGrid"/>
        <w:tblW w:w="14670" w:type="dxa"/>
        <w:tblInd w:w="-81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tblCellMar>
        <w:tblLook w:val="04A0" w:firstRow="1" w:lastRow="0" w:firstColumn="1" w:lastColumn="0" w:noHBand="0" w:noVBand="1"/>
        <w:tblCaption w:val="Example HACCP/Food Safety Plan for Source Control: Natural Toxins"/>
        <w:tblDescription w:val="Column Headers: Parameters/Values/Critical Limits, Monitoring (What/How/When/Who as subheader columns within), Corrective Action, Verification, Records."/>
      </w:tblPr>
      <w:tblGrid>
        <w:gridCol w:w="2340"/>
        <w:gridCol w:w="1417"/>
        <w:gridCol w:w="1463"/>
        <w:gridCol w:w="1372"/>
        <w:gridCol w:w="1418"/>
        <w:gridCol w:w="2070"/>
        <w:gridCol w:w="2520"/>
        <w:gridCol w:w="2070"/>
      </w:tblGrid>
      <w:tr w:rsidR="00D75A6A" w14:paraId="61D53BAA" w14:textId="77777777" w:rsidTr="00A61B74">
        <w:trPr>
          <w:trHeight w:val="390"/>
        </w:trPr>
        <w:tc>
          <w:tcPr>
            <w:tcW w:w="2340" w:type="dxa"/>
            <w:vMerge w:val="restart"/>
            <w:shd w:val="clear" w:color="auto" w:fill="D1D1D1" w:themeFill="background2" w:themeFillShade="E6"/>
          </w:tcPr>
          <w:p w14:paraId="1E072F3E" w14:textId="77777777" w:rsidR="00D75A6A" w:rsidRPr="0001662C" w:rsidRDefault="00D75A6A" w:rsidP="00DF5603">
            <w:pPr>
              <w:jc w:val="center"/>
              <w:rPr>
                <w:b/>
                <w:bCs/>
              </w:rPr>
            </w:pPr>
            <w:r w:rsidRPr="0001662C">
              <w:rPr>
                <w:b/>
                <w:bCs/>
              </w:rPr>
              <w:t>Parameters, Values, Critical Limits</w:t>
            </w:r>
          </w:p>
        </w:tc>
        <w:tc>
          <w:tcPr>
            <w:tcW w:w="5670" w:type="dxa"/>
            <w:gridSpan w:val="4"/>
            <w:shd w:val="clear" w:color="auto" w:fill="D1D1D1" w:themeFill="background2" w:themeFillShade="E6"/>
          </w:tcPr>
          <w:p w14:paraId="14AC0CBB" w14:textId="77777777" w:rsidR="00D75A6A" w:rsidRPr="0001662C" w:rsidRDefault="00D75A6A" w:rsidP="00DF5603">
            <w:pPr>
              <w:jc w:val="center"/>
              <w:rPr>
                <w:b/>
                <w:bCs/>
              </w:rPr>
            </w:pPr>
            <w:r w:rsidRPr="0001662C">
              <w:rPr>
                <w:b/>
                <w:bCs/>
              </w:rPr>
              <w:t>Monitoring</w:t>
            </w:r>
          </w:p>
        </w:tc>
        <w:tc>
          <w:tcPr>
            <w:tcW w:w="2070" w:type="dxa"/>
            <w:vMerge w:val="restart"/>
            <w:shd w:val="clear" w:color="auto" w:fill="D1D1D1" w:themeFill="background2" w:themeFillShade="E6"/>
          </w:tcPr>
          <w:p w14:paraId="2771260C" w14:textId="77777777" w:rsidR="00D75A6A" w:rsidRPr="0001662C" w:rsidRDefault="00D75A6A" w:rsidP="00DF5603">
            <w:pPr>
              <w:jc w:val="center"/>
              <w:rPr>
                <w:b/>
                <w:bCs/>
              </w:rPr>
            </w:pPr>
            <w:r w:rsidRPr="0001662C">
              <w:rPr>
                <w:b/>
                <w:bCs/>
              </w:rPr>
              <w:t>Corrective Action</w:t>
            </w:r>
          </w:p>
        </w:tc>
        <w:tc>
          <w:tcPr>
            <w:tcW w:w="2520" w:type="dxa"/>
            <w:vMerge w:val="restart"/>
            <w:shd w:val="clear" w:color="auto" w:fill="D1D1D1" w:themeFill="background2" w:themeFillShade="E6"/>
          </w:tcPr>
          <w:p w14:paraId="3ACD521B" w14:textId="77777777" w:rsidR="00D75A6A" w:rsidRPr="0001662C" w:rsidRDefault="00D75A6A" w:rsidP="00DF5603">
            <w:pPr>
              <w:jc w:val="center"/>
              <w:rPr>
                <w:b/>
                <w:bCs/>
              </w:rPr>
            </w:pPr>
            <w:r w:rsidRPr="0001662C">
              <w:rPr>
                <w:b/>
                <w:bCs/>
              </w:rPr>
              <w:t>Verification</w:t>
            </w:r>
          </w:p>
        </w:tc>
        <w:tc>
          <w:tcPr>
            <w:tcW w:w="2070" w:type="dxa"/>
            <w:vMerge w:val="restart"/>
            <w:shd w:val="clear" w:color="auto" w:fill="D1D1D1" w:themeFill="background2" w:themeFillShade="E6"/>
          </w:tcPr>
          <w:p w14:paraId="71D3B50A" w14:textId="77777777" w:rsidR="00D75A6A" w:rsidRPr="0001662C" w:rsidRDefault="00D75A6A" w:rsidP="00DF5603">
            <w:pPr>
              <w:jc w:val="center"/>
              <w:rPr>
                <w:b/>
                <w:bCs/>
              </w:rPr>
            </w:pPr>
            <w:r w:rsidRPr="0001662C">
              <w:rPr>
                <w:b/>
                <w:bCs/>
              </w:rPr>
              <w:t>Records</w:t>
            </w:r>
          </w:p>
        </w:tc>
      </w:tr>
      <w:tr w:rsidR="00D75A6A" w14:paraId="5E9868C2" w14:textId="77777777" w:rsidTr="00A61B74">
        <w:trPr>
          <w:trHeight w:val="20"/>
        </w:trPr>
        <w:tc>
          <w:tcPr>
            <w:tcW w:w="2340" w:type="dxa"/>
            <w:vMerge/>
          </w:tcPr>
          <w:p w14:paraId="4C5ECC7D" w14:textId="77777777" w:rsidR="00D75A6A" w:rsidRPr="0001662C" w:rsidRDefault="00D75A6A" w:rsidP="00DF5603">
            <w:pPr>
              <w:rPr>
                <w:b/>
                <w:bCs/>
              </w:rPr>
            </w:pPr>
          </w:p>
        </w:tc>
        <w:tc>
          <w:tcPr>
            <w:tcW w:w="1417" w:type="dxa"/>
            <w:shd w:val="clear" w:color="auto" w:fill="D1D1D1" w:themeFill="background2" w:themeFillShade="E6"/>
          </w:tcPr>
          <w:p w14:paraId="6BD7A82E" w14:textId="77777777" w:rsidR="00D75A6A" w:rsidRPr="0001662C" w:rsidRDefault="00D75A6A" w:rsidP="00DF5603">
            <w:pPr>
              <w:jc w:val="center"/>
              <w:rPr>
                <w:b/>
                <w:bCs/>
              </w:rPr>
            </w:pPr>
            <w:r w:rsidRPr="0001662C">
              <w:rPr>
                <w:b/>
                <w:bCs/>
              </w:rPr>
              <w:t>What</w:t>
            </w:r>
          </w:p>
        </w:tc>
        <w:tc>
          <w:tcPr>
            <w:tcW w:w="1463" w:type="dxa"/>
            <w:shd w:val="clear" w:color="auto" w:fill="D1D1D1" w:themeFill="background2" w:themeFillShade="E6"/>
          </w:tcPr>
          <w:p w14:paraId="4B5BE592" w14:textId="77777777" w:rsidR="00D75A6A" w:rsidRPr="0001662C" w:rsidRDefault="00D75A6A" w:rsidP="00DF5603">
            <w:pPr>
              <w:jc w:val="center"/>
              <w:rPr>
                <w:b/>
                <w:bCs/>
              </w:rPr>
            </w:pPr>
            <w:r w:rsidRPr="0001662C">
              <w:rPr>
                <w:b/>
                <w:bCs/>
              </w:rPr>
              <w:t>How</w:t>
            </w:r>
          </w:p>
        </w:tc>
        <w:tc>
          <w:tcPr>
            <w:tcW w:w="1372" w:type="dxa"/>
            <w:shd w:val="clear" w:color="auto" w:fill="D1D1D1" w:themeFill="background2" w:themeFillShade="E6"/>
          </w:tcPr>
          <w:p w14:paraId="1F82EB6E" w14:textId="77777777" w:rsidR="00D75A6A" w:rsidRPr="0001662C" w:rsidRDefault="00D75A6A" w:rsidP="00DF5603">
            <w:pPr>
              <w:jc w:val="center"/>
              <w:rPr>
                <w:b/>
                <w:bCs/>
              </w:rPr>
            </w:pPr>
            <w:r w:rsidRPr="0001662C">
              <w:rPr>
                <w:b/>
                <w:bCs/>
              </w:rPr>
              <w:t>When</w:t>
            </w:r>
          </w:p>
        </w:tc>
        <w:tc>
          <w:tcPr>
            <w:tcW w:w="1418" w:type="dxa"/>
            <w:shd w:val="clear" w:color="auto" w:fill="D1D1D1" w:themeFill="background2" w:themeFillShade="E6"/>
          </w:tcPr>
          <w:p w14:paraId="7C8EA92F" w14:textId="77777777" w:rsidR="00D75A6A" w:rsidRPr="0001662C" w:rsidRDefault="00D75A6A" w:rsidP="00DF5603">
            <w:pPr>
              <w:jc w:val="center"/>
              <w:rPr>
                <w:b/>
                <w:bCs/>
              </w:rPr>
            </w:pPr>
            <w:r w:rsidRPr="0001662C">
              <w:rPr>
                <w:b/>
                <w:bCs/>
              </w:rPr>
              <w:t>Who</w:t>
            </w:r>
          </w:p>
        </w:tc>
        <w:tc>
          <w:tcPr>
            <w:tcW w:w="2070" w:type="dxa"/>
            <w:vMerge/>
          </w:tcPr>
          <w:p w14:paraId="07FD6232" w14:textId="77777777" w:rsidR="00D75A6A" w:rsidRDefault="00D75A6A" w:rsidP="00DF5603"/>
        </w:tc>
        <w:tc>
          <w:tcPr>
            <w:tcW w:w="2520" w:type="dxa"/>
            <w:vMerge/>
          </w:tcPr>
          <w:p w14:paraId="1EACBDDB" w14:textId="77777777" w:rsidR="00D75A6A" w:rsidRDefault="00D75A6A" w:rsidP="00DF5603"/>
        </w:tc>
        <w:tc>
          <w:tcPr>
            <w:tcW w:w="2070" w:type="dxa"/>
            <w:vMerge/>
          </w:tcPr>
          <w:p w14:paraId="63FC3C0B" w14:textId="77777777" w:rsidR="00D75A6A" w:rsidRDefault="00D75A6A" w:rsidP="00DF5603"/>
        </w:tc>
      </w:tr>
      <w:tr w:rsidR="00D75A6A" w14:paraId="752C4ED7" w14:textId="77777777" w:rsidTr="00A61B74">
        <w:trPr>
          <w:trHeight w:val="5079"/>
        </w:trPr>
        <w:tc>
          <w:tcPr>
            <w:tcW w:w="2340" w:type="dxa"/>
          </w:tcPr>
          <w:p w14:paraId="2CD8D50D" w14:textId="655B07DE" w:rsidR="00D75A6A" w:rsidRPr="00677CAA" w:rsidRDefault="007235FC" w:rsidP="00DF5603">
            <w:pPr>
              <w:spacing w:before="240"/>
              <w:rPr>
                <w:sz w:val="22"/>
                <w:szCs w:val="22"/>
              </w:rPr>
            </w:pPr>
            <w:r w:rsidRPr="007235FC">
              <w:rPr>
                <w:sz w:val="22"/>
                <w:szCs w:val="22"/>
              </w:rPr>
              <w:t>Boiling procedures in accordance with a prescribed and validated scheduled process designed to sufficiently reduce or eliminate natural toxins of concern.</w:t>
            </w:r>
          </w:p>
        </w:tc>
        <w:tc>
          <w:tcPr>
            <w:tcW w:w="1417" w:type="dxa"/>
          </w:tcPr>
          <w:p w14:paraId="7F5D1368" w14:textId="77777777" w:rsidR="007235FC" w:rsidRDefault="007235FC" w:rsidP="00DF5603">
            <w:pPr>
              <w:spacing w:before="240"/>
              <w:rPr>
                <w:sz w:val="22"/>
                <w:szCs w:val="22"/>
              </w:rPr>
            </w:pPr>
            <w:r w:rsidRPr="007235FC">
              <w:rPr>
                <w:sz w:val="22"/>
                <w:szCs w:val="22"/>
              </w:rPr>
              <w:t xml:space="preserve">Process </w:t>
            </w:r>
            <w:r>
              <w:rPr>
                <w:sz w:val="22"/>
                <w:szCs w:val="22"/>
              </w:rPr>
              <w:t>P</w:t>
            </w:r>
            <w:r w:rsidRPr="007235FC">
              <w:rPr>
                <w:sz w:val="22"/>
                <w:szCs w:val="22"/>
              </w:rPr>
              <w:t>arameters</w:t>
            </w:r>
          </w:p>
          <w:p w14:paraId="15720ED8" w14:textId="30BE6FCC" w:rsidR="00D75A6A" w:rsidRPr="00677CAA" w:rsidRDefault="007235FC" w:rsidP="00DF5603">
            <w:pPr>
              <w:spacing w:before="240"/>
              <w:rPr>
                <w:sz w:val="22"/>
                <w:szCs w:val="22"/>
              </w:rPr>
            </w:pPr>
            <w:r w:rsidRPr="007235FC">
              <w:rPr>
                <w:sz w:val="22"/>
                <w:szCs w:val="22"/>
              </w:rPr>
              <w:t>(</w:t>
            </w:r>
            <w:r>
              <w:rPr>
                <w:sz w:val="22"/>
                <w:szCs w:val="22"/>
              </w:rPr>
              <w:t>t</w:t>
            </w:r>
            <w:r w:rsidRPr="007235FC">
              <w:rPr>
                <w:sz w:val="22"/>
                <w:szCs w:val="22"/>
              </w:rPr>
              <w:t xml:space="preserve">ime and </w:t>
            </w:r>
            <w:r>
              <w:rPr>
                <w:sz w:val="22"/>
                <w:szCs w:val="22"/>
              </w:rPr>
              <w:t>t</w:t>
            </w:r>
            <w:r w:rsidRPr="007235FC">
              <w:rPr>
                <w:sz w:val="22"/>
                <w:szCs w:val="22"/>
              </w:rPr>
              <w:t>emperature)</w:t>
            </w:r>
          </w:p>
        </w:tc>
        <w:tc>
          <w:tcPr>
            <w:tcW w:w="1463" w:type="dxa"/>
          </w:tcPr>
          <w:p w14:paraId="53B03402" w14:textId="761B6B28" w:rsidR="00D75A6A" w:rsidRPr="00677CAA" w:rsidRDefault="007235FC" w:rsidP="00DF5603">
            <w:pPr>
              <w:spacing w:before="240"/>
              <w:rPr>
                <w:sz w:val="22"/>
                <w:szCs w:val="22"/>
              </w:rPr>
            </w:pPr>
            <w:r w:rsidRPr="007235FC">
              <w:rPr>
                <w:sz w:val="22"/>
                <w:szCs w:val="22"/>
              </w:rPr>
              <w:t xml:space="preserve">Thermometer and </w:t>
            </w:r>
            <w:r>
              <w:rPr>
                <w:sz w:val="22"/>
                <w:szCs w:val="22"/>
              </w:rPr>
              <w:t>T</w:t>
            </w:r>
            <w:r w:rsidRPr="007235FC">
              <w:rPr>
                <w:sz w:val="22"/>
                <w:szCs w:val="22"/>
              </w:rPr>
              <w:t>imer</w:t>
            </w:r>
          </w:p>
        </w:tc>
        <w:tc>
          <w:tcPr>
            <w:tcW w:w="1372" w:type="dxa"/>
          </w:tcPr>
          <w:p w14:paraId="29C80BC4" w14:textId="6B808852" w:rsidR="00D75A6A" w:rsidRPr="00677CAA" w:rsidRDefault="007235FC" w:rsidP="00DF5603">
            <w:pPr>
              <w:spacing w:before="240"/>
              <w:rPr>
                <w:sz w:val="22"/>
                <w:szCs w:val="22"/>
              </w:rPr>
            </w:pPr>
            <w:r w:rsidRPr="007235FC">
              <w:rPr>
                <w:sz w:val="22"/>
                <w:szCs w:val="22"/>
              </w:rPr>
              <w:t xml:space="preserve">Every </w:t>
            </w:r>
            <w:r>
              <w:rPr>
                <w:sz w:val="22"/>
                <w:szCs w:val="22"/>
              </w:rPr>
              <w:t>B</w:t>
            </w:r>
            <w:r w:rsidRPr="007235FC">
              <w:rPr>
                <w:sz w:val="22"/>
                <w:szCs w:val="22"/>
              </w:rPr>
              <w:t>atch</w:t>
            </w:r>
          </w:p>
        </w:tc>
        <w:tc>
          <w:tcPr>
            <w:tcW w:w="1418" w:type="dxa"/>
          </w:tcPr>
          <w:p w14:paraId="7A782C46" w14:textId="50A99AB8" w:rsidR="00D75A6A" w:rsidRPr="00677CAA" w:rsidRDefault="007235FC" w:rsidP="00DF5603">
            <w:pPr>
              <w:spacing w:before="240"/>
              <w:rPr>
                <w:sz w:val="22"/>
                <w:szCs w:val="22"/>
              </w:rPr>
            </w:pPr>
            <w:r w:rsidRPr="007235FC">
              <w:rPr>
                <w:sz w:val="22"/>
                <w:szCs w:val="22"/>
              </w:rPr>
              <w:t>Cook Staff</w:t>
            </w:r>
          </w:p>
        </w:tc>
        <w:tc>
          <w:tcPr>
            <w:tcW w:w="2070" w:type="dxa"/>
          </w:tcPr>
          <w:p w14:paraId="1948CDDA" w14:textId="77777777" w:rsidR="007235FC" w:rsidRDefault="007235FC" w:rsidP="00DF5603">
            <w:pPr>
              <w:spacing w:before="240"/>
              <w:rPr>
                <w:sz w:val="22"/>
                <w:szCs w:val="22"/>
              </w:rPr>
            </w:pPr>
            <w:r w:rsidRPr="007235FC">
              <w:rPr>
                <w:sz w:val="22"/>
                <w:szCs w:val="22"/>
              </w:rPr>
              <w:t xml:space="preserve">If processing parameters are not met, then reprocess </w:t>
            </w:r>
            <w:r w:rsidRPr="007235FC">
              <w:rPr>
                <w:b/>
                <w:bCs/>
                <w:sz w:val="22"/>
                <w:szCs w:val="22"/>
              </w:rPr>
              <w:t>OR</w:t>
            </w:r>
            <w:r w:rsidRPr="007235FC">
              <w:rPr>
                <w:sz w:val="22"/>
                <w:szCs w:val="22"/>
              </w:rPr>
              <w:t xml:space="preserve"> discard the product </w:t>
            </w:r>
            <w:r w:rsidRPr="007235FC">
              <w:rPr>
                <w:b/>
                <w:bCs/>
                <w:sz w:val="22"/>
                <w:szCs w:val="22"/>
              </w:rPr>
              <w:t>OR</w:t>
            </w:r>
            <w:r w:rsidRPr="007235FC">
              <w:rPr>
                <w:sz w:val="22"/>
                <w:szCs w:val="22"/>
              </w:rPr>
              <w:t xml:space="preserve"> divert to a non-food use </w:t>
            </w:r>
          </w:p>
          <w:p w14:paraId="4259FBB1" w14:textId="77777777" w:rsidR="007235FC" w:rsidRDefault="007235FC" w:rsidP="00DF5603">
            <w:pPr>
              <w:spacing w:before="240"/>
              <w:rPr>
                <w:sz w:val="22"/>
                <w:szCs w:val="22"/>
              </w:rPr>
            </w:pPr>
            <w:r w:rsidRPr="007235FC">
              <w:rPr>
                <w:b/>
                <w:bCs/>
                <w:sz w:val="22"/>
                <w:szCs w:val="22"/>
              </w:rPr>
              <w:t>AND</w:t>
            </w:r>
            <w:r w:rsidRPr="007235FC">
              <w:rPr>
                <w:sz w:val="22"/>
                <w:szCs w:val="22"/>
              </w:rPr>
              <w:t xml:space="preserve"> </w:t>
            </w:r>
          </w:p>
          <w:p w14:paraId="75259CF8" w14:textId="1D082494" w:rsidR="00D75A6A" w:rsidRPr="00677CAA" w:rsidRDefault="007235FC" w:rsidP="00DF5603">
            <w:pPr>
              <w:spacing w:before="240"/>
              <w:rPr>
                <w:sz w:val="22"/>
                <w:szCs w:val="22"/>
              </w:rPr>
            </w:pPr>
            <w:r>
              <w:rPr>
                <w:sz w:val="22"/>
                <w:szCs w:val="22"/>
              </w:rPr>
              <w:t>I</w:t>
            </w:r>
            <w:r w:rsidRPr="007235FC">
              <w:rPr>
                <w:sz w:val="22"/>
                <w:szCs w:val="22"/>
              </w:rPr>
              <w:t>dentify the cause of the deviation and correct to prevent future occurrence.</w:t>
            </w:r>
          </w:p>
        </w:tc>
        <w:tc>
          <w:tcPr>
            <w:tcW w:w="2520" w:type="dxa"/>
          </w:tcPr>
          <w:p w14:paraId="63EA63BC" w14:textId="77777777" w:rsidR="007235FC" w:rsidRPr="007235FC" w:rsidRDefault="007235FC" w:rsidP="007235FC">
            <w:pPr>
              <w:spacing w:before="240"/>
              <w:rPr>
                <w:sz w:val="22"/>
                <w:szCs w:val="22"/>
              </w:rPr>
            </w:pPr>
            <w:r w:rsidRPr="007235FC">
              <w:rPr>
                <w:sz w:val="22"/>
                <w:szCs w:val="22"/>
              </w:rPr>
              <w:t>Validated study on file indicating required parameters for processing sufficiently to reduce or eliminate toxins.</w:t>
            </w:r>
          </w:p>
          <w:p w14:paraId="32010EBF" w14:textId="25EB87BD" w:rsidR="007235FC" w:rsidRPr="007235FC" w:rsidRDefault="007235FC" w:rsidP="007235FC">
            <w:pPr>
              <w:spacing w:before="240"/>
              <w:rPr>
                <w:sz w:val="22"/>
                <w:szCs w:val="22"/>
              </w:rPr>
            </w:pPr>
            <w:r w:rsidRPr="007235FC">
              <w:rPr>
                <w:sz w:val="22"/>
                <w:szCs w:val="22"/>
              </w:rPr>
              <w:t>Accuracy checks and calibration of temperature recording devices.</w:t>
            </w:r>
          </w:p>
          <w:p w14:paraId="064A1FE4" w14:textId="6D9F7AFE" w:rsidR="00D75A6A" w:rsidRPr="00677CAA" w:rsidRDefault="007235FC" w:rsidP="007235FC">
            <w:pPr>
              <w:spacing w:before="240"/>
              <w:rPr>
                <w:sz w:val="22"/>
                <w:szCs w:val="22"/>
              </w:rPr>
            </w:pPr>
            <w:r w:rsidRPr="007235FC">
              <w:rPr>
                <w:sz w:val="22"/>
                <w:szCs w:val="22"/>
              </w:rPr>
              <w:t>Weekly review of monitoring and corrective action records.</w:t>
            </w:r>
          </w:p>
        </w:tc>
        <w:tc>
          <w:tcPr>
            <w:tcW w:w="2070" w:type="dxa"/>
          </w:tcPr>
          <w:p w14:paraId="0B8B1A0C" w14:textId="57C312B5" w:rsidR="007235FC" w:rsidRPr="007235FC" w:rsidRDefault="007235FC" w:rsidP="007235FC">
            <w:pPr>
              <w:spacing w:before="240"/>
              <w:rPr>
                <w:sz w:val="22"/>
                <w:szCs w:val="22"/>
              </w:rPr>
            </w:pPr>
            <w:r w:rsidRPr="007235FC">
              <w:rPr>
                <w:sz w:val="22"/>
                <w:szCs w:val="22"/>
              </w:rPr>
              <w:t>Monitoring records including all required processing parameters outlined in the scheduled process.</w:t>
            </w:r>
          </w:p>
          <w:p w14:paraId="7272E744" w14:textId="5C700FC4" w:rsidR="007235FC" w:rsidRPr="007235FC" w:rsidRDefault="007235FC" w:rsidP="007235FC">
            <w:pPr>
              <w:spacing w:before="240"/>
              <w:rPr>
                <w:sz w:val="22"/>
                <w:szCs w:val="22"/>
              </w:rPr>
            </w:pPr>
            <w:r w:rsidRPr="007235FC">
              <w:rPr>
                <w:sz w:val="22"/>
                <w:szCs w:val="22"/>
              </w:rPr>
              <w:t>Corrective action records, as needed</w:t>
            </w:r>
            <w:r>
              <w:rPr>
                <w:sz w:val="22"/>
                <w:szCs w:val="22"/>
              </w:rPr>
              <w:t>.</w:t>
            </w:r>
          </w:p>
          <w:p w14:paraId="69B7D80F" w14:textId="71B19AAB" w:rsidR="007235FC" w:rsidRPr="007235FC" w:rsidRDefault="007235FC" w:rsidP="007235FC">
            <w:pPr>
              <w:spacing w:before="240"/>
              <w:rPr>
                <w:sz w:val="22"/>
                <w:szCs w:val="22"/>
              </w:rPr>
            </w:pPr>
            <w:r w:rsidRPr="007235FC">
              <w:rPr>
                <w:sz w:val="22"/>
                <w:szCs w:val="22"/>
              </w:rPr>
              <w:t>Verification records including the validation study and scheduled process on file.</w:t>
            </w:r>
          </w:p>
          <w:p w14:paraId="4AC15024" w14:textId="4CE8A345" w:rsidR="00D75A6A" w:rsidRPr="00677CAA" w:rsidRDefault="007235FC" w:rsidP="007235FC">
            <w:pPr>
              <w:spacing w:before="240"/>
              <w:rPr>
                <w:sz w:val="22"/>
                <w:szCs w:val="22"/>
              </w:rPr>
            </w:pPr>
            <w:r w:rsidRPr="007235FC">
              <w:rPr>
                <w:sz w:val="22"/>
                <w:szCs w:val="22"/>
              </w:rPr>
              <w:t>PCQI training records (PCHF only)</w:t>
            </w:r>
          </w:p>
        </w:tc>
      </w:tr>
    </w:tbl>
    <w:p w14:paraId="0F3D7454" w14:textId="5D70F298" w:rsidR="00D75A6A" w:rsidRDefault="00D75A6A" w:rsidP="00D75A6A"/>
    <w:p w14:paraId="0379EADF" w14:textId="77777777" w:rsidR="00D75A6A" w:rsidRDefault="00D75A6A" w:rsidP="00D75A6A">
      <w:pPr>
        <w:sectPr w:rsidR="00D75A6A" w:rsidSect="00FB4CF4">
          <w:pgSz w:w="15840" w:h="12240" w:orient="landscape"/>
          <w:pgMar w:top="1440" w:right="1440" w:bottom="1440" w:left="1440" w:header="720" w:footer="720" w:gutter="0"/>
          <w:pgNumType w:chapStyle="1"/>
          <w:cols w:space="720"/>
          <w:docGrid w:linePitch="360"/>
        </w:sectPr>
      </w:pPr>
    </w:p>
    <w:p w14:paraId="52C8FC0A" w14:textId="3E13BC44" w:rsidR="00D75A6A" w:rsidRDefault="007235FC" w:rsidP="00846B8F">
      <w:pPr>
        <w:pStyle w:val="Heading2"/>
        <w:numPr>
          <w:ilvl w:val="1"/>
          <w:numId w:val="154"/>
        </w:numPr>
      </w:pPr>
      <w:bookmarkStart w:id="172" w:name="_Toc208503254"/>
      <w:r>
        <w:lastRenderedPageBreak/>
        <w:t>References</w:t>
      </w:r>
      <w:bookmarkEnd w:id="172"/>
    </w:p>
    <w:p w14:paraId="450D5929" w14:textId="77777777" w:rsidR="001F7A47" w:rsidRDefault="001F7A47" w:rsidP="001F7A47">
      <w:pPr>
        <w:rPr>
          <w:rFonts w:ascii="Times New Roman" w:hAnsi="Times New Roman"/>
        </w:rPr>
      </w:pPr>
      <w:r>
        <w:t xml:space="preserve">Burkin, A. A., &amp; Kononenko, G. P. (2023). Mycotoxins in Macroalgae from the Kandalaksha Gulf of the White Sea after Natural and Experimental Isolation from the Substrate. Russian Journal of Marine Biology, 49(5), 331–336. </w:t>
      </w:r>
      <w:hyperlink r:id="rId147" w:history="1">
        <w:r>
          <w:rPr>
            <w:rStyle w:val="Hyperlink"/>
            <w:rFonts w:cs="Calibri"/>
            <w:color w:val="1155CC"/>
          </w:rPr>
          <w:t>https://doi.org/10.1134/S106307402305005X</w:t>
        </w:r>
      </w:hyperlink>
    </w:p>
    <w:p w14:paraId="2C22595B" w14:textId="77777777" w:rsidR="001F7A47" w:rsidRDefault="001F7A47" w:rsidP="001F7A47">
      <w:r>
        <w:t xml:space="preserve">Cheney, D. (2016). Toxic and Harmful Seaweeds. In Seaweed in Health and Disease Prevention. Elsevier Inc. </w:t>
      </w:r>
      <w:hyperlink r:id="rId148" w:history="1">
        <w:r>
          <w:rPr>
            <w:rStyle w:val="Hyperlink"/>
            <w:rFonts w:cs="Calibri"/>
            <w:color w:val="1155CC"/>
          </w:rPr>
          <w:t>https://doi.org/10.1016/B978-0-12-802772-1.00013-0</w:t>
        </w:r>
      </w:hyperlink>
    </w:p>
    <w:p w14:paraId="3CCABB45" w14:textId="77777777" w:rsidR="001F7A47" w:rsidRPr="00E125EA" w:rsidRDefault="001F7A47" w:rsidP="001F7A47">
      <w:pPr>
        <w:rPr>
          <w:lang w:val="es-ES"/>
        </w:rPr>
      </w:pPr>
      <w:r>
        <w:t xml:space="preserve">Doty, M. S., &amp; Aguilar-Santos, G. (1966). Caulerpicin, a toxic constituent of </w:t>
      </w:r>
      <w:r>
        <w:rPr>
          <w:i/>
          <w:iCs/>
        </w:rPr>
        <w:t>Caulerpa</w:t>
      </w:r>
      <w:r>
        <w:t xml:space="preserve"> [49]. </w:t>
      </w:r>
      <w:r w:rsidRPr="00E125EA">
        <w:rPr>
          <w:lang w:val="es-ES"/>
        </w:rPr>
        <w:t xml:space="preserve">Nature, 211(5052), 990. </w:t>
      </w:r>
      <w:hyperlink r:id="rId149" w:history="1">
        <w:r w:rsidRPr="00E125EA">
          <w:rPr>
            <w:rStyle w:val="Hyperlink"/>
            <w:rFonts w:cs="Calibri"/>
            <w:color w:val="1155CC"/>
            <w:lang w:val="es-ES"/>
          </w:rPr>
          <w:t>https://doi.org/10.1038/211990a0</w:t>
        </w:r>
      </w:hyperlink>
    </w:p>
    <w:p w14:paraId="487F1D48" w14:textId="77777777" w:rsidR="001F7A47" w:rsidRDefault="001F7A47" w:rsidP="001F7A47">
      <w:r w:rsidRPr="00E125EA">
        <w:rPr>
          <w:lang w:val="es-ES"/>
        </w:rPr>
        <w:t xml:space="preserve">Doty, M. S., &amp; Aguilar-Santos, G. (1970). </w:t>
      </w:r>
      <w:r>
        <w:t xml:space="preserve">Transfer of Toxic Algal Substances in Marine Food Chains. Pacific Science, 24, 351–355. </w:t>
      </w:r>
      <w:hyperlink r:id="rId150" w:history="1">
        <w:r>
          <w:rPr>
            <w:rStyle w:val="Hyperlink"/>
            <w:rFonts w:cs="Calibri"/>
            <w:color w:val="1155CC"/>
          </w:rPr>
          <w:t>http://hdl.handle.net/10125/4061</w:t>
        </w:r>
      </w:hyperlink>
    </w:p>
    <w:p w14:paraId="4F933D7B" w14:textId="73B5FDF4" w:rsidR="001F7A47" w:rsidRDefault="001F7A47" w:rsidP="001F7A47">
      <w:r>
        <w:t>Fusetani, N., &amp; Hashimoto, K. (1981). Diethyl Peroxides Probably Responsible for Mozuku Poisoning. Nippon Suisan Gakkaishi (Japanese Edition), 47(8), 1059–1063. https://doi.org/10.2331/suisan.47.1059</w:t>
      </w:r>
    </w:p>
    <w:p w14:paraId="5EAA67DB" w14:textId="77777777" w:rsidR="001F7A47" w:rsidRDefault="001F7A47" w:rsidP="001F7A47">
      <w:r>
        <w:t xml:space="preserve">Fusetani, N., &amp; Hashimoto, K. (1984). Prostaglandin Eg: A Candidate for Causative Agent of “Ogonori” Poisoning. Nippon Suisan Gakkaishi, 50(3), 465–469. </w:t>
      </w:r>
      <w:hyperlink r:id="rId151" w:history="1">
        <w:r>
          <w:rPr>
            <w:rStyle w:val="Hyperlink"/>
            <w:rFonts w:cs="Calibri"/>
            <w:color w:val="1155CC"/>
          </w:rPr>
          <w:t>https://doi.org/10.2331/suisan.50.465</w:t>
        </w:r>
      </w:hyperlink>
    </w:p>
    <w:p w14:paraId="4A5F2409" w14:textId="77777777" w:rsidR="001F7A47" w:rsidRDefault="001F7A47" w:rsidP="001F7A47">
      <w:r>
        <w:t xml:space="preserve">Govenkar, M. B., &amp; Wahidulla, S. (2000). Constituents of </w:t>
      </w:r>
      <w:r>
        <w:rPr>
          <w:i/>
          <w:iCs/>
        </w:rPr>
        <w:t>Chondria armata</w:t>
      </w:r>
      <w:r>
        <w:t xml:space="preserve">. Phytochemistry, 54(8), 979–981. </w:t>
      </w:r>
      <w:hyperlink r:id="rId152" w:history="1">
        <w:r>
          <w:rPr>
            <w:rStyle w:val="Hyperlink"/>
            <w:rFonts w:cs="Calibri"/>
            <w:color w:val="1155CC"/>
          </w:rPr>
          <w:t>https://doi.org/10.1016/S0031-9422(00)00078-9</w:t>
        </w:r>
      </w:hyperlink>
    </w:p>
    <w:p w14:paraId="3EF64131" w14:textId="77777777" w:rsidR="001F7A47" w:rsidRDefault="001F7A47" w:rsidP="001F7A47">
      <w:r>
        <w:t xml:space="preserve">Gregson, R. P., Marwood, J. F., &amp; Quinn, R. J. (1979). The occurrence of prostaglandins PGE2 and PGF2α in a plant - the red alga </w:t>
      </w:r>
      <w:r>
        <w:rPr>
          <w:i/>
          <w:iCs/>
        </w:rPr>
        <w:t>Gracilaria Lichenoides</w:t>
      </w:r>
      <w:r>
        <w:t xml:space="preserve">. </w:t>
      </w:r>
      <w:r>
        <w:rPr>
          <w:i/>
          <w:iCs/>
        </w:rPr>
        <w:t>Tetrahedron Letters</w:t>
      </w:r>
      <w:r>
        <w:t xml:space="preserve">, </w:t>
      </w:r>
      <w:r>
        <w:rPr>
          <w:i/>
          <w:iCs/>
        </w:rPr>
        <w:t>20</w:t>
      </w:r>
      <w:r>
        <w:t>(46), 4505–4506. https://doi.org/10.1016/S0040-4039(01)86633-8</w:t>
      </w:r>
    </w:p>
    <w:p w14:paraId="082FB910" w14:textId="77777777" w:rsidR="001F7A47" w:rsidRDefault="001F7A47" w:rsidP="001F7A47">
      <w:r>
        <w:t xml:space="preserve">Haddock, R. L., &amp; Cruz, O. L. T. (1991). Foodborne intoxication associated with seaweed. The Lancet, 338(8760), 195–196. </w:t>
      </w:r>
      <w:hyperlink r:id="rId153" w:history="1">
        <w:r>
          <w:rPr>
            <w:rStyle w:val="Hyperlink"/>
            <w:rFonts w:cs="Calibri"/>
            <w:color w:val="1155CC"/>
          </w:rPr>
          <w:t>https://doi.org/10.1016/0140-6736(91)90194-T</w:t>
        </w:r>
      </w:hyperlink>
      <w:r>
        <w:t>.</w:t>
      </w:r>
    </w:p>
    <w:p w14:paraId="29DB607F" w14:textId="77777777" w:rsidR="001F7A47" w:rsidRDefault="001F7A47" w:rsidP="001F7A47">
      <w:r>
        <w:t xml:space="preserve">Hammann, M., Rempt, M., Pohnert, G., Wang, G., Boo, S. M., &amp; Weinberger, F. (2016). Increased potential for wound activated production of Prostaglandin E2 and related toxic compounds in non-native populations of </w:t>
      </w:r>
      <w:r>
        <w:rPr>
          <w:i/>
          <w:iCs/>
        </w:rPr>
        <w:t>Gracilaria vermiculophylla</w:t>
      </w:r>
      <w:r>
        <w:t xml:space="preserve">. Harmful Algae, 51, 81–88. </w:t>
      </w:r>
      <w:hyperlink r:id="rId154" w:history="1">
        <w:r>
          <w:rPr>
            <w:rStyle w:val="Hyperlink"/>
            <w:rFonts w:cs="Calibri"/>
            <w:color w:val="1155CC"/>
          </w:rPr>
          <w:t>https://doi.org/10.1016/j.hal.2015.11.009</w:t>
        </w:r>
      </w:hyperlink>
    </w:p>
    <w:p w14:paraId="6011BF20" w14:textId="77777777" w:rsidR="001F7A47" w:rsidRDefault="001F7A47" w:rsidP="001F7A47">
      <w:r>
        <w:t xml:space="preserve">Higa, T., &amp; Kuniyoshi, M. (2000). Toxins associated with medicinal and edible seaweeds. Journal of Toxicology - Toxin Reviews, 19(2), 119–137. </w:t>
      </w:r>
      <w:hyperlink r:id="rId155" w:history="1">
        <w:r>
          <w:rPr>
            <w:rStyle w:val="Hyperlink"/>
            <w:rFonts w:cs="Calibri"/>
          </w:rPr>
          <w:t>https://doi.org/10.1081/TXR-100100317</w:t>
        </w:r>
      </w:hyperlink>
      <w:r>
        <w:t> </w:t>
      </w:r>
    </w:p>
    <w:p w14:paraId="23DE2A69" w14:textId="77777777" w:rsidR="001F7A47" w:rsidRDefault="001F7A47" w:rsidP="001F7A47">
      <w:r>
        <w:t xml:space="preserve">Hsu, B. Y., Tsao, C. Y., Chiou, T. K., &amp; Hwang, D. F. (2008). Factors affecting PGE2 production in seaweed </w:t>
      </w:r>
      <w:r>
        <w:rPr>
          <w:i/>
          <w:iCs/>
        </w:rPr>
        <w:t>Gracilaria tenuistipitata</w:t>
      </w:r>
      <w:r>
        <w:t xml:space="preserve">. Journal of Food and Drug Analysis, 16(3), 59–65. </w:t>
      </w:r>
      <w:hyperlink r:id="rId156" w:history="1">
        <w:r>
          <w:rPr>
            <w:rStyle w:val="Hyperlink"/>
            <w:rFonts w:cs="Calibri"/>
            <w:color w:val="1155CC"/>
          </w:rPr>
          <w:t>https://doi.org/10.38212/2224-6614.2358</w:t>
        </w:r>
      </w:hyperlink>
    </w:p>
    <w:p w14:paraId="1D0DB452" w14:textId="77777777" w:rsidR="001F7A47" w:rsidRDefault="001F7A47" w:rsidP="001F7A47">
      <w:r>
        <w:lastRenderedPageBreak/>
        <w:t xml:space="preserve">Impellizzeri, G., Mangiafico, S., Oriente, G., Piattelli, M., Sciuto, S., Fattorusso, E., Magno, S., Santacroce, C., &amp; Sica, D. (1975). Amino acids and low-molecular-weight carbohydrates of some marine red algae. Phytochemistry, 14(7), 1549–1557. </w:t>
      </w:r>
      <w:hyperlink r:id="rId157" w:history="1">
        <w:r>
          <w:rPr>
            <w:rStyle w:val="Hyperlink"/>
            <w:rFonts w:cs="Calibri"/>
            <w:color w:val="1155CC"/>
          </w:rPr>
          <w:t>https://doi.org/10.1016/0031-9422(75)85349-0</w:t>
        </w:r>
      </w:hyperlink>
    </w:p>
    <w:p w14:paraId="31CB6DC7" w14:textId="1FCF022C" w:rsidR="001F7A47" w:rsidRDefault="001F7A47" w:rsidP="001F7A47">
      <w:r>
        <w:t xml:space="preserve">Jørgensen, K., &amp; Olesen, P. T. (2018). Kainic acid in the seaweed </w:t>
      </w:r>
      <w:r>
        <w:rPr>
          <w:i/>
          <w:iCs/>
        </w:rPr>
        <w:t>Palmaria palmata</w:t>
      </w:r>
      <w:r>
        <w:t xml:space="preserve"> (dulse). Food Additives and Contaminants: Part B Surveillance, 11(3), 198–200. </w:t>
      </w:r>
      <w:hyperlink r:id="rId158" w:history="1">
        <w:r>
          <w:rPr>
            <w:rStyle w:val="Hyperlink"/>
            <w:rFonts w:cs="Calibri"/>
          </w:rPr>
          <w:t>https://doi.org/10.1080/19393210.2018.1462258</w:t>
        </w:r>
      </w:hyperlink>
    </w:p>
    <w:p w14:paraId="643F49C7" w14:textId="77777777" w:rsidR="001F7A47" w:rsidRDefault="001F7A47" w:rsidP="001F7A47">
      <w:r>
        <w:t xml:space="preserve">Kononenko, G. P., Burkin, A. A., Georgiev, A. A., &amp; Georgieva, M. L. (2021). Mycotoxins in Macroalgae from the Velikaya Salma Strait of the Kandalaksha Gulf of the White Sea. Russian Journal of Marine Biology, 47(6), 480–488. </w:t>
      </w:r>
      <w:hyperlink r:id="rId159" w:history="1">
        <w:r>
          <w:rPr>
            <w:rStyle w:val="Hyperlink"/>
            <w:rFonts w:cs="Calibri"/>
            <w:color w:val="1155CC"/>
          </w:rPr>
          <w:t>https://doi.org/10.1134/S1063074021060080</w:t>
        </w:r>
      </w:hyperlink>
    </w:p>
    <w:p w14:paraId="6AFE3301" w14:textId="63931831" w:rsidR="001F7A47" w:rsidRDefault="001F7A47" w:rsidP="001F7A47">
      <w:r>
        <w:t xml:space="preserve">Kumar, M. S., &amp; Sharma, S. A. (2021). Toxicological effects of marine seaweeds: a cautious insight for human consumption. Critical Reviews in Food Science and Nutrition, 61(3), 500–521. </w:t>
      </w:r>
      <w:hyperlink r:id="rId160" w:history="1">
        <w:r>
          <w:rPr>
            <w:rStyle w:val="Hyperlink"/>
            <w:rFonts w:cs="Calibri"/>
          </w:rPr>
          <w:t>https://doi.org/10.1080/10408398.2020.1738334</w:t>
        </w:r>
      </w:hyperlink>
    </w:p>
    <w:p w14:paraId="34F793CB" w14:textId="1D13F136" w:rsidR="001F7A47" w:rsidRDefault="001F7A47" w:rsidP="001F7A47">
      <w:r>
        <w:t xml:space="preserve">Lundholm, N., Krock, B., John, U., Skov, J., Cheng, J., Pančić, M., Wohlrab, S., Rigby, K., Nielsen, T. G., Selander, E., &amp; Harðardóttir, S. (2018). Induction of domoic acid production in diatoms—Types of grazers and diatoms are important. Harmful Algae, 79(July), 64–73. </w:t>
      </w:r>
      <w:hyperlink r:id="rId161" w:history="1">
        <w:r>
          <w:rPr>
            <w:rStyle w:val="Hyperlink"/>
            <w:rFonts w:cs="Calibri"/>
          </w:rPr>
          <w:t>https://doi.org/10.1016/j.hal.2018.06.005</w:t>
        </w:r>
      </w:hyperlink>
    </w:p>
    <w:p w14:paraId="18ED91EA" w14:textId="77777777" w:rsidR="001F7A47" w:rsidRDefault="001F7A47" w:rsidP="001F7A47">
      <w:r>
        <w:t xml:space="preserve">Nagai, H., Yasumoto, T., &amp; Hokama, Y. (1996). Aplysiatoxin and Debromoaplysiatoxin as the Causative Agents of a Red Alga </w:t>
      </w:r>
      <w:r>
        <w:rPr>
          <w:i/>
          <w:iCs/>
        </w:rPr>
        <w:t>Gracilaria coronopifolia</w:t>
      </w:r>
      <w:r>
        <w:t xml:space="preserve"> Poisoning in Hawaii. Toxicon, 34(7), 753–761.</w:t>
      </w:r>
    </w:p>
    <w:p w14:paraId="6D037634" w14:textId="77777777" w:rsidR="001F7A47" w:rsidRDefault="001F7A47" w:rsidP="001F7A47">
      <w:r>
        <w:t xml:space="preserve">Nagai, H., Yasumoto, T., &amp; Hokama, Y. (1997). Manauelides, Some of the Causitive Agents of a Red Alga </w:t>
      </w:r>
      <w:r>
        <w:rPr>
          <w:i/>
          <w:iCs/>
        </w:rPr>
        <w:t>Gracilaria coronopifolia</w:t>
      </w:r>
      <w:r>
        <w:t xml:space="preserve"> in Hawaii. </w:t>
      </w:r>
      <w:r>
        <w:rPr>
          <w:i/>
          <w:iCs/>
        </w:rPr>
        <w:t>Journal of Natural Products</w:t>
      </w:r>
      <w:r>
        <w:t xml:space="preserve">, </w:t>
      </w:r>
      <w:r>
        <w:rPr>
          <w:i/>
          <w:iCs/>
        </w:rPr>
        <w:t>60</w:t>
      </w:r>
      <w:r>
        <w:t>(9), 925–928.</w:t>
      </w:r>
    </w:p>
    <w:p w14:paraId="38DA8B92" w14:textId="77777777" w:rsidR="001F7A47" w:rsidRDefault="001F7A47" w:rsidP="001F7A47">
      <w:r>
        <w:t xml:space="preserve">Noguchi, T., &amp; Arakawa, O. (1996). Distribution of domoic acid in seaweeds occurring in Kagoshima, Southern Japan. Advances in Experimental Medicine and Biology, 391(August 1994), 521–526. </w:t>
      </w:r>
      <w:hyperlink r:id="rId162" w:history="1">
        <w:r>
          <w:rPr>
            <w:rStyle w:val="Hyperlink"/>
            <w:rFonts w:cs="Calibri"/>
            <w:color w:val="1155CC"/>
          </w:rPr>
          <w:t>https://doi.org/10.1007/978-1-4613-0361-9_43</w:t>
        </w:r>
      </w:hyperlink>
    </w:p>
    <w:p w14:paraId="3329426C" w14:textId="77777777" w:rsidR="001F7A47" w:rsidRDefault="001F7A47" w:rsidP="001F7A47">
      <w:r>
        <w:t>Noguchi, T., Matsui, T., Miyazawa, K., Asakawa, M., Iijima, N., Shida, Y., Fuse, M., Hosaka, Y., Kirigaya, C., Watabe, K., Usui, S., &amp; Fukagawa, A. (1994). Poisoning by the red alga “Ononori” (</w:t>
      </w:r>
      <w:r>
        <w:rPr>
          <w:i/>
          <w:iCs/>
        </w:rPr>
        <w:t>Gracilaria verrucosa</w:t>
      </w:r>
      <w:r>
        <w:t xml:space="preserve">) on the nojima coast, yokohama, kanagawa prefecture, Japan. </w:t>
      </w:r>
      <w:r>
        <w:rPr>
          <w:i/>
          <w:iCs/>
        </w:rPr>
        <w:t>Toxicon</w:t>
      </w:r>
      <w:r>
        <w:t xml:space="preserve">, </w:t>
      </w:r>
      <w:r>
        <w:rPr>
          <w:i/>
          <w:iCs/>
        </w:rPr>
        <w:t>32</w:t>
      </w:r>
      <w:r>
        <w:t>(12), 1533–1538.</w:t>
      </w:r>
    </w:p>
    <w:p w14:paraId="50E5EFAB" w14:textId="77777777" w:rsidR="001F7A47" w:rsidRDefault="001F7A47" w:rsidP="001F7A47">
      <w:r>
        <w:t xml:space="preserve">Olney, J. W., Rhee, V., &amp; Ho, O. L. (1974). Kainic acid: a powerful neurotoxic analogue of glutamate. Brain Research, 77(3), 507–512. </w:t>
      </w:r>
      <w:hyperlink r:id="rId163" w:history="1">
        <w:r>
          <w:rPr>
            <w:rStyle w:val="Hyperlink"/>
            <w:rFonts w:cs="Calibri"/>
            <w:color w:val="1155CC"/>
          </w:rPr>
          <w:t>https://doi.org/10.1016/0006-8993(74)90640-4</w:t>
        </w:r>
      </w:hyperlink>
    </w:p>
    <w:p w14:paraId="20284312" w14:textId="77777777" w:rsidR="001F7A47" w:rsidRDefault="001F7A47" w:rsidP="001F7A47">
      <w:r>
        <w:t>Raatz, S. K., Golovko, M. Y., Brose, S. A., Rosenberger, T. A., Burr, G. S., Wolters, W. R., &amp; Picklo, M. J. (2011). Baking reduces prostaglandin, resolvin, and hydroxy-fatty acid content of farm-</w:t>
      </w:r>
      <w:r>
        <w:lastRenderedPageBreak/>
        <w:t>raised Atlantic salmon (</w:t>
      </w:r>
      <w:r>
        <w:rPr>
          <w:i/>
          <w:iCs/>
        </w:rPr>
        <w:t>Salmo salar</w:t>
      </w:r>
      <w:r>
        <w:t xml:space="preserve">). </w:t>
      </w:r>
      <w:r>
        <w:rPr>
          <w:i/>
          <w:iCs/>
        </w:rPr>
        <w:t>Journal of Agricultural and Food Chemistry</w:t>
      </w:r>
      <w:r>
        <w:t xml:space="preserve">, </w:t>
      </w:r>
      <w:r>
        <w:rPr>
          <w:i/>
          <w:iCs/>
        </w:rPr>
        <w:t>59</w:t>
      </w:r>
      <w:r>
        <w:t>(20), 11278–11286. https://doi.org/10.1021/jf202576k</w:t>
      </w:r>
    </w:p>
    <w:p w14:paraId="43A1DC1C" w14:textId="21195D31" w:rsidR="001F7A47" w:rsidRDefault="001F7A47" w:rsidP="001F7A47">
      <w:r>
        <w:t xml:space="preserve">Sato, M., Nakano, T., Takeuchi, M., Kanno, N., Nagahisa, E., &amp; Sato, Y. (1996). Distribution of neuroexcitatory amino acids in marine algae. </w:t>
      </w:r>
      <w:r>
        <w:rPr>
          <w:i/>
          <w:iCs/>
        </w:rPr>
        <w:t>Phytochemistry</w:t>
      </w:r>
      <w:r>
        <w:t xml:space="preserve">, </w:t>
      </w:r>
      <w:r>
        <w:rPr>
          <w:i/>
          <w:iCs/>
        </w:rPr>
        <w:t>42</w:t>
      </w:r>
      <w:r>
        <w:t xml:space="preserve">(6), 1595–1597. </w:t>
      </w:r>
      <w:hyperlink r:id="rId164" w:history="1">
        <w:r>
          <w:rPr>
            <w:rStyle w:val="Hyperlink"/>
            <w:rFonts w:cs="Calibri"/>
          </w:rPr>
          <w:t>https://doi.org/10.1016/0031-9422(96)00190-2</w:t>
        </w:r>
      </w:hyperlink>
    </w:p>
    <w:p w14:paraId="3385FE75" w14:textId="77777777" w:rsidR="001F7A47" w:rsidRDefault="001F7A47" w:rsidP="001F7A47">
      <w:r>
        <w:t xml:space="preserve">Sobel, J., &amp; Painter, J. (2005). Illnesses caused by marine toxins. Clinical Infectious Diseases, 41(9), 1290–1296. </w:t>
      </w:r>
      <w:hyperlink r:id="rId165" w:history="1">
        <w:r>
          <w:rPr>
            <w:rStyle w:val="Hyperlink"/>
            <w:rFonts w:cs="Calibri"/>
            <w:color w:val="1155CC"/>
          </w:rPr>
          <w:t>https://doi.org/10.1086/496926</w:t>
        </w:r>
      </w:hyperlink>
    </w:p>
    <w:p w14:paraId="367F91A4" w14:textId="77777777" w:rsidR="001F7A47" w:rsidRDefault="001F7A47" w:rsidP="001F7A47">
      <w:r>
        <w:t xml:space="preserve">Steele, T. S., Brunson, J. K., Maeno, Y., Terada, R., Allen, A. E., Yotsu-Yamashita, M., Chekan, J. R., &amp; Moore, B. S. (2022). Domoic acid biosynthesis in the red alga </w:t>
      </w:r>
      <w:r>
        <w:rPr>
          <w:i/>
          <w:iCs/>
        </w:rPr>
        <w:t>Chondria armata</w:t>
      </w:r>
      <w:r>
        <w:t xml:space="preserve"> suggests a complex evolutionary history for toxin production. Proceedings of the National Academy of Sciences of the United States of America, 119(6), 2–9. </w:t>
      </w:r>
      <w:hyperlink r:id="rId166" w:history="1">
        <w:r>
          <w:rPr>
            <w:rStyle w:val="Hyperlink"/>
            <w:rFonts w:cs="Calibri"/>
            <w:color w:val="1155CC"/>
          </w:rPr>
          <w:t>https://doi.org/10.1073/pnas.2117407119</w:t>
        </w:r>
      </w:hyperlink>
    </w:p>
    <w:p w14:paraId="570310D3" w14:textId="77777777" w:rsidR="001F7A47" w:rsidRDefault="001F7A47" w:rsidP="001F7A47">
      <w:r>
        <w:t xml:space="preserve">USFDA. (2024). Mycotoxins. US Food and Drug Administration. </w:t>
      </w:r>
      <w:hyperlink r:id="rId167" w:history="1">
        <w:r>
          <w:rPr>
            <w:rStyle w:val="Hyperlink"/>
            <w:rFonts w:cs="Calibri"/>
            <w:color w:val="1155CC"/>
          </w:rPr>
          <w:t>https://www.fda.gov/food/natural-toxins-food/mycotoxins</w:t>
        </w:r>
      </w:hyperlink>
    </w:p>
    <w:p w14:paraId="2BA95D19" w14:textId="05609049" w:rsidR="001F7A47" w:rsidRDefault="001F7A47" w:rsidP="001F7A47">
      <w:r>
        <w:t xml:space="preserve">USFDA. (2023). Foodborne Hazards. In Food Compliance Program Guidance Manual 7303.842 (pp. 1–86). Food and Drug Administration. </w:t>
      </w:r>
      <w:hyperlink r:id="rId168" w:history="1">
        <w:r>
          <w:rPr>
            <w:rStyle w:val="Hyperlink"/>
            <w:rFonts w:cs="Calibri"/>
          </w:rPr>
          <w:t>https://www.fda.gov/media/71302/download</w:t>
        </w:r>
      </w:hyperlink>
    </w:p>
    <w:p w14:paraId="1B6557E2" w14:textId="6A301762" w:rsidR="001F7A47" w:rsidRDefault="001F7A47" w:rsidP="001F7A47">
      <w:r>
        <w:t xml:space="preserve">USFDA. (2021). APPENDIX 5: FDA and EPA Safety Levels in Regulations and Guidance to safety attributes of fish and fishery products. In Fish and Fishery Prodcuts Hazards and Controls Guide (Issue June, pp. 439–442). Food and Drug Administration. </w:t>
      </w:r>
      <w:hyperlink r:id="rId169" w:history="1">
        <w:r>
          <w:rPr>
            <w:rStyle w:val="Hyperlink"/>
            <w:rFonts w:cs="Calibri"/>
          </w:rPr>
          <w:t>https://www.fda.gov/%0Ahttp://www.fda.gov/downloads/Food/GuidanceRegulation/UCM252448.pdf</w:t>
        </w:r>
      </w:hyperlink>
    </w:p>
    <w:p w14:paraId="19E93DBD" w14:textId="51FDE8DC" w:rsidR="001F7A47" w:rsidRDefault="001F7A47" w:rsidP="001F7A47">
      <w:r>
        <w:t xml:space="preserve">USFDA. (2019). Chapter 6 : Natural Toxins. In Fish and Fishery Products Hazard and Control Guidance (Vol. 1, Issue August, pp. 1–20). USFDA. </w:t>
      </w:r>
      <w:hyperlink r:id="rId170" w:history="1">
        <w:r>
          <w:rPr>
            <w:rStyle w:val="Hyperlink"/>
            <w:rFonts w:cs="Calibri"/>
            <w:color w:val="1155CC"/>
          </w:rPr>
          <w:t>https://www.fda.gov/media/80235/download</w:t>
        </w:r>
      </w:hyperlink>
    </w:p>
    <w:p w14:paraId="23F23DD3" w14:textId="77777777" w:rsidR="001F7A47" w:rsidRDefault="001F7A47" w:rsidP="001F7A47">
      <w:r>
        <w:t xml:space="preserve">Vidal, J. P., Laurent, D., Kabore, S. A., Rechencq, E., Boucard, M., Girard, J. P., Escale, R., &amp; Rossi, J. C. (1984). Caulerpin, Caulerpicin, </w:t>
      </w:r>
      <w:r>
        <w:rPr>
          <w:i/>
          <w:iCs/>
        </w:rPr>
        <w:t>Caulerpa scalpelliformis</w:t>
      </w:r>
      <w:r>
        <w:t>: Comparative Acute Toxicity Study. Botanica Marina, 27(12), 533–537.</w:t>
      </w:r>
    </w:p>
    <w:p w14:paraId="0F28014B" w14:textId="1F3A8A0B" w:rsidR="007235FC" w:rsidRDefault="001F7A47" w:rsidP="001F7A47">
      <w:r w:rsidRPr="00E125EA">
        <w:rPr>
          <w:lang w:val="es-ES"/>
        </w:rPr>
        <w:t xml:space="preserve">Yotsu-Yamashita, M., Yasumoto, T., Yamada, S., Bajarias, F. F. A., Formeloza, M. A., Romero, M. L., &amp; Fukuyo, Y. (2004). </w:t>
      </w:r>
      <w:r>
        <w:t xml:space="preserve">Identification of polycavernoside A as the causative agent of the fatal food poisoning resulting from ingestion of the red alga </w:t>
      </w:r>
      <w:r>
        <w:rPr>
          <w:i/>
          <w:iCs/>
        </w:rPr>
        <w:t>Gracilaria edulis</w:t>
      </w:r>
      <w:r>
        <w:t xml:space="preserve"> in the Philippines. Chemical Research in Toxicology, 17(9), 1265–1271. </w:t>
      </w:r>
      <w:hyperlink r:id="rId171" w:history="1">
        <w:r>
          <w:rPr>
            <w:rStyle w:val="Hyperlink"/>
            <w:rFonts w:cs="Calibri"/>
            <w:color w:val="1155CC"/>
          </w:rPr>
          <w:t>https://doi.org/10.1021/tx0498556</w:t>
        </w:r>
      </w:hyperlink>
    </w:p>
    <w:p w14:paraId="3160C432" w14:textId="77777777" w:rsidR="001F7A47" w:rsidRDefault="001F7A47" w:rsidP="007235FC"/>
    <w:p w14:paraId="14A47AF7" w14:textId="77777777" w:rsidR="001F7A47" w:rsidRDefault="001F7A47" w:rsidP="007235FC">
      <w:pPr>
        <w:sectPr w:rsidR="001F7A47" w:rsidSect="00FB4CF4">
          <w:pgSz w:w="12240" w:h="15840"/>
          <w:pgMar w:top="1440" w:right="1440" w:bottom="1440" w:left="1440" w:header="720" w:footer="720" w:gutter="0"/>
          <w:pgNumType w:chapStyle="1"/>
          <w:cols w:space="720"/>
          <w:docGrid w:linePitch="360"/>
        </w:sectPr>
      </w:pPr>
    </w:p>
    <w:p w14:paraId="70414FEF" w14:textId="33D318C6" w:rsidR="007235FC" w:rsidRDefault="007235FC" w:rsidP="00691E23">
      <w:pPr>
        <w:pStyle w:val="Heading1"/>
      </w:pPr>
      <w:bookmarkStart w:id="173" w:name="_Pathogen_Growth_Due"/>
      <w:bookmarkStart w:id="174" w:name="_Toc208503255"/>
      <w:bookmarkStart w:id="175" w:name="_Toc210042859"/>
      <w:bookmarkEnd w:id="173"/>
      <w:r>
        <w:lastRenderedPageBreak/>
        <w:t>Pathogen Growth Due to Temperature Abuse</w:t>
      </w:r>
      <w:bookmarkEnd w:id="174"/>
      <w:bookmarkEnd w:id="175"/>
    </w:p>
    <w:p w14:paraId="107CA882" w14:textId="77777777" w:rsidR="00133748" w:rsidRDefault="00133748" w:rsidP="00846B8F">
      <w:pPr>
        <w:pStyle w:val="Heading2"/>
        <w:numPr>
          <w:ilvl w:val="1"/>
          <w:numId w:val="155"/>
        </w:numPr>
      </w:pPr>
      <w:bookmarkStart w:id="176" w:name="_Toc208503256"/>
      <w:r>
        <w:t>General Background: Understanding the Potential Hazard</w:t>
      </w:r>
      <w:bookmarkEnd w:id="176"/>
    </w:p>
    <w:p w14:paraId="1959379B" w14:textId="5307E348" w:rsidR="00133748" w:rsidRDefault="00133748" w:rsidP="00B64049">
      <w:pPr>
        <w:spacing w:before="240"/>
      </w:pPr>
      <w:r>
        <w:t xml:space="preserve">Numerous species of human </w:t>
      </w:r>
      <w:hyperlink w:anchor="_Pathogens" w:tooltip="Microorganisms that cause disease." w:history="1">
        <w:r w:rsidRPr="00A90B55">
          <w:rPr>
            <w:rStyle w:val="Hyperlink"/>
          </w:rPr>
          <w:t>pathogens</w:t>
        </w:r>
      </w:hyperlink>
      <w:r>
        <w:t xml:space="preserve"> have been identified on freshly harvested seaweeds as a result of contamination from their growing/harvest areas (see </w:t>
      </w:r>
      <w:hyperlink w:anchor="_Pathogens_in_the" w:history="1">
        <w:r w:rsidRPr="002033A6">
          <w:rPr>
            <w:rStyle w:val="Hyperlink"/>
          </w:rPr>
          <w:t>Chapter 5</w:t>
        </w:r>
      </w:hyperlink>
      <w:r>
        <w:t xml:space="preserve">). Pathogens may also be introduced during postharvest handling, storage, or processing (see </w:t>
      </w:r>
      <w:hyperlink w:anchor="_Pathogen_Contamination" w:history="1">
        <w:r w:rsidRPr="002033A6">
          <w:rPr>
            <w:rStyle w:val="Hyperlink"/>
          </w:rPr>
          <w:t>Chapter 11</w:t>
        </w:r>
      </w:hyperlink>
      <w:r>
        <w:t xml:space="preserve">). The risk of illness from pathogens directly relates to how many of them are present. While some pathogens can cause illness even in small amounts, the risk is higher when their numbers are greater. One of the main ways pathogens grow to unsafe levels is through temperature abuse—when seaweed or seaweed products are kept too long at temperatures that allow bacteria to multiply. Maintaining proper temperature control from throughout the supply chain (e.g., harvest through delivery to the consumer) is therefore essential for food safety. Growth due to temperature abuse applies only to bacterial and fungal pathogens, since viruses and </w:t>
      </w:r>
      <w:hyperlink w:anchor="_Parasites" w:tooltip="An organism living in or on another (host) and relying on the host for survival, typically at the host’s expense." w:history="1">
        <w:r w:rsidRPr="00A90B55">
          <w:rPr>
            <w:rStyle w:val="Hyperlink"/>
          </w:rPr>
          <w:t>parasites</w:t>
        </w:r>
      </w:hyperlink>
      <w:r>
        <w:t xml:space="preserve"> don’t replicate in foods. Although toxin-producing fungi (and mycotoxins) have been found on various seaweeds (see </w:t>
      </w:r>
      <w:hyperlink w:anchor="_Natural_Toxins" w:history="1">
        <w:r w:rsidRPr="002033A6">
          <w:rPr>
            <w:rStyle w:val="Hyperlink"/>
          </w:rPr>
          <w:t>Chapter 9</w:t>
        </w:r>
      </w:hyperlink>
      <w:r>
        <w:t>), there are no known cases of mycotoxin levels in seaweeds high enough to cause illness, so the risk from these is considered low.</w:t>
      </w:r>
    </w:p>
    <w:p w14:paraId="0EB6E784" w14:textId="6D4D7A83" w:rsidR="00133748" w:rsidRDefault="00133748" w:rsidP="00133748">
      <w:r>
        <w:t>Bacterial growth depends on the natural characteristics of the seaweed and on how it is handled and stored. This chapter explains what is known about how temperature affects the growth of bacteria—especially harmful ones (pathogens)—on different seaweed species and provides information (where available) on how many of these bacteria it takes to cause illness.</w:t>
      </w:r>
    </w:p>
    <w:p w14:paraId="19DC5AE4" w14:textId="77777777" w:rsidR="00133748" w:rsidRDefault="00133748" w:rsidP="00441BE0">
      <w:pPr>
        <w:pStyle w:val="Heading2"/>
      </w:pPr>
      <w:bookmarkStart w:id="177" w:name="_Toc208503257"/>
      <w:r>
        <w:t>Characteristics of Raw Seaweed and Effects on Bacterial Growth</w:t>
      </w:r>
      <w:bookmarkEnd w:id="177"/>
    </w:p>
    <w:p w14:paraId="3597AF8D" w14:textId="77777777" w:rsidR="00133748" w:rsidRDefault="00133748" w:rsidP="00B64049">
      <w:pPr>
        <w:spacing w:before="240"/>
      </w:pPr>
      <w:r>
        <w:t>Whether bacteria can grow on a food depends on certain properties of that food including (but not limited to):</w:t>
      </w:r>
    </w:p>
    <w:p w14:paraId="17367C15" w14:textId="51B71816" w:rsidR="00133748" w:rsidRDefault="00133748" w:rsidP="00846B8F">
      <w:pPr>
        <w:pStyle w:val="ListParagraph"/>
        <w:numPr>
          <w:ilvl w:val="0"/>
          <w:numId w:val="61"/>
        </w:numPr>
        <w:contextualSpacing w:val="0"/>
      </w:pPr>
      <w:r w:rsidRPr="00133748">
        <w:rPr>
          <w:b/>
          <w:bCs/>
        </w:rPr>
        <w:t>Water Activity:</w:t>
      </w:r>
      <w:r>
        <w:t xml:space="preserve"> The amount of water available for bacteria to use (not just the total moisture content)</w:t>
      </w:r>
    </w:p>
    <w:p w14:paraId="2042EC86" w14:textId="431425E8" w:rsidR="00133748" w:rsidRDefault="00133748" w:rsidP="00846B8F">
      <w:pPr>
        <w:pStyle w:val="ListParagraph"/>
        <w:numPr>
          <w:ilvl w:val="0"/>
          <w:numId w:val="61"/>
        </w:numPr>
        <w:contextualSpacing w:val="0"/>
      </w:pPr>
      <w:r w:rsidRPr="00133748">
        <w:rPr>
          <w:b/>
          <w:bCs/>
        </w:rPr>
        <w:t>Acidity (pH):</w:t>
      </w:r>
      <w:r>
        <w:t xml:space="preserve"> How acidic or alkaline the food is</w:t>
      </w:r>
    </w:p>
    <w:p w14:paraId="4278A1AD" w14:textId="68D62006" w:rsidR="00133748" w:rsidRDefault="00133748" w:rsidP="00846B8F">
      <w:pPr>
        <w:pStyle w:val="ListParagraph"/>
        <w:numPr>
          <w:ilvl w:val="0"/>
          <w:numId w:val="61"/>
        </w:numPr>
        <w:contextualSpacing w:val="0"/>
      </w:pPr>
      <w:r w:rsidRPr="00133748">
        <w:rPr>
          <w:b/>
          <w:bCs/>
        </w:rPr>
        <w:t>Salinity:</w:t>
      </w:r>
      <w:r>
        <w:t xml:space="preserve"> The amount of salt present</w:t>
      </w:r>
    </w:p>
    <w:p w14:paraId="28DF5140" w14:textId="4A957432" w:rsidR="00133748" w:rsidRDefault="00133748" w:rsidP="00846B8F">
      <w:pPr>
        <w:pStyle w:val="ListParagraph"/>
        <w:numPr>
          <w:ilvl w:val="0"/>
          <w:numId w:val="61"/>
        </w:numPr>
        <w:contextualSpacing w:val="0"/>
      </w:pPr>
      <w:r w:rsidRPr="00133748">
        <w:rPr>
          <w:b/>
          <w:bCs/>
        </w:rPr>
        <w:t>Nutrients:</w:t>
      </w:r>
      <w:r>
        <w:t xml:space="preserve"> The availability of carbohydrates, proteins, fats, vitamins, and minerals that bacteria need to survive</w:t>
      </w:r>
    </w:p>
    <w:p w14:paraId="1A3CD134" w14:textId="1EE0B3C9" w:rsidR="00133748" w:rsidRDefault="00133748" w:rsidP="00133748">
      <w:r>
        <w:lastRenderedPageBreak/>
        <w:t>Freshly harvested seaweeds typically have very high water activity (0.95–0.99), which means they contain enough available water to support the growth of pathogens (Bayomy, 2022; Ershov et al., 2023; Perry et al., 2019; Silva et al., 2008; Vall-llosera et al., 2024; Wirenfeldt et al., 2022).</w:t>
      </w:r>
    </w:p>
    <w:p w14:paraId="2A328046" w14:textId="47D17FB9" w:rsidR="00133748" w:rsidRDefault="00133748" w:rsidP="00133748">
      <w:r>
        <w:rPr>
          <w:b/>
          <w:bCs/>
        </w:rPr>
        <w:t xml:space="preserve">NOTE: </w:t>
      </w:r>
      <w:r>
        <w:t>Water activity is not the same as moisture content. Even though the two are related, you cannot determine the risk of bacterial growth just by measuring moisture content—water activity must be measured directly.</w:t>
      </w:r>
    </w:p>
    <w:p w14:paraId="0BB02D03" w14:textId="1DA8F9BA" w:rsidR="00133748" w:rsidRDefault="00133748" w:rsidP="00133748">
      <w:r>
        <w:t xml:space="preserve">Average pH (acidity) of freshly harvested seaweeds is usually between 5.5 and 6.75 (Del Olmo et al., 2019; Sánchez-García et al., 2021; Standal et al., 2024), which is the range suitable for the growth of many pathogens. For more information about the conditions that allow specific pathogens to grow see Appendix 3, Table 3-A of the </w:t>
      </w:r>
      <w:r w:rsidRPr="00D31328">
        <w:t>FDA</w:t>
      </w:r>
      <w:r w:rsidR="00D31328">
        <w:t>’s</w:t>
      </w:r>
      <w:r w:rsidRPr="00D31328">
        <w:t xml:space="preserve"> </w:t>
      </w:r>
      <w:r w:rsidRPr="00133748">
        <w:rPr>
          <w:i/>
          <w:iCs/>
        </w:rPr>
        <w:t>Draft Guidance for Industry: Hazard Analysis and Risk-Based Preventive Controls for Human Food</w:t>
      </w:r>
      <w:r>
        <w:t xml:space="preserve"> (USFDA, 2024).</w:t>
      </w:r>
    </w:p>
    <w:p w14:paraId="6486C020" w14:textId="1AF81E9B" w:rsidR="00133748" w:rsidRPr="00133748" w:rsidRDefault="00133748" w:rsidP="00045395">
      <w:r>
        <w:t>Studies have shown that the overall number of bacteria (aerobic mesophilic bacteria, sometimes called “total bacteria”) can increase on many types of seaweed during storage, whether the seaweed is kept at room temperature or under refrigeration (Table 10</w:t>
      </w:r>
      <w:r w:rsidR="002033A6">
        <w:t>-</w:t>
      </w:r>
      <w:r>
        <w:t>1). Later in this chapter, you will find a summary of research that specifically examines how harmful bacteria (pathogens) behave on seaweeds under different storage conditions.</w:t>
      </w:r>
    </w:p>
    <w:p w14:paraId="3EE2DBC5" w14:textId="4818CA2D" w:rsidR="00045395" w:rsidRDefault="00045395" w:rsidP="00C54E07">
      <w:pPr>
        <w:pStyle w:val="Caption"/>
      </w:pPr>
      <w:r w:rsidRPr="00045395">
        <w:rPr>
          <w:b/>
          <w:bCs/>
        </w:rPr>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10</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1</w:t>
      </w:r>
      <w:r w:rsidR="00896F22">
        <w:rPr>
          <w:b/>
          <w:bCs/>
        </w:rPr>
        <w:fldChar w:fldCharType="end"/>
      </w:r>
      <w:r w:rsidRPr="00045395">
        <w:rPr>
          <w:b/>
          <w:bCs/>
        </w:rPr>
        <w:t>:</w:t>
      </w:r>
      <w:r>
        <w:t xml:space="preserve"> </w:t>
      </w:r>
      <w:r w:rsidRPr="00304267">
        <w:t>Studies documenting growth of aerobic mesophilic bacteria on seaweeds.</w:t>
      </w:r>
    </w:p>
    <w:tbl>
      <w:tblPr>
        <w:tblStyle w:val="TableGrid"/>
        <w:tblW w:w="0" w:type="auto"/>
        <w:tblCellMar>
          <w:top w:w="86" w:type="dxa"/>
          <w:left w:w="86" w:type="dxa"/>
          <w:bottom w:w="86" w:type="dxa"/>
          <w:right w:w="86" w:type="dxa"/>
        </w:tblCellMar>
        <w:tblLook w:val="04A0" w:firstRow="1" w:lastRow="0" w:firstColumn="1" w:lastColumn="0" w:noHBand="0" w:noVBand="1"/>
      </w:tblPr>
      <w:tblGrid>
        <w:gridCol w:w="2603"/>
        <w:gridCol w:w="6737"/>
      </w:tblGrid>
      <w:tr w:rsidR="00133748" w14:paraId="6AA6FA80" w14:textId="77777777" w:rsidTr="00A61B74">
        <w:trPr>
          <w:trHeight w:val="372"/>
        </w:trPr>
        <w:tc>
          <w:tcPr>
            <w:tcW w:w="2605" w:type="dxa"/>
            <w:tcBorders>
              <w:top w:val="single" w:sz="8" w:space="0" w:color="0D0D0D" w:themeColor="text1" w:themeTint="F2"/>
              <w:left w:val="single" w:sz="8" w:space="0" w:color="0D0D0D" w:themeColor="text1" w:themeTint="F2"/>
              <w:bottom w:val="single" w:sz="8" w:space="0" w:color="0D0D0D" w:themeColor="text1" w:themeTint="F2"/>
            </w:tcBorders>
            <w:shd w:val="clear" w:color="auto" w:fill="28666E"/>
            <w:vAlign w:val="center"/>
          </w:tcPr>
          <w:p w14:paraId="4CD2B255" w14:textId="0E1D53D1" w:rsidR="00133748" w:rsidRPr="00F9694B" w:rsidRDefault="00133748" w:rsidP="0054509C">
            <w:pPr>
              <w:rPr>
                <w:b/>
                <w:bCs/>
                <w:color w:val="FFFFFF" w:themeColor="background1"/>
              </w:rPr>
            </w:pPr>
            <w:r w:rsidRPr="00F9694B">
              <w:rPr>
                <w:b/>
                <w:bCs/>
                <w:color w:val="FFFFFF" w:themeColor="background1"/>
              </w:rPr>
              <w:t>Species</w:t>
            </w:r>
          </w:p>
        </w:tc>
        <w:tc>
          <w:tcPr>
            <w:tcW w:w="6745" w:type="dxa"/>
            <w:tcBorders>
              <w:top w:val="single" w:sz="8" w:space="0" w:color="0D0D0D" w:themeColor="text1" w:themeTint="F2"/>
              <w:bottom w:val="single" w:sz="8" w:space="0" w:color="0D0D0D" w:themeColor="text1" w:themeTint="F2"/>
              <w:right w:val="single" w:sz="8" w:space="0" w:color="0D0D0D" w:themeColor="text1" w:themeTint="F2"/>
            </w:tcBorders>
            <w:shd w:val="clear" w:color="auto" w:fill="28666E"/>
            <w:vAlign w:val="center"/>
          </w:tcPr>
          <w:p w14:paraId="4A1033FB" w14:textId="0E9FB29C" w:rsidR="00133748" w:rsidRPr="00F9694B" w:rsidRDefault="00133748" w:rsidP="0054509C">
            <w:pPr>
              <w:rPr>
                <w:b/>
                <w:bCs/>
                <w:color w:val="FFFFFF" w:themeColor="background1"/>
              </w:rPr>
            </w:pPr>
            <w:r w:rsidRPr="00F9694B">
              <w:rPr>
                <w:b/>
                <w:bCs/>
                <w:color w:val="FFFFFF" w:themeColor="background1"/>
              </w:rPr>
              <w:t>Reference</w:t>
            </w:r>
            <w:r w:rsidR="00F5092C" w:rsidRPr="00F9694B">
              <w:rPr>
                <w:b/>
                <w:bCs/>
                <w:color w:val="FFFFFF" w:themeColor="background1"/>
              </w:rPr>
              <w:t>(s)</w:t>
            </w:r>
          </w:p>
        </w:tc>
      </w:tr>
      <w:tr w:rsidR="00133748" w14:paraId="6DD4282F" w14:textId="77777777" w:rsidTr="00A61B74">
        <w:tc>
          <w:tcPr>
            <w:tcW w:w="2605" w:type="dxa"/>
            <w:tcBorders>
              <w:top w:val="single" w:sz="8" w:space="0" w:color="0D0D0D" w:themeColor="text1" w:themeTint="F2"/>
              <w:left w:val="single" w:sz="8" w:space="0" w:color="0D0D0D" w:themeColor="text1" w:themeTint="F2"/>
            </w:tcBorders>
          </w:tcPr>
          <w:p w14:paraId="22E4E3EF" w14:textId="44DBB533" w:rsidR="00133748" w:rsidRPr="00133748" w:rsidRDefault="00133748" w:rsidP="00133748">
            <w:pPr>
              <w:rPr>
                <w:i/>
                <w:iCs/>
              </w:rPr>
            </w:pPr>
            <w:r w:rsidRPr="00133748">
              <w:rPr>
                <w:i/>
                <w:iCs/>
              </w:rPr>
              <w:t>Alaria esculenta</w:t>
            </w:r>
          </w:p>
        </w:tc>
        <w:tc>
          <w:tcPr>
            <w:tcW w:w="6745" w:type="dxa"/>
            <w:tcBorders>
              <w:top w:val="single" w:sz="8" w:space="0" w:color="0D0D0D" w:themeColor="text1" w:themeTint="F2"/>
              <w:right w:val="single" w:sz="8" w:space="0" w:color="0D0D0D" w:themeColor="text1" w:themeTint="F2"/>
            </w:tcBorders>
          </w:tcPr>
          <w:p w14:paraId="4208FCB9" w14:textId="4123E53B" w:rsidR="00133748" w:rsidRDefault="00133748" w:rsidP="00133748">
            <w:r>
              <w:t>Lytou et al., 2022</w:t>
            </w:r>
          </w:p>
        </w:tc>
      </w:tr>
      <w:tr w:rsidR="00133748" w14:paraId="6CD56FA5" w14:textId="77777777" w:rsidTr="00A61B74">
        <w:tc>
          <w:tcPr>
            <w:tcW w:w="2605" w:type="dxa"/>
            <w:tcBorders>
              <w:left w:val="single" w:sz="8" w:space="0" w:color="0D0D0D" w:themeColor="text1" w:themeTint="F2"/>
            </w:tcBorders>
          </w:tcPr>
          <w:p w14:paraId="7F169140" w14:textId="65D27485" w:rsidR="00133748" w:rsidRPr="00133748" w:rsidRDefault="00133748" w:rsidP="00133748">
            <w:pPr>
              <w:rPr>
                <w:i/>
                <w:iCs/>
              </w:rPr>
            </w:pPr>
            <w:r>
              <w:rPr>
                <w:i/>
                <w:iCs/>
              </w:rPr>
              <w:t>Anthospira platensis</w:t>
            </w:r>
          </w:p>
        </w:tc>
        <w:tc>
          <w:tcPr>
            <w:tcW w:w="6745" w:type="dxa"/>
            <w:tcBorders>
              <w:right w:val="single" w:sz="8" w:space="0" w:color="0D0D0D" w:themeColor="text1" w:themeTint="F2"/>
            </w:tcBorders>
          </w:tcPr>
          <w:p w14:paraId="1FCF3FF5" w14:textId="49A1EE4C" w:rsidR="00133748" w:rsidRDefault="00133748" w:rsidP="00133748">
            <w:r>
              <w:t>Martelli e</w:t>
            </w:r>
            <w:r w:rsidR="006D17D6">
              <w:t>t</w:t>
            </w:r>
            <w:r>
              <w:t xml:space="preserve"> al., 2021</w:t>
            </w:r>
          </w:p>
        </w:tc>
      </w:tr>
      <w:tr w:rsidR="00133748" w14:paraId="1B357335" w14:textId="77777777" w:rsidTr="00A61B74">
        <w:tc>
          <w:tcPr>
            <w:tcW w:w="2605" w:type="dxa"/>
            <w:tcBorders>
              <w:left w:val="single" w:sz="8" w:space="0" w:color="0D0D0D" w:themeColor="text1" w:themeTint="F2"/>
            </w:tcBorders>
          </w:tcPr>
          <w:p w14:paraId="5328FE62" w14:textId="6372B864" w:rsidR="00133748" w:rsidRPr="00133748" w:rsidRDefault="00133748" w:rsidP="00133748">
            <w:pPr>
              <w:rPr>
                <w:i/>
                <w:iCs/>
              </w:rPr>
            </w:pPr>
            <w:r>
              <w:rPr>
                <w:i/>
                <w:iCs/>
              </w:rPr>
              <w:t>Gracilaria tikvahiae</w:t>
            </w:r>
          </w:p>
        </w:tc>
        <w:tc>
          <w:tcPr>
            <w:tcW w:w="6745" w:type="dxa"/>
            <w:tcBorders>
              <w:right w:val="single" w:sz="8" w:space="0" w:color="0D0D0D" w:themeColor="text1" w:themeTint="F2"/>
            </w:tcBorders>
          </w:tcPr>
          <w:p w14:paraId="66B3CFBD" w14:textId="21174AC9" w:rsidR="00133748" w:rsidRDefault="00133748" w:rsidP="00133748">
            <w:r>
              <w:t>Nayyar &amp; Skonberg, 2019</w:t>
            </w:r>
          </w:p>
        </w:tc>
      </w:tr>
      <w:tr w:rsidR="00133748" w14:paraId="2ABA7E6E" w14:textId="77777777" w:rsidTr="00A61B74">
        <w:tc>
          <w:tcPr>
            <w:tcW w:w="2605" w:type="dxa"/>
            <w:tcBorders>
              <w:left w:val="single" w:sz="8" w:space="0" w:color="0D0D0D" w:themeColor="text1" w:themeTint="F2"/>
            </w:tcBorders>
          </w:tcPr>
          <w:p w14:paraId="6C918128" w14:textId="638252D0" w:rsidR="00133748" w:rsidRPr="00133748" w:rsidRDefault="00133748" w:rsidP="00133748">
            <w:pPr>
              <w:rPr>
                <w:i/>
                <w:iCs/>
              </w:rPr>
            </w:pPr>
            <w:r>
              <w:rPr>
                <w:i/>
                <w:iCs/>
              </w:rPr>
              <w:t>Hizikia fusiformis</w:t>
            </w:r>
          </w:p>
        </w:tc>
        <w:tc>
          <w:tcPr>
            <w:tcW w:w="6745" w:type="dxa"/>
            <w:tcBorders>
              <w:right w:val="single" w:sz="8" w:space="0" w:color="0D0D0D" w:themeColor="text1" w:themeTint="F2"/>
            </w:tcBorders>
          </w:tcPr>
          <w:p w14:paraId="2514D19F" w14:textId="387D35C5" w:rsidR="00133748" w:rsidRDefault="00133748" w:rsidP="00133748">
            <w:r>
              <w:t>Martelli et al., 2021</w:t>
            </w:r>
          </w:p>
        </w:tc>
      </w:tr>
      <w:tr w:rsidR="00133748" w:rsidRPr="00F85DE5" w14:paraId="4172C45E" w14:textId="77777777" w:rsidTr="00A61B74">
        <w:tc>
          <w:tcPr>
            <w:tcW w:w="2605" w:type="dxa"/>
            <w:tcBorders>
              <w:left w:val="single" w:sz="8" w:space="0" w:color="0D0D0D" w:themeColor="text1" w:themeTint="F2"/>
            </w:tcBorders>
          </w:tcPr>
          <w:p w14:paraId="4F91083E" w14:textId="0EFCDF37" w:rsidR="00133748" w:rsidRPr="00133748" w:rsidRDefault="00133748" w:rsidP="00133748">
            <w:pPr>
              <w:rPr>
                <w:i/>
                <w:iCs/>
              </w:rPr>
            </w:pPr>
            <w:r>
              <w:rPr>
                <w:i/>
                <w:iCs/>
              </w:rPr>
              <w:t>Laminaria ochroleuca</w:t>
            </w:r>
          </w:p>
        </w:tc>
        <w:tc>
          <w:tcPr>
            <w:tcW w:w="6745" w:type="dxa"/>
            <w:tcBorders>
              <w:right w:val="single" w:sz="8" w:space="0" w:color="0D0D0D" w:themeColor="text1" w:themeTint="F2"/>
            </w:tcBorders>
          </w:tcPr>
          <w:p w14:paraId="09F61AE7" w14:textId="2910FF1D" w:rsidR="00133748" w:rsidRPr="00173FBA" w:rsidRDefault="00133748" w:rsidP="00133748">
            <w:pPr>
              <w:rPr>
                <w:lang w:val="es-ES"/>
              </w:rPr>
            </w:pPr>
            <w:r w:rsidRPr="00173FBA">
              <w:rPr>
                <w:lang w:val="es-ES"/>
              </w:rPr>
              <w:t>Del Olmo et al., 2019; López-Pérez et al., 2020</w:t>
            </w:r>
          </w:p>
        </w:tc>
      </w:tr>
      <w:tr w:rsidR="00133748" w14:paraId="3931075C" w14:textId="77777777" w:rsidTr="00A61B74">
        <w:tc>
          <w:tcPr>
            <w:tcW w:w="2605" w:type="dxa"/>
            <w:tcBorders>
              <w:left w:val="single" w:sz="8" w:space="0" w:color="0D0D0D" w:themeColor="text1" w:themeTint="F2"/>
            </w:tcBorders>
          </w:tcPr>
          <w:p w14:paraId="6AE429AE" w14:textId="04235C3A" w:rsidR="00133748" w:rsidRPr="00133748" w:rsidRDefault="00133748" w:rsidP="00133748">
            <w:pPr>
              <w:rPr>
                <w:i/>
                <w:iCs/>
              </w:rPr>
            </w:pPr>
            <w:proofErr w:type="spellStart"/>
            <w:r>
              <w:rPr>
                <w:i/>
                <w:iCs/>
              </w:rPr>
              <w:t>Palmaria</w:t>
            </w:r>
            <w:proofErr w:type="spellEnd"/>
            <w:r>
              <w:rPr>
                <w:i/>
                <w:iCs/>
              </w:rPr>
              <w:t xml:space="preserve"> palmata</w:t>
            </w:r>
          </w:p>
        </w:tc>
        <w:tc>
          <w:tcPr>
            <w:tcW w:w="6745" w:type="dxa"/>
            <w:tcBorders>
              <w:right w:val="single" w:sz="8" w:space="0" w:color="0D0D0D" w:themeColor="text1" w:themeTint="F2"/>
            </w:tcBorders>
          </w:tcPr>
          <w:p w14:paraId="4E1FE8C1" w14:textId="58C46262" w:rsidR="00133748" w:rsidRDefault="00133748" w:rsidP="00133748">
            <w:r>
              <w:t>Liot et al., 1993; Martelli et al., 2021; Nayyar &amp; Skonberg, 2019</w:t>
            </w:r>
          </w:p>
        </w:tc>
      </w:tr>
      <w:tr w:rsidR="00133748" w14:paraId="14E98F86" w14:textId="77777777" w:rsidTr="00A61B74">
        <w:tc>
          <w:tcPr>
            <w:tcW w:w="2605" w:type="dxa"/>
            <w:tcBorders>
              <w:left w:val="single" w:sz="8" w:space="0" w:color="0D0D0D" w:themeColor="text1" w:themeTint="F2"/>
            </w:tcBorders>
          </w:tcPr>
          <w:p w14:paraId="28F426B2" w14:textId="5EC983A9" w:rsidR="00133748" w:rsidRPr="00133748" w:rsidRDefault="00133748" w:rsidP="00133748">
            <w:pPr>
              <w:rPr>
                <w:i/>
                <w:iCs/>
              </w:rPr>
            </w:pPr>
            <w:r>
              <w:rPr>
                <w:i/>
                <w:iCs/>
              </w:rPr>
              <w:t>Saccharina latissima</w:t>
            </w:r>
          </w:p>
        </w:tc>
        <w:tc>
          <w:tcPr>
            <w:tcW w:w="6745" w:type="dxa"/>
            <w:tcBorders>
              <w:right w:val="single" w:sz="8" w:space="0" w:color="0D0D0D" w:themeColor="text1" w:themeTint="F2"/>
            </w:tcBorders>
          </w:tcPr>
          <w:p w14:paraId="397D3F13" w14:textId="38D7EDBC" w:rsidR="00133748" w:rsidRDefault="00133748" w:rsidP="00133748">
            <w:r>
              <w:t>Standal et al., 2024</w:t>
            </w:r>
          </w:p>
        </w:tc>
      </w:tr>
      <w:tr w:rsidR="00133748" w:rsidRPr="00F85DE5" w14:paraId="350145F2" w14:textId="77777777" w:rsidTr="00A61B74">
        <w:tc>
          <w:tcPr>
            <w:tcW w:w="2605" w:type="dxa"/>
            <w:tcBorders>
              <w:left w:val="single" w:sz="8" w:space="0" w:color="0D0D0D" w:themeColor="text1" w:themeTint="F2"/>
              <w:bottom w:val="single" w:sz="8" w:space="0" w:color="0D0D0D" w:themeColor="text1" w:themeTint="F2"/>
            </w:tcBorders>
          </w:tcPr>
          <w:p w14:paraId="51F6D1AC" w14:textId="2EE3DF95" w:rsidR="00133748" w:rsidRDefault="00133748" w:rsidP="00133748">
            <w:pPr>
              <w:rPr>
                <w:i/>
                <w:iCs/>
              </w:rPr>
            </w:pPr>
            <w:r>
              <w:rPr>
                <w:i/>
                <w:iCs/>
              </w:rPr>
              <w:t>Ulva rigida</w:t>
            </w:r>
          </w:p>
        </w:tc>
        <w:tc>
          <w:tcPr>
            <w:tcW w:w="6745" w:type="dxa"/>
            <w:tcBorders>
              <w:bottom w:val="single" w:sz="8" w:space="0" w:color="0D0D0D" w:themeColor="text1" w:themeTint="F2"/>
              <w:right w:val="single" w:sz="8" w:space="0" w:color="0D0D0D" w:themeColor="text1" w:themeTint="F2"/>
            </w:tcBorders>
          </w:tcPr>
          <w:p w14:paraId="04D686E2" w14:textId="5B47CB3D" w:rsidR="00133748" w:rsidRPr="00173FBA" w:rsidRDefault="00133748" w:rsidP="00133748">
            <w:pPr>
              <w:rPr>
                <w:lang w:val="es-ES"/>
              </w:rPr>
            </w:pPr>
            <w:r w:rsidRPr="00173FBA">
              <w:rPr>
                <w:lang w:val="es-ES"/>
              </w:rPr>
              <w:t>Liot et al., 1993; Sánchez-García et al., 2021</w:t>
            </w:r>
          </w:p>
        </w:tc>
      </w:tr>
    </w:tbl>
    <w:p w14:paraId="102C77DD" w14:textId="3CA54201" w:rsidR="007E0747" w:rsidRDefault="007E0747" w:rsidP="007E0747">
      <w:pPr>
        <w:spacing w:before="240"/>
      </w:pPr>
      <w:r>
        <w:t xml:space="preserve">There are several ways to prevent the growth of bacteria in foods These include reducing the amount of available water, </w:t>
      </w:r>
      <w:hyperlink w:anchor="Salting" w:tooltip="Adding salt to foods to preserve or enhance the food, sometimes referred to as dry brining" w:history="1">
        <w:r w:rsidRPr="003E23E8">
          <w:rPr>
            <w:rStyle w:val="Hyperlink"/>
          </w:rPr>
          <w:t>adding salt</w:t>
        </w:r>
      </w:hyperlink>
      <w:r>
        <w:t xml:space="preserve">, or increasing acidity. However, these methods change the taste, texture, and other characteristics of the final product. For </w:t>
      </w:r>
      <w:hyperlink w:anchor="RawFood" w:tooltip="[industry term] Any food that has not been processed, cooked or heat treated." w:history="1">
        <w:r w:rsidRPr="00AE1C32">
          <w:rPr>
            <w:rStyle w:val="Hyperlink"/>
          </w:rPr>
          <w:t>raw foods</w:t>
        </w:r>
      </w:hyperlink>
      <w:r>
        <w:t xml:space="preserve">, the most effective way to control bacterial growth is temperature management—keeping the product outside the temperature range where bacteria grow best. Most harmful bacteria found in food </w:t>
      </w:r>
      <w:r>
        <w:lastRenderedPageBreak/>
        <w:t xml:space="preserve">are </w:t>
      </w:r>
      <w:r w:rsidRPr="007E0747">
        <w:rPr>
          <w:i/>
          <w:iCs/>
        </w:rPr>
        <w:t>mesophilic</w:t>
      </w:r>
      <w:r>
        <w:t>, meaning they grow fastest at temperatures close to the human body temperature (95-98.6°F/35-37°C). These bacteria multiply most quickly in what is known as the “danger zone”—from 40–140°F (4.5–60°C) (USDA, 2020). Within this temperature range, bacterial numbers can double in as little as 20 minutes, depending on conditions such as water activity, pH, and nutrient availability.</w:t>
      </w:r>
    </w:p>
    <w:p w14:paraId="14FF1335" w14:textId="77777777" w:rsidR="007E0747" w:rsidRDefault="007E0747" w:rsidP="007E0747">
      <w:r>
        <w:t xml:space="preserve">Some bacteria, like </w:t>
      </w:r>
      <w:r w:rsidRPr="007E0747">
        <w:rPr>
          <w:i/>
          <w:iCs/>
        </w:rPr>
        <w:t>psychrotrophs</w:t>
      </w:r>
      <w:r>
        <w:t xml:space="preserve"> and </w:t>
      </w:r>
      <w:r w:rsidRPr="007E0747">
        <w:rPr>
          <w:i/>
          <w:iCs/>
        </w:rPr>
        <w:t>psychrophiles</w:t>
      </w:r>
      <w:r>
        <w:t>, can grow outside of the danger zone, even at cooler temperatures. However, their growth is much slower when products are kept at proper refrigeration temperatures (at or below 40°F / 4°C). Whether a person becomes ill after eating food contaminated with harmful bacteria depends on two main factors:</w:t>
      </w:r>
    </w:p>
    <w:p w14:paraId="18909B64" w14:textId="77777777" w:rsidR="007E0747" w:rsidRDefault="007E0747" w:rsidP="00846B8F">
      <w:pPr>
        <w:pStyle w:val="ListParagraph"/>
        <w:numPr>
          <w:ilvl w:val="0"/>
          <w:numId w:val="62"/>
        </w:numPr>
        <w:spacing w:before="240"/>
      </w:pPr>
      <w:r>
        <w:t>The strength or harmfulness of the pathogen (virulence).</w:t>
      </w:r>
    </w:p>
    <w:p w14:paraId="7EA61B93" w14:textId="77777777" w:rsidR="007E0747" w:rsidRDefault="007E0747" w:rsidP="00846B8F">
      <w:pPr>
        <w:pStyle w:val="ListParagraph"/>
        <w:numPr>
          <w:ilvl w:val="0"/>
          <w:numId w:val="62"/>
        </w:numPr>
        <w:spacing w:before="240"/>
      </w:pPr>
      <w:r>
        <w:t>The vulnerability of the consumer (for example, children, elderly adults, pregnant women, and people with weakened immune systems can get sick from lower levels of pathogens or toxins).</w:t>
      </w:r>
    </w:p>
    <w:p w14:paraId="25F11046" w14:textId="0C413654" w:rsidR="007E0747" w:rsidRDefault="007E0747" w:rsidP="00045395">
      <w:r>
        <w:t>Scientists often measure virulence using the median infectious dose (ID50), or the number of bacterial cells that would make 50% of a group of people sick. Another way to estimate risk is by studying actual amounts of pathogens found in contaminated foods from past outbreaks (when leftover product was available for testing). The number of cells needed to cause illness can vary a lot due to differences between strains of the same pathogen or the immune status of the consumer (e.g., children, the elderly, pregnant women, and immunocompromised individuals will become ill at lower dosages). Different strains of the same pathogen may behave differently, and the type of food it’s in can also affect how easily the bacteria survive and cause illness. Table 10</w:t>
      </w:r>
      <w:r w:rsidR="002033A6">
        <w:t>-</w:t>
      </w:r>
      <w:r>
        <w:t>2 below shows examples of the amounts of bacteria linked to illness in real outbreaks for certain pathogens relevant to seaweed food safety.</w:t>
      </w:r>
    </w:p>
    <w:p w14:paraId="433905BE" w14:textId="37540123" w:rsidR="005A5086" w:rsidRPr="007E0747" w:rsidRDefault="005A5086" w:rsidP="005A5086">
      <w:pPr>
        <w:spacing w:before="240"/>
      </w:pPr>
      <w:r>
        <w:t xml:space="preserve">Some pathogens, like </w:t>
      </w:r>
      <w:r w:rsidRPr="00EF2732">
        <w:rPr>
          <w:i/>
          <w:iCs/>
        </w:rPr>
        <w:t>Staphylococcus</w:t>
      </w:r>
      <w:r>
        <w:t xml:space="preserve"> </w:t>
      </w:r>
      <w:r w:rsidRPr="00EF2732">
        <w:rPr>
          <w:i/>
          <w:iCs/>
        </w:rPr>
        <w:t>aureus</w:t>
      </w:r>
      <w:r>
        <w:t xml:space="preserve"> and </w:t>
      </w:r>
      <w:r w:rsidRPr="00EF2732">
        <w:rPr>
          <w:i/>
          <w:iCs/>
        </w:rPr>
        <w:t>Bacillus</w:t>
      </w:r>
      <w:r>
        <w:t xml:space="preserve"> </w:t>
      </w:r>
      <w:r w:rsidRPr="00EF2732">
        <w:rPr>
          <w:i/>
          <w:iCs/>
        </w:rPr>
        <w:t>cereus</w:t>
      </w:r>
      <w:r>
        <w:t xml:space="preserve">, cause illness because they produce toxins in the food before it is eaten. The risk of illness depends on how much toxin is present. These bacteria usually need to reach very high numbers—more than 1 million cells per gram of food—before producing enough toxin to cause sickness. This means that small amounts of these bacteria are unlikely to cause illness unless temperature abuse occurs, allowing them to multiply to dangerous levels. Other pathogens, such as </w:t>
      </w:r>
      <w:r w:rsidRPr="00EF2732">
        <w:rPr>
          <w:i/>
          <w:iCs/>
        </w:rPr>
        <w:t>Salmonella</w:t>
      </w:r>
      <w:r>
        <w:t xml:space="preserve"> or </w:t>
      </w:r>
      <w:r w:rsidRPr="00EF2732">
        <w:t>shigatoxigenic</w:t>
      </w:r>
      <w:r>
        <w:t xml:space="preserve"> </w:t>
      </w:r>
      <w:r w:rsidRPr="00EF2732">
        <w:rPr>
          <w:i/>
          <w:iCs/>
        </w:rPr>
        <w:t>E. coli</w:t>
      </w:r>
      <w:r>
        <w:t xml:space="preserve">, can cause illness even in very small amounts. For these pathogens, </w:t>
      </w:r>
      <w:r w:rsidRPr="00EF2732">
        <w:rPr>
          <w:b/>
          <w:bCs/>
        </w:rPr>
        <w:t>any detection</w:t>
      </w:r>
      <w:r>
        <w:t xml:space="preserve"> is a concern. While temperature abuse will not be the only factor leading to illness, it can greatly increase the risk by allowing their numbers to grow before the food is eaten.</w:t>
      </w:r>
    </w:p>
    <w:p w14:paraId="60E8D7CF" w14:textId="724C0228" w:rsidR="00045395" w:rsidRDefault="00045395" w:rsidP="00C54E07">
      <w:pPr>
        <w:pStyle w:val="Caption"/>
      </w:pPr>
      <w:r w:rsidRPr="00045395">
        <w:rPr>
          <w:b/>
          <w:bCs/>
        </w:rPr>
        <w:lastRenderedPageBreak/>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10</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2</w:t>
      </w:r>
      <w:r w:rsidR="00896F22">
        <w:rPr>
          <w:b/>
          <w:bCs/>
        </w:rPr>
        <w:fldChar w:fldCharType="end"/>
      </w:r>
      <w:r w:rsidRPr="00045395">
        <w:rPr>
          <w:b/>
          <w:bCs/>
        </w:rPr>
        <w:t>:</w:t>
      </w:r>
      <w:r>
        <w:t xml:space="preserve"> </w:t>
      </w:r>
      <w:r w:rsidRPr="0064247C">
        <w:t>Ranges of confirmed pathogen doses linked to various foodborne outbreaks from multiple food vehicles and types of foods.</w:t>
      </w:r>
    </w:p>
    <w:tbl>
      <w:tblPr>
        <w:tblStyle w:val="TableGrid"/>
        <w:tblW w:w="0" w:type="auto"/>
        <w:tblCellMar>
          <w:top w:w="86" w:type="dxa"/>
          <w:left w:w="86" w:type="dxa"/>
          <w:bottom w:w="86" w:type="dxa"/>
          <w:right w:w="86" w:type="dxa"/>
        </w:tblCellMar>
        <w:tblLook w:val="04A0" w:firstRow="1" w:lastRow="0" w:firstColumn="1" w:lastColumn="0" w:noHBand="0" w:noVBand="1"/>
      </w:tblPr>
      <w:tblGrid>
        <w:gridCol w:w="2693"/>
        <w:gridCol w:w="3236"/>
        <w:gridCol w:w="3411"/>
      </w:tblGrid>
      <w:tr w:rsidR="007E0747" w14:paraId="3CCD89F4" w14:textId="77777777" w:rsidTr="00A61B74">
        <w:trPr>
          <w:tblHeader/>
        </w:trPr>
        <w:tc>
          <w:tcPr>
            <w:tcW w:w="2695" w:type="dxa"/>
            <w:tcBorders>
              <w:top w:val="single" w:sz="8" w:space="0" w:color="0D0D0D" w:themeColor="text1" w:themeTint="F2"/>
              <w:left w:val="single" w:sz="8" w:space="0" w:color="0D0D0D" w:themeColor="text1" w:themeTint="F2"/>
              <w:bottom w:val="single" w:sz="8" w:space="0" w:color="0D0D0D" w:themeColor="text1" w:themeTint="F2"/>
            </w:tcBorders>
            <w:shd w:val="clear" w:color="auto" w:fill="28666E"/>
            <w:vAlign w:val="center"/>
          </w:tcPr>
          <w:p w14:paraId="69DF3B0A" w14:textId="7AF0461B" w:rsidR="007E0747" w:rsidRPr="00F9694B" w:rsidRDefault="007E0747" w:rsidP="0054509C">
            <w:pPr>
              <w:rPr>
                <w:b/>
                <w:bCs/>
                <w:color w:val="FFFFFF" w:themeColor="background1"/>
              </w:rPr>
            </w:pPr>
            <w:r w:rsidRPr="00F9694B">
              <w:rPr>
                <w:b/>
                <w:bCs/>
                <w:color w:val="FFFFFF" w:themeColor="background1"/>
              </w:rPr>
              <w:t>Pathogen</w:t>
            </w:r>
          </w:p>
        </w:tc>
        <w:tc>
          <w:tcPr>
            <w:tcW w:w="3240" w:type="dxa"/>
            <w:tcBorders>
              <w:top w:val="single" w:sz="8" w:space="0" w:color="0D0D0D" w:themeColor="text1" w:themeTint="F2"/>
              <w:bottom w:val="single" w:sz="8" w:space="0" w:color="0D0D0D" w:themeColor="text1" w:themeTint="F2"/>
            </w:tcBorders>
            <w:shd w:val="clear" w:color="auto" w:fill="28666E"/>
            <w:vAlign w:val="center"/>
          </w:tcPr>
          <w:p w14:paraId="33E8E326" w14:textId="647932E4" w:rsidR="007E0747" w:rsidRPr="00F9694B" w:rsidRDefault="007E0747" w:rsidP="0054509C">
            <w:pPr>
              <w:rPr>
                <w:b/>
                <w:bCs/>
                <w:color w:val="FFFFFF" w:themeColor="background1"/>
              </w:rPr>
            </w:pPr>
            <w:r w:rsidRPr="00F9694B">
              <w:rPr>
                <w:b/>
                <w:bCs/>
                <w:color w:val="FFFFFF" w:themeColor="background1"/>
              </w:rPr>
              <w:t>Mean Total Number of Cells Consumed</w:t>
            </w:r>
          </w:p>
        </w:tc>
        <w:tc>
          <w:tcPr>
            <w:tcW w:w="3415" w:type="dxa"/>
            <w:tcBorders>
              <w:top w:val="single" w:sz="8" w:space="0" w:color="0D0D0D" w:themeColor="text1" w:themeTint="F2"/>
              <w:bottom w:val="single" w:sz="8" w:space="0" w:color="0D0D0D" w:themeColor="text1" w:themeTint="F2"/>
              <w:right w:val="single" w:sz="8" w:space="0" w:color="0D0D0D" w:themeColor="text1" w:themeTint="F2"/>
            </w:tcBorders>
            <w:shd w:val="clear" w:color="auto" w:fill="28666E"/>
            <w:vAlign w:val="center"/>
          </w:tcPr>
          <w:p w14:paraId="085EED98" w14:textId="5C31B378" w:rsidR="007E0747" w:rsidRPr="00F9694B" w:rsidRDefault="007E0747" w:rsidP="0054509C">
            <w:pPr>
              <w:rPr>
                <w:b/>
                <w:bCs/>
                <w:color w:val="FFFFFF" w:themeColor="background1"/>
              </w:rPr>
            </w:pPr>
            <w:r w:rsidRPr="00F9694B">
              <w:rPr>
                <w:b/>
                <w:bCs/>
                <w:color w:val="FFFFFF" w:themeColor="background1"/>
              </w:rPr>
              <w:t>References</w:t>
            </w:r>
          </w:p>
        </w:tc>
      </w:tr>
      <w:tr w:rsidR="007E0747" w14:paraId="1C29230D" w14:textId="77777777" w:rsidTr="00A61B74">
        <w:tc>
          <w:tcPr>
            <w:tcW w:w="2695" w:type="dxa"/>
            <w:tcBorders>
              <w:top w:val="single" w:sz="8" w:space="0" w:color="0D0D0D" w:themeColor="text1" w:themeTint="F2"/>
              <w:left w:val="single" w:sz="8" w:space="0" w:color="0D0D0D" w:themeColor="text1" w:themeTint="F2"/>
            </w:tcBorders>
          </w:tcPr>
          <w:p w14:paraId="34323626" w14:textId="7CED9C43" w:rsidR="007E0747" w:rsidRPr="007E0747" w:rsidRDefault="006D17D6" w:rsidP="007E0747">
            <w:pPr>
              <w:rPr>
                <w:i/>
                <w:iCs/>
              </w:rPr>
            </w:pPr>
            <w:r>
              <w:rPr>
                <w:i/>
                <w:iCs/>
              </w:rPr>
              <w:t>Bacillus</w:t>
            </w:r>
            <w:r w:rsidR="007E0747">
              <w:rPr>
                <w:i/>
                <w:iCs/>
              </w:rPr>
              <w:t xml:space="preserve"> cereus</w:t>
            </w:r>
          </w:p>
        </w:tc>
        <w:tc>
          <w:tcPr>
            <w:tcW w:w="3240" w:type="dxa"/>
            <w:tcBorders>
              <w:top w:val="single" w:sz="8" w:space="0" w:color="0D0D0D" w:themeColor="text1" w:themeTint="F2"/>
            </w:tcBorders>
          </w:tcPr>
          <w:p w14:paraId="055427D9" w14:textId="474C6D61" w:rsidR="007E0747" w:rsidRDefault="007E0747" w:rsidP="007E0747">
            <w:r>
              <w:t>&gt; 15,000,000</w:t>
            </w:r>
          </w:p>
        </w:tc>
        <w:tc>
          <w:tcPr>
            <w:tcW w:w="3415" w:type="dxa"/>
            <w:tcBorders>
              <w:top w:val="single" w:sz="8" w:space="0" w:color="0D0D0D" w:themeColor="text1" w:themeTint="F2"/>
              <w:right w:val="single" w:sz="8" w:space="0" w:color="0D0D0D" w:themeColor="text1" w:themeTint="F2"/>
            </w:tcBorders>
          </w:tcPr>
          <w:p w14:paraId="088973B9" w14:textId="2B7CF9E4" w:rsidR="007E0747" w:rsidRDefault="007E0747" w:rsidP="007E0747">
            <w:r>
              <w:t>Delbrassinne et al., 2015</w:t>
            </w:r>
          </w:p>
        </w:tc>
      </w:tr>
      <w:tr w:rsidR="007E0747" w14:paraId="27AB0586" w14:textId="77777777" w:rsidTr="00A61B74">
        <w:tc>
          <w:tcPr>
            <w:tcW w:w="2695" w:type="dxa"/>
            <w:tcBorders>
              <w:left w:val="single" w:sz="8" w:space="0" w:color="0D0D0D" w:themeColor="text1" w:themeTint="F2"/>
            </w:tcBorders>
          </w:tcPr>
          <w:p w14:paraId="71326EF4" w14:textId="3D6EF11D" w:rsidR="007E0747" w:rsidRPr="007E0747" w:rsidRDefault="007E0747" w:rsidP="007E0747">
            <w:pPr>
              <w:rPr>
                <w:i/>
                <w:iCs/>
              </w:rPr>
            </w:pPr>
            <w:r>
              <w:t xml:space="preserve">Enterotoxigenic </w:t>
            </w:r>
            <w:r>
              <w:rPr>
                <w:i/>
                <w:iCs/>
              </w:rPr>
              <w:t>E. coli</w:t>
            </w:r>
          </w:p>
        </w:tc>
        <w:tc>
          <w:tcPr>
            <w:tcW w:w="3240" w:type="dxa"/>
          </w:tcPr>
          <w:p w14:paraId="36D7808D" w14:textId="3E8A74BF" w:rsidR="007E0747" w:rsidRDefault="007E0747" w:rsidP="007E0747">
            <w:r>
              <w:t>&lt; 1,000</w:t>
            </w:r>
          </w:p>
        </w:tc>
        <w:tc>
          <w:tcPr>
            <w:tcW w:w="3415" w:type="dxa"/>
            <w:tcBorders>
              <w:right w:val="single" w:sz="8" w:space="0" w:color="0D0D0D" w:themeColor="text1" w:themeTint="F2"/>
            </w:tcBorders>
          </w:tcPr>
          <w:p w14:paraId="046B6915" w14:textId="678512A5" w:rsidR="007E0747" w:rsidRDefault="007E0747" w:rsidP="007E0747">
            <w:r>
              <w:t>Hara-Kudo &amp; Takatori, 2011</w:t>
            </w:r>
          </w:p>
        </w:tc>
      </w:tr>
      <w:tr w:rsidR="007E0747" w14:paraId="383DE959" w14:textId="77777777" w:rsidTr="00A61B74">
        <w:tc>
          <w:tcPr>
            <w:tcW w:w="2695" w:type="dxa"/>
            <w:tcBorders>
              <w:left w:val="single" w:sz="8" w:space="0" w:color="0D0D0D" w:themeColor="text1" w:themeTint="F2"/>
            </w:tcBorders>
          </w:tcPr>
          <w:p w14:paraId="66FFB6AD" w14:textId="30595BC8" w:rsidR="007E0747" w:rsidRPr="007E0747" w:rsidRDefault="007E0747" w:rsidP="007E0747">
            <w:pPr>
              <w:rPr>
                <w:i/>
                <w:iCs/>
              </w:rPr>
            </w:pPr>
            <w:r>
              <w:rPr>
                <w:i/>
                <w:iCs/>
              </w:rPr>
              <w:t>Listeria monocytogenes</w:t>
            </w:r>
          </w:p>
        </w:tc>
        <w:tc>
          <w:tcPr>
            <w:tcW w:w="3240" w:type="dxa"/>
          </w:tcPr>
          <w:p w14:paraId="7B0FF23F" w14:textId="57594D20" w:rsidR="007E0747" w:rsidRDefault="007E0747" w:rsidP="007E0747">
            <w:r>
              <w:t xml:space="preserve">150,000,000 </w:t>
            </w:r>
            <w:r w:rsidRPr="007E0747">
              <w:t>–</w:t>
            </w:r>
            <w:r>
              <w:t xml:space="preserve"> 1,400,000,000</w:t>
            </w:r>
          </w:p>
        </w:tc>
        <w:tc>
          <w:tcPr>
            <w:tcW w:w="3415" w:type="dxa"/>
            <w:tcBorders>
              <w:right w:val="single" w:sz="8" w:space="0" w:color="0D0D0D" w:themeColor="text1" w:themeTint="F2"/>
            </w:tcBorders>
          </w:tcPr>
          <w:p w14:paraId="2DCD4E34" w14:textId="1BC9A968" w:rsidR="007E0747" w:rsidRDefault="007E0747" w:rsidP="007E0747">
            <w:r>
              <w:t>Pouillot et al., 2015</w:t>
            </w:r>
          </w:p>
        </w:tc>
      </w:tr>
      <w:tr w:rsidR="007E0747" w14:paraId="35EC10C2" w14:textId="77777777" w:rsidTr="00A61B74">
        <w:tc>
          <w:tcPr>
            <w:tcW w:w="2695" w:type="dxa"/>
            <w:tcBorders>
              <w:left w:val="single" w:sz="8" w:space="0" w:color="0D0D0D" w:themeColor="text1" w:themeTint="F2"/>
            </w:tcBorders>
          </w:tcPr>
          <w:p w14:paraId="3A2DC79C" w14:textId="4D3F19EC" w:rsidR="007E0747" w:rsidRPr="007E0747" w:rsidRDefault="007E0747" w:rsidP="007E0747">
            <w:r>
              <w:rPr>
                <w:i/>
                <w:iCs/>
              </w:rPr>
              <w:t>Salmonella</w:t>
            </w:r>
            <w:r>
              <w:t xml:space="preserve"> (serovars include: Eastbourne; Enteritidis; Javiana; Montevideo; Napoli; Rubislaw; Saintpaul; Typhimurium)</w:t>
            </w:r>
          </w:p>
        </w:tc>
        <w:tc>
          <w:tcPr>
            <w:tcW w:w="3240" w:type="dxa"/>
          </w:tcPr>
          <w:p w14:paraId="094F8211" w14:textId="58B9E899" w:rsidR="007E0747" w:rsidRDefault="007E0747" w:rsidP="007E0747">
            <w:r>
              <w:t xml:space="preserve">4 </w:t>
            </w:r>
            <w:r w:rsidRPr="007E0747">
              <w:t>–</w:t>
            </w:r>
            <w:r>
              <w:t xml:space="preserve"> 2,000,000</w:t>
            </w:r>
          </w:p>
        </w:tc>
        <w:tc>
          <w:tcPr>
            <w:tcW w:w="3415" w:type="dxa"/>
            <w:tcBorders>
              <w:right w:val="single" w:sz="8" w:space="0" w:color="0D0D0D" w:themeColor="text1" w:themeTint="F2"/>
            </w:tcBorders>
          </w:tcPr>
          <w:p w14:paraId="4A3D8A36" w14:textId="046DD861" w:rsidR="007E0747" w:rsidRDefault="007E0747" w:rsidP="007E0747">
            <w:r>
              <w:t>D’Aoust et al., 1975; Greenwood &amp; Hooper, 1983; Hara-Kudo &amp; Takatori, 2011; Hennessy et al., 1996; Kapperud et al., 1990; Lehmacher et al., 1995; Ratnam &amp; March, 1986; WHO, 2002</w:t>
            </w:r>
          </w:p>
        </w:tc>
      </w:tr>
      <w:tr w:rsidR="007E0747" w:rsidRPr="00F85DE5" w14:paraId="5465FAEF" w14:textId="77777777" w:rsidTr="00A61B74">
        <w:tc>
          <w:tcPr>
            <w:tcW w:w="2695" w:type="dxa"/>
            <w:tcBorders>
              <w:left w:val="single" w:sz="8" w:space="0" w:color="0D0D0D" w:themeColor="text1" w:themeTint="F2"/>
              <w:bottom w:val="single" w:sz="8" w:space="0" w:color="0D0D0D" w:themeColor="text1" w:themeTint="F2"/>
            </w:tcBorders>
          </w:tcPr>
          <w:p w14:paraId="3C4BC5D5" w14:textId="546C71C2" w:rsidR="007E0747" w:rsidRPr="007E0747" w:rsidRDefault="007E0747" w:rsidP="007E0747">
            <w:r>
              <w:t xml:space="preserve">Shigatoxigenic </w:t>
            </w:r>
            <w:r>
              <w:rPr>
                <w:i/>
                <w:iCs/>
              </w:rPr>
              <w:t>E. coli</w:t>
            </w:r>
            <w:r>
              <w:t xml:space="preserve"> (STEC)</w:t>
            </w:r>
          </w:p>
        </w:tc>
        <w:tc>
          <w:tcPr>
            <w:tcW w:w="3240" w:type="dxa"/>
            <w:tcBorders>
              <w:bottom w:val="single" w:sz="8" w:space="0" w:color="0D0D0D" w:themeColor="text1" w:themeTint="F2"/>
            </w:tcBorders>
          </w:tcPr>
          <w:p w14:paraId="41F150AC" w14:textId="798ED075" w:rsidR="007E0747" w:rsidRDefault="007E0747" w:rsidP="007E0747">
            <w:r>
              <w:t xml:space="preserve">31 </w:t>
            </w:r>
            <w:r w:rsidRPr="007E0747">
              <w:t>–</w:t>
            </w:r>
            <w:r>
              <w:t xml:space="preserve"> &lt; 216</w:t>
            </w:r>
          </w:p>
        </w:tc>
        <w:tc>
          <w:tcPr>
            <w:tcW w:w="3415" w:type="dxa"/>
            <w:tcBorders>
              <w:bottom w:val="single" w:sz="8" w:space="0" w:color="0D0D0D" w:themeColor="text1" w:themeTint="F2"/>
              <w:right w:val="single" w:sz="8" w:space="0" w:color="0D0D0D" w:themeColor="text1" w:themeTint="F2"/>
            </w:tcBorders>
          </w:tcPr>
          <w:p w14:paraId="61B0BD95" w14:textId="1A6BCBB2" w:rsidR="007E0747" w:rsidRPr="00173FBA" w:rsidRDefault="007E0747" w:rsidP="007E0747">
            <w:pPr>
              <w:rPr>
                <w:lang w:val="es-ES"/>
              </w:rPr>
            </w:pPr>
            <w:r w:rsidRPr="00173FBA">
              <w:rPr>
                <w:lang w:val="es-ES"/>
              </w:rPr>
              <w:t>Hara-Kudo &amp; Takatori, 2011; Teunis et al., 2004</w:t>
            </w:r>
          </w:p>
        </w:tc>
      </w:tr>
    </w:tbl>
    <w:p w14:paraId="676BEBE0" w14:textId="342DC3E6" w:rsidR="00EF2732" w:rsidRDefault="00EF2732" w:rsidP="00441BE0">
      <w:pPr>
        <w:pStyle w:val="Heading2"/>
      </w:pPr>
      <w:bookmarkStart w:id="178" w:name="_Toc208503258"/>
      <w:r>
        <w:t>When and How Temperature Abuse Can Occur</w:t>
      </w:r>
      <w:bookmarkEnd w:id="178"/>
    </w:p>
    <w:p w14:paraId="3244DDC5" w14:textId="77777777" w:rsidR="00EF2732" w:rsidRDefault="00EF2732" w:rsidP="00B64049">
      <w:pPr>
        <w:spacing w:before="240"/>
      </w:pPr>
      <w:r>
        <w:t>Temperature abuse (exposing seaweed to temperatures that promote pathogen growth) can happen at any stage from harvest to final packaging. Duration of harvest activities can vary but may last several hours. Key points where this risk is especially high include:</w:t>
      </w:r>
    </w:p>
    <w:p w14:paraId="16FCAFE7" w14:textId="532215EB" w:rsidR="00EF2732" w:rsidRDefault="00EF2732" w:rsidP="00846B8F">
      <w:pPr>
        <w:pStyle w:val="ListParagraph"/>
        <w:numPr>
          <w:ilvl w:val="0"/>
          <w:numId w:val="63"/>
        </w:numPr>
        <w:spacing w:before="240"/>
        <w:contextualSpacing w:val="0"/>
      </w:pPr>
      <w:r w:rsidRPr="00EF2732">
        <w:rPr>
          <w:b/>
          <w:bCs/>
        </w:rPr>
        <w:t>During Harvest:</w:t>
      </w:r>
      <w:r>
        <w:t xml:space="preserve"> If temperature control is not employed immediately upon harvest, portions of the product may be exposed to temperatures in the danger zone for too long before reaching shore.</w:t>
      </w:r>
    </w:p>
    <w:p w14:paraId="76F4E284" w14:textId="01539B1F" w:rsidR="00EF2732" w:rsidRDefault="00EF2732" w:rsidP="00846B8F">
      <w:pPr>
        <w:pStyle w:val="ListParagraph"/>
        <w:numPr>
          <w:ilvl w:val="0"/>
          <w:numId w:val="63"/>
        </w:numPr>
        <w:spacing w:before="240"/>
        <w:contextualSpacing w:val="0"/>
      </w:pPr>
      <w:r w:rsidRPr="00EF2732">
        <w:rPr>
          <w:b/>
          <w:bCs/>
        </w:rPr>
        <w:t>Transport:</w:t>
      </w:r>
      <w:r>
        <w:t xml:space="preserve"> If mechanical refrigeration is not available during transport, other methods of cooling should be utilized (e.g., ice or cooling packs).</w:t>
      </w:r>
    </w:p>
    <w:p w14:paraId="2BA2EB99" w14:textId="1FAB150F" w:rsidR="00EF2732" w:rsidRDefault="00EF2732" w:rsidP="00846B8F">
      <w:pPr>
        <w:pStyle w:val="ListParagraph"/>
        <w:numPr>
          <w:ilvl w:val="0"/>
          <w:numId w:val="63"/>
        </w:numPr>
        <w:spacing w:before="240"/>
        <w:contextualSpacing w:val="0"/>
      </w:pPr>
      <w:r w:rsidRPr="00EF2732">
        <w:rPr>
          <w:b/>
          <w:bCs/>
        </w:rPr>
        <w:t>Storage:</w:t>
      </w:r>
      <w:r>
        <w:t xml:space="preserve"> If seaweed is harvested into very large containers, the seaweed at the center of that container may not cool to the desired temperature even if stored below 40°F.</w:t>
      </w:r>
    </w:p>
    <w:p w14:paraId="243519FC" w14:textId="6F0DE027" w:rsidR="00EF2732" w:rsidRDefault="00EF2732" w:rsidP="00846B8F">
      <w:pPr>
        <w:pStyle w:val="ListParagraph"/>
        <w:numPr>
          <w:ilvl w:val="0"/>
          <w:numId w:val="63"/>
        </w:numPr>
        <w:spacing w:before="240"/>
        <w:contextualSpacing w:val="0"/>
      </w:pPr>
      <w:r w:rsidRPr="00EF2732">
        <w:rPr>
          <w:b/>
          <w:bCs/>
        </w:rPr>
        <w:t>During Processing:</w:t>
      </w:r>
      <w:r>
        <w:t xml:space="preserve"> If processing does not take place in a climate-controlled environment, the process time should be kept as short as possible. If </w:t>
      </w:r>
      <w:hyperlink w:anchor="DryingDehydrating" w:tooltip="The natural (sun or air drying) or mechanical (dehydrator, oven, freeze drying, etc.) removal of water from a food or food product to reduce the water available for microbial growth (Aw). A commonly used method of food preservation." w:history="1">
        <w:r w:rsidRPr="00E1536C">
          <w:rPr>
            <w:rStyle w:val="Hyperlink"/>
          </w:rPr>
          <w:t>drying</w:t>
        </w:r>
      </w:hyperlink>
      <w:r>
        <w:t xml:space="preserve">, reduce </w:t>
      </w:r>
      <w:hyperlink w:anchor="WaterActivity" w:tooltip="A measure of free or available water in a food, which is different from total water in a food, which is referred to as moisture content. Available water is used by microorganisms for growth." w:history="1">
        <w:r w:rsidRPr="00AF729A">
          <w:rPr>
            <w:rStyle w:val="Hyperlink"/>
          </w:rPr>
          <w:t>water activity</w:t>
        </w:r>
      </w:hyperlink>
      <w:r>
        <w:t xml:space="preserve"> below 0.85 quickly to prevent bacterial growth (note: lowering water activity prevents growth but does not kill existing pathogens).</w:t>
      </w:r>
    </w:p>
    <w:p w14:paraId="2432A460" w14:textId="4A59DB6A" w:rsidR="00EF2732" w:rsidRDefault="00EF2732" w:rsidP="00846B8F">
      <w:pPr>
        <w:pStyle w:val="ListParagraph"/>
        <w:numPr>
          <w:ilvl w:val="0"/>
          <w:numId w:val="63"/>
        </w:numPr>
        <w:spacing w:before="240"/>
        <w:contextualSpacing w:val="0"/>
      </w:pPr>
      <w:r w:rsidRPr="00EF2732">
        <w:rPr>
          <w:b/>
          <w:bCs/>
        </w:rPr>
        <w:lastRenderedPageBreak/>
        <w:t>After Heating:</w:t>
      </w:r>
      <w:r>
        <w:t xml:space="preserve"> Heat processes are widely used to decrease the risk of pathogen contamination (see </w:t>
      </w:r>
      <w:hyperlink w:anchor="_Pathogen_Survival_Through" w:history="1">
        <w:r w:rsidRPr="002033A6">
          <w:rPr>
            <w:rStyle w:val="Hyperlink"/>
          </w:rPr>
          <w:t>Chapter 13</w:t>
        </w:r>
      </w:hyperlink>
      <w:r>
        <w:t>) but some organisms, particularly spores, may survive these treatments. Any time spent between 40°F (4.4°C) and 140°F (60°C) should be minimized (for example, by rapidly cooling cooked products).</w:t>
      </w:r>
    </w:p>
    <w:p w14:paraId="45D8C9D2" w14:textId="12A02F36" w:rsidR="00EF2732" w:rsidRDefault="00EF2732" w:rsidP="00EF2732">
      <w:r>
        <w:t>The risk from temperature abuse depends on both the temperature and the amount of time the product is held there (e.g., exposure at 90°F poses a higher risk than the same amount of time at 60°F). Short-term exposures usually do not make food unsafe, but the risk increases with longer exposure times.</w:t>
      </w:r>
    </w:p>
    <w:p w14:paraId="28C35A0D" w14:textId="1A519ACE" w:rsidR="00EF2732" w:rsidRDefault="00EF2732" w:rsidP="00EF2732">
      <w:r>
        <w:t xml:space="preserve">For detailed guidance on maximum cumulative time limits for exposure to unsafe temperatures, see Appendix 3 of the </w:t>
      </w:r>
      <w:r w:rsidR="00D31328">
        <w:t>FDA’s</w:t>
      </w:r>
      <w:r w:rsidRPr="00EF2732">
        <w:rPr>
          <w:i/>
          <w:iCs/>
        </w:rPr>
        <w:t xml:space="preserve"> Draft Guidance for Industry: Hazard Analysis and Risk-Based Preventive Controls for Human Food</w:t>
      </w:r>
      <w:r>
        <w:t xml:space="preserve"> (USFDA, 2024).</w:t>
      </w:r>
    </w:p>
    <w:p w14:paraId="6962799D" w14:textId="77777777" w:rsidR="00EF2732" w:rsidRDefault="00EF2732" w:rsidP="00441BE0">
      <w:pPr>
        <w:pStyle w:val="Heading2"/>
      </w:pPr>
      <w:bookmarkStart w:id="179" w:name="_Toc208503259"/>
      <w:r>
        <w:t>Bacterial Pathogens Associated with Macroalgae</w:t>
      </w:r>
      <w:bookmarkEnd w:id="179"/>
    </w:p>
    <w:p w14:paraId="01E07486" w14:textId="77777777" w:rsidR="00EF2732" w:rsidRPr="00EF2732" w:rsidRDefault="00EF2732" w:rsidP="00691E23">
      <w:pPr>
        <w:pStyle w:val="Heading3"/>
      </w:pPr>
      <w:bookmarkStart w:id="180" w:name="_Toc208503260"/>
      <w:r w:rsidRPr="00EF2732">
        <w:t>Pathogenic Escherichia coli</w:t>
      </w:r>
      <w:bookmarkEnd w:id="180"/>
    </w:p>
    <w:p w14:paraId="1AE2EF28" w14:textId="35BF9723" w:rsidR="00EF2732" w:rsidRDefault="00EF2732" w:rsidP="00B64049">
      <w:pPr>
        <w:spacing w:before="240"/>
      </w:pPr>
      <w:r>
        <w:t xml:space="preserve">Most types of </w:t>
      </w:r>
      <w:r w:rsidRPr="00EF2732">
        <w:rPr>
          <w:i/>
          <w:iCs/>
        </w:rPr>
        <w:t>Escherichia coli</w:t>
      </w:r>
      <w:r>
        <w:t xml:space="preserve"> (</w:t>
      </w:r>
      <w:r w:rsidRPr="00EF2732">
        <w:rPr>
          <w:i/>
          <w:iCs/>
        </w:rPr>
        <w:t>E. coli</w:t>
      </w:r>
      <w:r>
        <w:t>) naturally live in the intestines of humans and animals without causing illness. However, some types—called pathogenic strains—can cause disease. These are grouped into categories called pathotypes (also called virotypes</w:t>
      </w:r>
      <w:r w:rsidR="006D17D6">
        <w:t>) and</w:t>
      </w:r>
      <w:r>
        <w:t xml:space="preserve"> named for the kind of illness they cause. The most severe types of illnesses are caused by shigatoxigenic </w:t>
      </w:r>
      <w:r w:rsidRPr="00EF2732">
        <w:rPr>
          <w:i/>
          <w:iCs/>
        </w:rPr>
        <w:t>E. coli</w:t>
      </w:r>
      <w:r>
        <w:t xml:space="preserve"> (STEC; sometimes called enterohemorrhagic </w:t>
      </w:r>
      <w:r w:rsidRPr="00EF2732">
        <w:rPr>
          <w:i/>
          <w:iCs/>
        </w:rPr>
        <w:t>E. coli</w:t>
      </w:r>
      <w:r>
        <w:t>, or EHEC). This strain can cause hemorrhagic colitis, which leads to severe, bloody diarrhea and can progress to more serious conditions such as hemolytic uremic syndrome, which can cause kidney failure and other long-term health issues.</w:t>
      </w:r>
    </w:p>
    <w:p w14:paraId="0EFD8709" w14:textId="084F0DE5" w:rsidR="00EF2732" w:rsidRDefault="00EF2732" w:rsidP="00EF2732">
      <w:r>
        <w:t>STEC and EHEC are especially dangerous because it may take fewer than 100 bacterial cells to cause illness (see Table 10</w:t>
      </w:r>
      <w:r w:rsidR="002033A6">
        <w:t>-</w:t>
      </w:r>
      <w:r>
        <w:t xml:space="preserve">1). Other pathotypes of </w:t>
      </w:r>
      <w:r w:rsidRPr="00F301B0">
        <w:rPr>
          <w:i/>
          <w:iCs/>
        </w:rPr>
        <w:t>E. coli</w:t>
      </w:r>
      <w:r>
        <w:t xml:space="preserve">, such as enteroaggregative and enterotoxigenic strains, usually require much higher numbers to cause disease (summarized in Kothary &amp; Babu, 2001), and have been linked to outbreaks from contaminated seaweeds such as </w:t>
      </w:r>
      <w:r w:rsidRPr="00F301B0">
        <w:rPr>
          <w:i/>
          <w:iCs/>
        </w:rPr>
        <w:t>Condracanthus</w:t>
      </w:r>
      <w:r>
        <w:t xml:space="preserve"> </w:t>
      </w:r>
      <w:r w:rsidRPr="00F301B0">
        <w:rPr>
          <w:i/>
          <w:iCs/>
        </w:rPr>
        <w:t>tenellus</w:t>
      </w:r>
      <w:r>
        <w:t xml:space="preserve"> and </w:t>
      </w:r>
      <w:r w:rsidRPr="00F301B0">
        <w:rPr>
          <w:i/>
          <w:iCs/>
        </w:rPr>
        <w:t>Undaria</w:t>
      </w:r>
      <w:r>
        <w:t xml:space="preserve"> </w:t>
      </w:r>
      <w:r w:rsidRPr="00F301B0">
        <w:rPr>
          <w:i/>
          <w:iCs/>
        </w:rPr>
        <w:t>pinnatifida</w:t>
      </w:r>
      <w:r>
        <w:t xml:space="preserve"> (wakame), (Hamada et al., 1999; Kashima et al., 2021</w:t>
      </w:r>
      <w:r w:rsidR="003D3C05">
        <w:t>, respectively</w:t>
      </w:r>
      <w:r>
        <w:t>).</w:t>
      </w:r>
    </w:p>
    <w:p w14:paraId="2F3222E9" w14:textId="200207CF" w:rsidR="00EF2732" w:rsidRDefault="00EF2732" w:rsidP="00EF2732">
      <w:r>
        <w:t xml:space="preserve">Research has shown that STEC can survive well on some seaweeds. In one study, </w:t>
      </w:r>
      <w:r w:rsidR="00B67A7C">
        <w:rPr>
          <w:i/>
        </w:rPr>
        <w:t>Saccharina latissima</w:t>
      </w:r>
      <w:r w:rsidR="00B67A7C">
        <w:t xml:space="preserve"> </w:t>
      </w:r>
      <w:r>
        <w:t xml:space="preserve">blades inoculated (infected) with STEC serotypes stored in refrigeration for one week at 50°F and 40°F (10°C and 4.4°C) showed a small drop in bacteria during the first two days, but the numbers then stayed the same for the rest of the week—showing greater survival than </w:t>
      </w:r>
      <w:r w:rsidRPr="00F301B0">
        <w:rPr>
          <w:i/>
          <w:iCs/>
        </w:rPr>
        <w:t>Vibrio</w:t>
      </w:r>
      <w:r>
        <w:t xml:space="preserve"> or </w:t>
      </w:r>
      <w:r w:rsidRPr="00F301B0">
        <w:rPr>
          <w:i/>
          <w:iCs/>
        </w:rPr>
        <w:t>Listeria</w:t>
      </w:r>
      <w:r>
        <w:t xml:space="preserve"> </w:t>
      </w:r>
      <w:r w:rsidRPr="00F301B0">
        <w:rPr>
          <w:i/>
          <w:iCs/>
        </w:rPr>
        <w:t>monocytogenes</w:t>
      </w:r>
      <w:r>
        <w:t xml:space="preserve"> (Akomea-Frempong et al., 2023). In a similar study, STEC numbers increased by 90% in just 48 hours at room temperature and stayed steady when stored </w:t>
      </w:r>
      <w:r>
        <w:lastRenderedPageBreak/>
        <w:t>at 50°F or 40°F (Vorse et al., 2023). However, on rockweed (</w:t>
      </w:r>
      <w:r w:rsidRPr="00F301B0">
        <w:rPr>
          <w:i/>
          <w:iCs/>
        </w:rPr>
        <w:t>Ascophyllum</w:t>
      </w:r>
      <w:r>
        <w:t xml:space="preserve"> </w:t>
      </w:r>
      <w:r w:rsidRPr="00F301B0">
        <w:rPr>
          <w:i/>
          <w:iCs/>
        </w:rPr>
        <w:t>nodosum</w:t>
      </w:r>
      <w:r>
        <w:t>), STEC numbers dropped significantly at all storage temperatures.</w:t>
      </w:r>
    </w:p>
    <w:p w14:paraId="317218CA" w14:textId="77777777" w:rsidR="00EF2732" w:rsidRPr="00F301B0" w:rsidRDefault="00EF2732" w:rsidP="00846B8F">
      <w:pPr>
        <w:pStyle w:val="Heading3"/>
        <w:numPr>
          <w:ilvl w:val="2"/>
          <w:numId w:val="156"/>
        </w:numPr>
      </w:pPr>
      <w:bookmarkStart w:id="181" w:name="_Toc208503261"/>
      <w:r w:rsidRPr="00F301B0">
        <w:t>Salmonella</w:t>
      </w:r>
      <w:bookmarkEnd w:id="181"/>
    </w:p>
    <w:p w14:paraId="012DD68D" w14:textId="0B0CFFD7" w:rsidR="00EF2732" w:rsidRDefault="00EF2732" w:rsidP="00B64049">
      <w:pPr>
        <w:spacing w:before="240"/>
      </w:pPr>
      <w:r w:rsidRPr="00F301B0">
        <w:rPr>
          <w:i/>
          <w:iCs/>
        </w:rPr>
        <w:t>Salmonella</w:t>
      </w:r>
      <w:r>
        <w:t xml:space="preserve"> is a type of bacteria that can cause gastrointestinal illness in humans. It is often carried by reptiles and birds and is the leading cause of bacterial foodborne illness in the United States. While </w:t>
      </w:r>
      <w:r w:rsidRPr="00F301B0">
        <w:rPr>
          <w:i/>
          <w:iCs/>
        </w:rPr>
        <w:t>Salmonella</w:t>
      </w:r>
      <w:r>
        <w:t xml:space="preserve"> has long been linked with eggs and poultry, it is now also found in a wide range of foods, including those with very low </w:t>
      </w:r>
      <w:hyperlink w:anchor="WaterActivity" w:tooltip="A measure of free or available water in a food, which is different from total water in a food, which is referred to as moisture content. Available water is used by microorganisms for growth; by limiting available water, one reduces aW." w:history="1">
        <w:r w:rsidRPr="00AF729A">
          <w:rPr>
            <w:rStyle w:val="Hyperlink"/>
          </w:rPr>
          <w:t>water activity</w:t>
        </w:r>
      </w:hyperlink>
      <w:r>
        <w:t xml:space="preserve"> (a measure of available moisture). Although </w:t>
      </w:r>
      <w:r w:rsidRPr="00F301B0">
        <w:rPr>
          <w:i/>
          <w:iCs/>
        </w:rPr>
        <w:t>Salmonella</w:t>
      </w:r>
      <w:r>
        <w:t xml:space="preserve"> vegetative cells cannot grow when the water activity is below 0.94 (USFDA, 2022a), research has shown that it can survive for long periods in dry foods including tree nuts and spices (Farakos et al., 2017; Xie et al., 2022). The amount of </w:t>
      </w:r>
      <w:r w:rsidRPr="00F301B0">
        <w:rPr>
          <w:i/>
          <w:iCs/>
        </w:rPr>
        <w:t>Salmonella</w:t>
      </w:r>
      <w:r>
        <w:t xml:space="preserve"> needed to cause illness can be very small. Data from multiple outbreaks suggest that as few as 36 bacterial cells may cause illness in half of the people who consume them (Teunis et al., 2010).</w:t>
      </w:r>
    </w:p>
    <w:p w14:paraId="568C988B" w14:textId="4A31FE25" w:rsidR="00EF2732" w:rsidRDefault="00EF2732" w:rsidP="00EF2732">
      <w:r>
        <w:t xml:space="preserve">Studies show that </w:t>
      </w:r>
      <w:r w:rsidRPr="00F301B0">
        <w:rPr>
          <w:i/>
          <w:iCs/>
        </w:rPr>
        <w:t>Salmonella</w:t>
      </w:r>
      <w:r>
        <w:t xml:space="preserve"> can also survive on seaweeds. On inoculated</w:t>
      </w:r>
      <w:r w:rsidR="00B67A7C">
        <w:t xml:space="preserve"> </w:t>
      </w:r>
      <w:r w:rsidR="00B67A7C">
        <w:rPr>
          <w:i/>
        </w:rPr>
        <w:t>Saccharina latissima</w:t>
      </w:r>
      <w:r>
        <w:t xml:space="preserve"> </w:t>
      </w:r>
      <w:r w:rsidR="00B67A7C">
        <w:t>(</w:t>
      </w:r>
      <w:r>
        <w:t>sugar kelp</w:t>
      </w:r>
      <w:r w:rsidR="00B67A7C">
        <w:t>)</w:t>
      </w:r>
      <w:r>
        <w:t xml:space="preserve">, bacterial levels increased by more than 90% within just three hours at room temperature (71.6 °F / 22 °C) (Akomea-Frempong et al., 2023). Another study found similar results, with population growth of up to 90% after 48 hours at room temperature (Vorse et al., 2023). Storing </w:t>
      </w:r>
      <w:r w:rsidR="00B67A7C">
        <w:rPr>
          <w:i/>
        </w:rPr>
        <w:t>Saccharina latissima</w:t>
      </w:r>
      <w:r w:rsidR="00B67A7C">
        <w:t xml:space="preserve"> </w:t>
      </w:r>
      <w:r>
        <w:t xml:space="preserve">under refrigeration—either at 50 °F (10 °C) or 40 °F (4.4°C)—for up to seven days prevented further </w:t>
      </w:r>
      <w:r w:rsidR="00F301B0">
        <w:t>growth but</w:t>
      </w:r>
      <w:r>
        <w:t xml:space="preserve"> did not reduce bacterial numbers (</w:t>
      </w:r>
      <w:r w:rsidR="00F301B0" w:rsidRPr="00F301B0">
        <w:t>Akomea-Frempong et al., 2023</w:t>
      </w:r>
      <w:r w:rsidR="00F301B0">
        <w:t xml:space="preserve">; </w:t>
      </w:r>
      <w:r>
        <w:t>Vorse et al., 2023). Results were different for rockweed (</w:t>
      </w:r>
      <w:r w:rsidRPr="00F301B0">
        <w:rPr>
          <w:i/>
          <w:iCs/>
        </w:rPr>
        <w:t>Ascophyllum</w:t>
      </w:r>
      <w:r>
        <w:t xml:space="preserve"> </w:t>
      </w:r>
      <w:r w:rsidRPr="00F301B0">
        <w:rPr>
          <w:i/>
          <w:iCs/>
        </w:rPr>
        <w:t>nodosum</w:t>
      </w:r>
      <w:r>
        <w:t>). In this species, Salmonella levels dropped after 48 hours at room temperature and stayed the same under refrigeration (Vorse et al., 2023).</w:t>
      </w:r>
    </w:p>
    <w:p w14:paraId="6AC4E49C" w14:textId="2F065ECF" w:rsidR="00EF2732" w:rsidRDefault="00EF2732" w:rsidP="00846B8F">
      <w:pPr>
        <w:pStyle w:val="Heading3"/>
        <w:numPr>
          <w:ilvl w:val="2"/>
          <w:numId w:val="156"/>
        </w:numPr>
      </w:pPr>
      <w:bookmarkStart w:id="182" w:name="_Toc208503262"/>
      <w:r>
        <w:t xml:space="preserve">Vibrio </w:t>
      </w:r>
      <w:r w:rsidR="00F301B0">
        <w:t>S</w:t>
      </w:r>
      <w:r>
        <w:t>pecies</w:t>
      </w:r>
      <w:bookmarkEnd w:id="182"/>
    </w:p>
    <w:p w14:paraId="1E83315B" w14:textId="15938731" w:rsidR="00EF2732" w:rsidRDefault="00EF2732" w:rsidP="00B64049">
      <w:pPr>
        <w:spacing w:before="240"/>
      </w:pPr>
      <w:r w:rsidRPr="00F301B0">
        <w:rPr>
          <w:i/>
          <w:iCs/>
        </w:rPr>
        <w:t>Vibrio</w:t>
      </w:r>
      <w:r>
        <w:t xml:space="preserve"> bacteria are common in marine environments, making them some of the most likely pathogens to be present on seaweeds. Similar to </w:t>
      </w:r>
      <w:r w:rsidRPr="00F301B0">
        <w:rPr>
          <w:i/>
          <w:iCs/>
        </w:rPr>
        <w:t>E. coli</w:t>
      </w:r>
      <w:r>
        <w:t xml:space="preserve">, not all </w:t>
      </w:r>
      <w:r w:rsidRPr="00F301B0">
        <w:rPr>
          <w:i/>
          <w:iCs/>
        </w:rPr>
        <w:t>Vibrio</w:t>
      </w:r>
      <w:r>
        <w:t xml:space="preserve"> species are harmful to humans. However, three species are of particular concern for foodborne illness: </w:t>
      </w:r>
      <w:r w:rsidRPr="00F301B0">
        <w:rPr>
          <w:i/>
          <w:iCs/>
        </w:rPr>
        <w:t>Vibrio</w:t>
      </w:r>
      <w:r>
        <w:t xml:space="preserve"> </w:t>
      </w:r>
      <w:r w:rsidRPr="00F301B0">
        <w:rPr>
          <w:i/>
          <w:iCs/>
        </w:rPr>
        <w:t>parahaemolyticus</w:t>
      </w:r>
      <w:r>
        <w:t xml:space="preserve">, </w:t>
      </w:r>
      <w:r w:rsidRPr="00F301B0">
        <w:rPr>
          <w:i/>
          <w:iCs/>
        </w:rPr>
        <w:t>Vibrio</w:t>
      </w:r>
      <w:r>
        <w:t xml:space="preserve"> </w:t>
      </w:r>
      <w:r w:rsidRPr="00F301B0">
        <w:rPr>
          <w:i/>
          <w:iCs/>
        </w:rPr>
        <w:t>cholerae</w:t>
      </w:r>
      <w:r>
        <w:t xml:space="preserve">, and </w:t>
      </w:r>
      <w:r w:rsidRPr="00F301B0">
        <w:rPr>
          <w:i/>
          <w:iCs/>
        </w:rPr>
        <w:t>Vibrio</w:t>
      </w:r>
      <w:r>
        <w:t xml:space="preserve"> </w:t>
      </w:r>
      <w:r w:rsidRPr="00F301B0">
        <w:rPr>
          <w:i/>
          <w:iCs/>
        </w:rPr>
        <w:t>vulnificus</w:t>
      </w:r>
      <w:r>
        <w:t xml:space="preserve">. The infectious dose (the amount needed to cause illness) can vary. For </w:t>
      </w:r>
      <w:r w:rsidRPr="00F301B0">
        <w:rPr>
          <w:i/>
          <w:iCs/>
        </w:rPr>
        <w:t>Vibrio</w:t>
      </w:r>
      <w:r>
        <w:t xml:space="preserve"> </w:t>
      </w:r>
      <w:r w:rsidRPr="00F301B0">
        <w:rPr>
          <w:i/>
          <w:iCs/>
        </w:rPr>
        <w:t>parahaemolyticus</w:t>
      </w:r>
      <w:r>
        <w:t xml:space="preserve">, experimental studies have estimated a range of 10,000 to 100,000 bacterial cells (Sanyal &amp; Sen, 1974). However, evidence from a 1997 outbreak of vibriosis linked to raw oysters showed contamination levels between 2,000 and 11,000 cells per oyster (CDC, 1997), suggesting illness may occur at lower doses under certain conditions. Seaweed studies show mixed results for </w:t>
      </w:r>
      <w:r w:rsidRPr="00F301B0">
        <w:rPr>
          <w:i/>
          <w:iCs/>
        </w:rPr>
        <w:t>Vibrio</w:t>
      </w:r>
      <w:r>
        <w:t xml:space="preserve"> survival. In one experiment,</w:t>
      </w:r>
      <w:r w:rsidR="00B67A7C">
        <w:t xml:space="preserve"> </w:t>
      </w:r>
      <w:r w:rsidR="00B67A7C">
        <w:rPr>
          <w:i/>
        </w:rPr>
        <w:t>Saccharina latissima</w:t>
      </w:r>
      <w:r>
        <w:t xml:space="preserve"> </w:t>
      </w:r>
      <w:r w:rsidR="00B67A7C">
        <w:t>(</w:t>
      </w:r>
      <w:r>
        <w:t>sugar kelp</w:t>
      </w:r>
      <w:r w:rsidR="00B67A7C">
        <w:t>)</w:t>
      </w:r>
      <w:r>
        <w:t xml:space="preserve"> blades inoculated with both </w:t>
      </w:r>
      <w:r w:rsidRPr="00F301B0">
        <w:rPr>
          <w:i/>
          <w:iCs/>
        </w:rPr>
        <w:t>V</w:t>
      </w:r>
      <w:r w:rsidR="00F301B0">
        <w:rPr>
          <w:i/>
          <w:iCs/>
        </w:rPr>
        <w:t>ibrio</w:t>
      </w:r>
      <w:r>
        <w:t xml:space="preserve"> </w:t>
      </w:r>
      <w:r w:rsidRPr="00F301B0">
        <w:rPr>
          <w:i/>
          <w:iCs/>
        </w:rPr>
        <w:t>parahaemolyticus</w:t>
      </w:r>
      <w:r>
        <w:t xml:space="preserve"> and </w:t>
      </w:r>
      <w:r w:rsidRPr="00F301B0">
        <w:rPr>
          <w:i/>
          <w:iCs/>
        </w:rPr>
        <w:t>Vibrio</w:t>
      </w:r>
      <w:r>
        <w:t xml:space="preserve"> </w:t>
      </w:r>
      <w:r w:rsidRPr="00F301B0">
        <w:rPr>
          <w:i/>
          <w:iCs/>
        </w:rPr>
        <w:t>vulnificus</w:t>
      </w:r>
      <w:r>
        <w:t xml:space="preserve"> and stored under refrigeration for seven days showed a reduction of about 99.9% of the inoculated bacteria (Akomea-Frempong et al., 2023). In </w:t>
      </w:r>
      <w:r>
        <w:lastRenderedPageBreak/>
        <w:t>contrast, another study found that refrigeration of</w:t>
      </w:r>
      <w:r w:rsidR="00B67A7C">
        <w:t xml:space="preserve"> </w:t>
      </w:r>
      <w:r w:rsidR="00B67A7C">
        <w:rPr>
          <w:i/>
        </w:rPr>
        <w:t>Saccharina latissima</w:t>
      </w:r>
      <w:r w:rsidR="00B67A7C">
        <w:t xml:space="preserve"> (sugar kelp) or </w:t>
      </w:r>
      <w:r w:rsidR="00B67A7C">
        <w:rPr>
          <w:i/>
          <w:iCs/>
        </w:rPr>
        <w:t xml:space="preserve">Ascophyllum nodosum </w:t>
      </w:r>
      <w:r w:rsidR="00B67A7C">
        <w:t>(</w:t>
      </w:r>
      <w:r>
        <w:t xml:space="preserve">rockweed) at 50 °F (10 °C) or 40 °F (4 °C) kept </w:t>
      </w:r>
      <w:r w:rsidRPr="00F301B0">
        <w:rPr>
          <w:i/>
          <w:iCs/>
        </w:rPr>
        <w:t>Vibrio</w:t>
      </w:r>
      <w:r>
        <w:t xml:space="preserve"> </w:t>
      </w:r>
      <w:r w:rsidRPr="00F301B0">
        <w:rPr>
          <w:i/>
          <w:iCs/>
        </w:rPr>
        <w:t>parahaemolyticus</w:t>
      </w:r>
      <w:r>
        <w:t xml:space="preserve"> populations stable, while ambient storage for 48 hours caused a 90–99% increase in </w:t>
      </w:r>
      <w:r w:rsidRPr="00F301B0">
        <w:rPr>
          <w:i/>
          <w:iCs/>
        </w:rPr>
        <w:t>Vibrio</w:t>
      </w:r>
      <w:r>
        <w:t xml:space="preserve"> </w:t>
      </w:r>
      <w:r w:rsidRPr="00F301B0">
        <w:rPr>
          <w:i/>
          <w:iCs/>
        </w:rPr>
        <w:t>parahaemolyticus</w:t>
      </w:r>
      <w:r>
        <w:t xml:space="preserve"> on sugar kelp but no increase on rockweed (Vorse et al., 2023). In this same study, </w:t>
      </w:r>
      <w:r w:rsidRPr="00F301B0">
        <w:rPr>
          <w:i/>
          <w:iCs/>
        </w:rPr>
        <w:t>Vibrio</w:t>
      </w:r>
      <w:r>
        <w:t xml:space="preserve"> </w:t>
      </w:r>
      <w:r w:rsidRPr="00F301B0">
        <w:rPr>
          <w:i/>
          <w:iCs/>
        </w:rPr>
        <w:t>vulnificus</w:t>
      </w:r>
      <w:r>
        <w:t xml:space="preserve"> behaved differently: its numbers decreased significantly (by more than 90%) during refrigerated storage of sugar kelp but increased slightly at ambient temperature. For rockweed, refrigeration led to a significant reduction in </w:t>
      </w:r>
      <w:r w:rsidRPr="00F301B0">
        <w:rPr>
          <w:i/>
          <w:iCs/>
        </w:rPr>
        <w:t>Vibrio</w:t>
      </w:r>
      <w:r>
        <w:t xml:space="preserve"> </w:t>
      </w:r>
      <w:r w:rsidRPr="00F301B0">
        <w:rPr>
          <w:i/>
          <w:iCs/>
        </w:rPr>
        <w:t>vulnificus</w:t>
      </w:r>
      <w:r>
        <w:t xml:space="preserve"> levels.</w:t>
      </w:r>
    </w:p>
    <w:p w14:paraId="2A092D20" w14:textId="77777777" w:rsidR="00EF2732" w:rsidRDefault="00EF2732" w:rsidP="00846B8F">
      <w:pPr>
        <w:pStyle w:val="Heading3"/>
        <w:numPr>
          <w:ilvl w:val="2"/>
          <w:numId w:val="156"/>
        </w:numPr>
      </w:pPr>
      <w:bookmarkStart w:id="183" w:name="_Toc208503263"/>
      <w:r>
        <w:t>Listeria monocytogenes</w:t>
      </w:r>
      <w:bookmarkEnd w:id="183"/>
    </w:p>
    <w:p w14:paraId="3D14FFE3" w14:textId="6EAB1118" w:rsidR="00EF2732" w:rsidRDefault="00EF2732" w:rsidP="00B64049">
      <w:pPr>
        <w:spacing w:before="240"/>
      </w:pPr>
      <w:r w:rsidRPr="00F301B0">
        <w:rPr>
          <w:i/>
          <w:iCs/>
        </w:rPr>
        <w:t>Listeria</w:t>
      </w:r>
      <w:r>
        <w:t xml:space="preserve"> </w:t>
      </w:r>
      <w:r w:rsidRPr="00F301B0">
        <w:rPr>
          <w:i/>
          <w:iCs/>
        </w:rPr>
        <w:t>monocytogenes</w:t>
      </w:r>
      <w:r>
        <w:t xml:space="preserve"> is one of the most dangerous foodborne bacterial pathogens (Jordan &amp; McAuliffe, 2018). It can grow at temperatures below 32°F (0°C) and can cause a serious invasive illness called </w:t>
      </w:r>
      <w:r w:rsidRPr="00F301B0">
        <w:rPr>
          <w:b/>
          <w:bCs/>
        </w:rPr>
        <w:t>listeriosis</w:t>
      </w:r>
      <w:r>
        <w:t xml:space="preserve">. In pregnant women, listeriosis often results in miscarriage or fetal health problems. This pathogen is known for its ability to survive and grow in hard-to-clean areas of food processing facilities, making it a key target for routine environmental sampling. In </w:t>
      </w:r>
      <w:hyperlink w:anchor="RTE" w:tooltip="Foods being sold with the intention of being consumed without any further processing or preparation." w:history="1">
        <w:r w:rsidRPr="00AE1C32">
          <w:rPr>
            <w:rStyle w:val="Hyperlink"/>
          </w:rPr>
          <w:t>ready-to-eat (RTE)</w:t>
        </w:r>
      </w:hyperlink>
      <w:r>
        <w:t xml:space="preserve"> foods, the presence of </w:t>
      </w:r>
      <w:r w:rsidRPr="00F301B0">
        <w:rPr>
          <w:i/>
          <w:iCs/>
        </w:rPr>
        <w:t>L</w:t>
      </w:r>
      <w:r w:rsidR="00F301B0" w:rsidRPr="00F301B0">
        <w:rPr>
          <w:i/>
          <w:iCs/>
        </w:rPr>
        <w:t>isteria</w:t>
      </w:r>
      <w:r>
        <w:t xml:space="preserve"> </w:t>
      </w:r>
      <w:r w:rsidRPr="00F301B0">
        <w:rPr>
          <w:i/>
          <w:iCs/>
        </w:rPr>
        <w:t>monocytogenes</w:t>
      </w:r>
      <w:r>
        <w:t xml:space="preserve"> is considered an adulterant, meaning any RTE food that tests positive for the pathogen is illegal to sell. Although refrigeration slows its growth, </w:t>
      </w:r>
      <w:r w:rsidRPr="00F301B0">
        <w:rPr>
          <w:i/>
          <w:iCs/>
        </w:rPr>
        <w:t>Listeria</w:t>
      </w:r>
      <w:r>
        <w:t xml:space="preserve"> </w:t>
      </w:r>
      <w:r w:rsidRPr="00F301B0">
        <w:rPr>
          <w:i/>
          <w:iCs/>
        </w:rPr>
        <w:t>monocytogenes</w:t>
      </w:r>
      <w:r>
        <w:t xml:space="preserve"> can still multiply at proper cold storage temperatures. The time between eating contaminated food and showing symptoms (the incubation period) can be several weeks, making it difficult to link illness to a specific food in outbreak investigations. Based on available data, the estimated dose required to make half of the general population sick (ID₅₀) is more than 100 million cells (Pouillot et al., 2015).</w:t>
      </w:r>
    </w:p>
    <w:p w14:paraId="69A98A71" w14:textId="38B4D6F1" w:rsidR="00EF2732" w:rsidRDefault="00EF2732" w:rsidP="00EF2732">
      <w:r>
        <w:t xml:space="preserve">In seaweed studies, </w:t>
      </w:r>
      <w:r w:rsidRPr="00F301B0">
        <w:rPr>
          <w:i/>
          <w:iCs/>
        </w:rPr>
        <w:t>Listeria</w:t>
      </w:r>
      <w:r>
        <w:t xml:space="preserve"> </w:t>
      </w:r>
      <w:r w:rsidRPr="00F301B0">
        <w:rPr>
          <w:i/>
          <w:iCs/>
        </w:rPr>
        <w:t>monocytogenes</w:t>
      </w:r>
      <w:r>
        <w:t xml:space="preserve"> has shown different survival patterns depending on species and storage conditions. On </w:t>
      </w:r>
      <w:r w:rsidRPr="00F301B0">
        <w:rPr>
          <w:i/>
          <w:iCs/>
        </w:rPr>
        <w:t>Saccharina</w:t>
      </w:r>
      <w:r>
        <w:t xml:space="preserve"> </w:t>
      </w:r>
      <w:r w:rsidRPr="00F301B0">
        <w:rPr>
          <w:i/>
          <w:iCs/>
        </w:rPr>
        <w:t>latissima</w:t>
      </w:r>
      <w:r>
        <w:t xml:space="preserve">, populations increased between 4 and 8 hours at room temperature (Akomea-Frempong et al., 2023). Refrigerated storage at 50 °F (10 °C) or 40 °F (4 °C) reduced populations by about 3 log CFU/g after seven days. In another study, room temperature storage for 48 hours caused a significant decrease in </w:t>
      </w:r>
      <w:r w:rsidRPr="00F301B0">
        <w:rPr>
          <w:i/>
          <w:iCs/>
        </w:rPr>
        <w:t>L</w:t>
      </w:r>
      <w:r w:rsidR="00F301B0" w:rsidRPr="00F301B0">
        <w:rPr>
          <w:i/>
          <w:iCs/>
        </w:rPr>
        <w:t>isteria</w:t>
      </w:r>
      <w:r>
        <w:t xml:space="preserve"> </w:t>
      </w:r>
      <w:r w:rsidRPr="00F301B0">
        <w:rPr>
          <w:i/>
          <w:iCs/>
        </w:rPr>
        <w:t>monocytogenes</w:t>
      </w:r>
      <w:r>
        <w:t xml:space="preserve"> levels, while refrigeration kept populations stable (Vorse et al., 2023). On rockweed (</w:t>
      </w:r>
      <w:r w:rsidRPr="00F301B0">
        <w:rPr>
          <w:i/>
          <w:iCs/>
        </w:rPr>
        <w:t>Ascophyllum</w:t>
      </w:r>
      <w:r>
        <w:t xml:space="preserve"> </w:t>
      </w:r>
      <w:r w:rsidRPr="00F301B0">
        <w:rPr>
          <w:i/>
          <w:iCs/>
        </w:rPr>
        <w:t>nodosum</w:t>
      </w:r>
      <w:r>
        <w:t>), Listeria monocytogenes levels remained unchanged regardless of storage temperature (Vorse et al., 2023).</w:t>
      </w:r>
    </w:p>
    <w:p w14:paraId="28310F3B" w14:textId="77777777" w:rsidR="00EF2732" w:rsidRDefault="00EF2732" w:rsidP="00846B8F">
      <w:pPr>
        <w:pStyle w:val="Heading3"/>
        <w:numPr>
          <w:ilvl w:val="2"/>
          <w:numId w:val="156"/>
        </w:numPr>
      </w:pPr>
      <w:bookmarkStart w:id="184" w:name="_Toc208503264"/>
      <w:r>
        <w:t>Staphylococcus aureus</w:t>
      </w:r>
      <w:bookmarkEnd w:id="184"/>
    </w:p>
    <w:p w14:paraId="7D221FC6" w14:textId="577AF20A" w:rsidR="00EF2732" w:rsidRDefault="00EF2732" w:rsidP="00B64049">
      <w:pPr>
        <w:spacing w:before="240"/>
      </w:pPr>
      <w:r>
        <w:t xml:space="preserve">The original source (reservoir) of </w:t>
      </w:r>
      <w:r w:rsidRPr="00F301B0">
        <w:rPr>
          <w:i/>
          <w:iCs/>
        </w:rPr>
        <w:t>Staphylococcus</w:t>
      </w:r>
      <w:r>
        <w:t xml:space="preserve"> </w:t>
      </w:r>
      <w:r w:rsidRPr="00F301B0">
        <w:rPr>
          <w:i/>
          <w:iCs/>
        </w:rPr>
        <w:t>aureus</w:t>
      </w:r>
      <w:r>
        <w:t xml:space="preserve"> is human skin and mucous membranes. Because of this, contamination of seaweed products is most likely to occur during handling and processing, rather than during harvest from the marine environment. Illness from </w:t>
      </w:r>
      <w:r w:rsidR="00F301B0" w:rsidRPr="00F301B0">
        <w:rPr>
          <w:i/>
          <w:iCs/>
        </w:rPr>
        <w:t>Staphylococcus</w:t>
      </w:r>
      <w:r>
        <w:t xml:space="preserve"> </w:t>
      </w:r>
      <w:r w:rsidRPr="00F301B0">
        <w:rPr>
          <w:i/>
          <w:iCs/>
        </w:rPr>
        <w:t>aureus</w:t>
      </w:r>
      <w:r>
        <w:t xml:space="preserve"> occurs when a person eats food containing a toxin the bacteria have already produced. This toxin is only made when the bacterial population reaches high levels and when storage temperatures are above 50 °F (10 °C) (Bergdoll &amp; Wong, 2006). As a result, toxin </w:t>
      </w:r>
      <w:r>
        <w:lastRenderedPageBreak/>
        <w:t xml:space="preserve">production typically occurs only if the product has been temperature abused—kept in conditions that allow bacterial growth. Once formed, the toxin is heat-stable, meaning it will survive cooking or other heat treatments and cannot be removed from the food. In a storage study, </w:t>
      </w:r>
      <w:r w:rsidRPr="00F301B0">
        <w:rPr>
          <w:i/>
          <w:iCs/>
        </w:rPr>
        <w:t>Staphylococcus</w:t>
      </w:r>
      <w:r>
        <w:t xml:space="preserve"> </w:t>
      </w:r>
      <w:r w:rsidRPr="00F301B0">
        <w:rPr>
          <w:i/>
          <w:iCs/>
        </w:rPr>
        <w:t>aureus</w:t>
      </w:r>
      <w:r>
        <w:t xml:space="preserve"> populations on </w:t>
      </w:r>
      <w:r w:rsidRPr="00F301B0">
        <w:rPr>
          <w:i/>
          <w:iCs/>
        </w:rPr>
        <w:t>Saccharina</w:t>
      </w:r>
      <w:r>
        <w:t xml:space="preserve"> </w:t>
      </w:r>
      <w:r w:rsidRPr="00F301B0">
        <w:rPr>
          <w:i/>
          <w:iCs/>
        </w:rPr>
        <w:t>latissima</w:t>
      </w:r>
      <w:r>
        <w:t xml:space="preserve"> and </w:t>
      </w:r>
      <w:r w:rsidRPr="00F301B0">
        <w:rPr>
          <w:i/>
          <w:iCs/>
        </w:rPr>
        <w:t>Ascophyllum</w:t>
      </w:r>
      <w:r>
        <w:t xml:space="preserve"> </w:t>
      </w:r>
      <w:r w:rsidRPr="00F301B0">
        <w:rPr>
          <w:i/>
          <w:iCs/>
        </w:rPr>
        <w:t>nodosum</w:t>
      </w:r>
      <w:r>
        <w:t xml:space="preserve"> decreased significantly under both ambient and refrigerated conditions (Vorse et al., 2023).</w:t>
      </w:r>
    </w:p>
    <w:p w14:paraId="2129EADD" w14:textId="6E1B9BE4" w:rsidR="00EF2732" w:rsidRPr="00F301B0" w:rsidRDefault="00EF2732" w:rsidP="00846B8F">
      <w:pPr>
        <w:pStyle w:val="Heading3"/>
        <w:numPr>
          <w:ilvl w:val="2"/>
          <w:numId w:val="156"/>
        </w:numPr>
      </w:pPr>
      <w:bookmarkStart w:id="185" w:name="_Toc208503265"/>
      <w:r w:rsidRPr="00F301B0">
        <w:t xml:space="preserve">Campylobacter </w:t>
      </w:r>
      <w:r w:rsidR="00F301B0" w:rsidRPr="00F301B0">
        <w:t>S</w:t>
      </w:r>
      <w:r w:rsidRPr="00F301B0">
        <w:t>pecies</w:t>
      </w:r>
      <w:bookmarkEnd w:id="185"/>
    </w:p>
    <w:p w14:paraId="6023E48B" w14:textId="77777777" w:rsidR="00EF2732" w:rsidRDefault="00EF2732" w:rsidP="00B64049">
      <w:pPr>
        <w:spacing w:before="240"/>
      </w:pPr>
      <w:r>
        <w:t xml:space="preserve">Compared to other bacterial pathogens discussed in this chapter, there is relatively little research on how </w:t>
      </w:r>
      <w:r w:rsidRPr="00D37216">
        <w:rPr>
          <w:i/>
          <w:iCs/>
        </w:rPr>
        <w:t>Campylobacter</w:t>
      </w:r>
      <w:r>
        <w:t xml:space="preserve"> species survive on foods other than poultry. </w:t>
      </w:r>
      <w:r w:rsidRPr="00D37216">
        <w:rPr>
          <w:i/>
          <w:iCs/>
        </w:rPr>
        <w:t>Campylobacter</w:t>
      </w:r>
      <w:r>
        <w:t xml:space="preserve"> was first recognized as a human pathogen in 1973, making it a relatively recent concern in food safety. It is unusual in that it requires a microaerophilic environment (one with less oxygen than normal air but not completely without oxygen) to grow. Because of this, it cannot multiply in standard ambient air conditions. This pathogen is included here because it has been detected on beach-cast seaweed (</w:t>
      </w:r>
      <w:r w:rsidRPr="00D37216">
        <w:rPr>
          <w:i/>
          <w:iCs/>
        </w:rPr>
        <w:t>Furcellaria</w:t>
      </w:r>
      <w:r>
        <w:t xml:space="preserve"> </w:t>
      </w:r>
      <w:r w:rsidRPr="00D37216">
        <w:rPr>
          <w:i/>
          <w:iCs/>
        </w:rPr>
        <w:t>lumbricalis</w:t>
      </w:r>
      <w:r>
        <w:t xml:space="preserve">) (Kalvaitienė et al., 2024) and in shellfish grown in floating cages (Caron et al., 2023). However, the infectious dose for humans is not well established. Some studies have shown that as few as 800 cells of </w:t>
      </w:r>
      <w:r w:rsidRPr="00D37216">
        <w:rPr>
          <w:i/>
          <w:iCs/>
        </w:rPr>
        <w:t>Campylobacter</w:t>
      </w:r>
      <w:r>
        <w:t xml:space="preserve"> </w:t>
      </w:r>
      <w:r w:rsidRPr="00D37216">
        <w:rPr>
          <w:i/>
          <w:iCs/>
        </w:rPr>
        <w:t>jejuni</w:t>
      </w:r>
      <w:r>
        <w:t xml:space="preserve"> can cause illness, but the relationship between dose and illness does not follow the typical pattern seen in other pathogens (Black et al., 1988), making it difficult to assess the exact risk. </w:t>
      </w:r>
      <w:r w:rsidRPr="00D37216">
        <w:rPr>
          <w:i/>
          <w:iCs/>
        </w:rPr>
        <w:t>Campylobacter</w:t>
      </w:r>
      <w:r>
        <w:t xml:space="preserve"> is easily damaged by exposure to oxygen, so its numbers are generally expected to decline in most foods over time. However, the rate of decline varies depending on the specific food type and storage conditions (Kärenlampi &amp; Hänninen, 2004).</w:t>
      </w:r>
    </w:p>
    <w:p w14:paraId="5C03948B" w14:textId="7A99BB23" w:rsidR="00EF2732" w:rsidRDefault="00EF2732" w:rsidP="00846B8F">
      <w:pPr>
        <w:pStyle w:val="Heading3"/>
        <w:numPr>
          <w:ilvl w:val="2"/>
          <w:numId w:val="156"/>
        </w:numPr>
      </w:pPr>
      <w:bookmarkStart w:id="186" w:name="_Toc208503266"/>
      <w:r>
        <w:t xml:space="preserve">Clostridium </w:t>
      </w:r>
      <w:r w:rsidR="00D37216">
        <w:t>S</w:t>
      </w:r>
      <w:r>
        <w:t>pecies</w:t>
      </w:r>
      <w:bookmarkEnd w:id="186"/>
    </w:p>
    <w:p w14:paraId="10666F7E" w14:textId="15D86B68" w:rsidR="00EF2732" w:rsidRDefault="00EF2732" w:rsidP="00B64049">
      <w:pPr>
        <w:spacing w:before="240"/>
      </w:pPr>
      <w:r>
        <w:t xml:space="preserve">Members of the </w:t>
      </w:r>
      <w:r w:rsidRPr="00D37216">
        <w:rPr>
          <w:i/>
          <w:iCs/>
        </w:rPr>
        <w:t>Clostridium</w:t>
      </w:r>
      <w:r>
        <w:t xml:space="preserve"> genus are spore-forming bacteria that grow best in environments without oxygen. </w:t>
      </w:r>
      <w:r w:rsidRPr="00D37216">
        <w:rPr>
          <w:i/>
          <w:iCs/>
        </w:rPr>
        <w:t>Clostridium</w:t>
      </w:r>
      <w:r>
        <w:t xml:space="preserve"> </w:t>
      </w:r>
      <w:r w:rsidRPr="00D37216">
        <w:rPr>
          <w:i/>
          <w:iCs/>
        </w:rPr>
        <w:t>botulinum</w:t>
      </w:r>
      <w:r>
        <w:t xml:space="preserve"> is discussed separately in </w:t>
      </w:r>
      <w:hyperlink w:anchor="_Clostridium_botulinum_Toxin" w:history="1">
        <w:r w:rsidRPr="002033A6">
          <w:rPr>
            <w:rStyle w:val="Hyperlink"/>
          </w:rPr>
          <w:t>Chapter 12</w:t>
        </w:r>
      </w:hyperlink>
      <w:r>
        <w:t xml:space="preserve"> and will not be covered here.</w:t>
      </w:r>
    </w:p>
    <w:p w14:paraId="44CFE3D4" w14:textId="77777777" w:rsidR="00EF2732" w:rsidRDefault="00EF2732" w:rsidP="00EF2732">
      <w:r w:rsidRPr="00D37216">
        <w:rPr>
          <w:i/>
          <w:iCs/>
        </w:rPr>
        <w:t>Clostridium</w:t>
      </w:r>
      <w:r>
        <w:t xml:space="preserve"> </w:t>
      </w:r>
      <w:r w:rsidRPr="00D37216">
        <w:rPr>
          <w:i/>
          <w:iCs/>
        </w:rPr>
        <w:t>perfringens</w:t>
      </w:r>
      <w:r>
        <w:t xml:space="preserve"> is one of the five most common causes of bacterial foodborne illness in the United States and is most often linked to temperature abuse. Illness occurs when the bacteria are consumed in food and then produce toxins in the intestines during spore formation. Because large numbers of </w:t>
      </w:r>
      <w:r w:rsidRPr="00D37216">
        <w:rPr>
          <w:i/>
          <w:iCs/>
        </w:rPr>
        <w:t>Clostridium</w:t>
      </w:r>
      <w:r>
        <w:t xml:space="preserve"> </w:t>
      </w:r>
      <w:r w:rsidRPr="00D37216">
        <w:rPr>
          <w:i/>
          <w:iCs/>
        </w:rPr>
        <w:t>perfringens</w:t>
      </w:r>
      <w:r>
        <w:t xml:space="preserve"> are needed to cause illness, proper refrigeration is an effective control strategy. However, this pathogen has been found in seaweed. In a 2006 survey of retail products in Korea, </w:t>
      </w:r>
      <w:r w:rsidRPr="00D37216">
        <w:rPr>
          <w:i/>
          <w:iCs/>
        </w:rPr>
        <w:t>Clostridium</w:t>
      </w:r>
      <w:r>
        <w:t xml:space="preserve"> </w:t>
      </w:r>
      <w:r w:rsidRPr="00D37216">
        <w:rPr>
          <w:i/>
          <w:iCs/>
        </w:rPr>
        <w:t>perfringens</w:t>
      </w:r>
      <w:r>
        <w:t xml:space="preserve"> was detected in two samples of unprocessed brown seaweeds (Kim et al., 2006).</w:t>
      </w:r>
    </w:p>
    <w:p w14:paraId="7664188D" w14:textId="419AA314" w:rsidR="00EF2732" w:rsidRPr="00D37216" w:rsidRDefault="00EF2732" w:rsidP="00846B8F">
      <w:pPr>
        <w:pStyle w:val="Heading3"/>
        <w:numPr>
          <w:ilvl w:val="2"/>
          <w:numId w:val="156"/>
        </w:numPr>
      </w:pPr>
      <w:bookmarkStart w:id="187" w:name="_Toc208503267"/>
      <w:r w:rsidRPr="00D37216">
        <w:t xml:space="preserve">Bacillus </w:t>
      </w:r>
      <w:r w:rsidR="00D37216" w:rsidRPr="00D37216">
        <w:t>S</w:t>
      </w:r>
      <w:r w:rsidRPr="00D37216">
        <w:t>pecies</w:t>
      </w:r>
      <w:bookmarkEnd w:id="187"/>
    </w:p>
    <w:p w14:paraId="790EBF92" w14:textId="3E21268C" w:rsidR="00EF2732" w:rsidRDefault="00EF2732" w:rsidP="00B64049">
      <w:pPr>
        <w:spacing w:before="240"/>
      </w:pPr>
      <w:r w:rsidRPr="00D37216">
        <w:rPr>
          <w:i/>
          <w:iCs/>
        </w:rPr>
        <w:t>Bacillus</w:t>
      </w:r>
      <w:r>
        <w:t xml:space="preserve"> species are widespread in the environment and are frequently found in many types of foods. Because they can form resistant spores, they often survive </w:t>
      </w:r>
      <w:hyperlink w:anchor="DryingDehydrating" w:tooltip="The natural (sun or air drying) or mechanical (dehydrator, oven, freeze drying, etc.) removal of water from a food or food product to reduce the water available for microbial growth (Aw). A commonly used method of food preservation." w:history="1">
        <w:r w:rsidRPr="00E1536C">
          <w:rPr>
            <w:rStyle w:val="Hyperlink"/>
          </w:rPr>
          <w:t>drying</w:t>
        </w:r>
      </w:hyperlink>
      <w:r>
        <w:t xml:space="preserve"> processes and are </w:t>
      </w:r>
      <w:r>
        <w:lastRenderedPageBreak/>
        <w:t xml:space="preserve">common in dried food products. Most </w:t>
      </w:r>
      <w:r w:rsidRPr="00D37216">
        <w:rPr>
          <w:i/>
          <w:iCs/>
        </w:rPr>
        <w:t>Bacillus</w:t>
      </w:r>
      <w:r>
        <w:t xml:space="preserve"> species are considered spoilage organisms rather than pathogens. However, </w:t>
      </w:r>
      <w:r w:rsidRPr="00D37216">
        <w:rPr>
          <w:i/>
          <w:iCs/>
        </w:rPr>
        <w:t>Bacillus</w:t>
      </w:r>
      <w:r>
        <w:t xml:space="preserve"> </w:t>
      </w:r>
      <w:r w:rsidRPr="00D37216">
        <w:rPr>
          <w:i/>
          <w:iCs/>
        </w:rPr>
        <w:t>cereus</w:t>
      </w:r>
      <w:r>
        <w:t xml:space="preserve"> is a well-known foodborne pathogen that can cause two types of illness: an emetic (vomiting) form and a diarrheal form. These illnesses are caused by two different toxins—one produced in the food before it is eaten (emetic), and the other produced in the intestines after consumption (diarrheal). Some strains of </w:t>
      </w:r>
      <w:r w:rsidRPr="00D37216">
        <w:rPr>
          <w:i/>
          <w:iCs/>
        </w:rPr>
        <w:t>Bacillus</w:t>
      </w:r>
      <w:r>
        <w:t xml:space="preserve"> </w:t>
      </w:r>
      <w:r w:rsidRPr="00D37216">
        <w:rPr>
          <w:i/>
          <w:iCs/>
        </w:rPr>
        <w:t>cereus</w:t>
      </w:r>
      <w:r>
        <w:t xml:space="preserve"> are </w:t>
      </w:r>
      <w:r w:rsidR="006D17D6">
        <w:t>psychrotrophic</w:t>
      </w:r>
      <w:r>
        <w:t xml:space="preserve">, meaning they can grow slowly even under refrigeration (Webb et al., 2019). The toxin responsible for the emetic form of illness is generally not produced until bacterial populations exceed about 10 million cells per gram of food (Schraft &amp; Griffiths, 2006). The diarrheal form, however, is believed to occur at much lower infectious doses. In a survey of retail products in Korea, </w:t>
      </w:r>
      <w:r w:rsidRPr="00D37216">
        <w:rPr>
          <w:i/>
          <w:iCs/>
        </w:rPr>
        <w:t>Bacillus</w:t>
      </w:r>
      <w:r>
        <w:t xml:space="preserve"> </w:t>
      </w:r>
      <w:r w:rsidRPr="00D37216">
        <w:rPr>
          <w:i/>
          <w:iCs/>
        </w:rPr>
        <w:t>cereus</w:t>
      </w:r>
      <w:r>
        <w:t xml:space="preserve"> was found in 20% of unprocessed brown seaweed samples at an average level of 100 colony-forming units (CFU) per gram, and in 10% of unprocessed laver samples at levels below 10 CFU/g (Kim et al., 2006).</w:t>
      </w:r>
    </w:p>
    <w:p w14:paraId="45D84909" w14:textId="77777777" w:rsidR="00EF2732" w:rsidRDefault="00EF2732" w:rsidP="00846B8F">
      <w:pPr>
        <w:pStyle w:val="Heading2"/>
        <w:numPr>
          <w:ilvl w:val="1"/>
          <w:numId w:val="156"/>
        </w:numPr>
      </w:pPr>
      <w:bookmarkStart w:id="188" w:name="_Toc208503268"/>
      <w:r>
        <w:t>Determining if the Hazard is Significant</w:t>
      </w:r>
      <w:bookmarkEnd w:id="188"/>
    </w:p>
    <w:p w14:paraId="1576C7FF" w14:textId="025ACEBF" w:rsidR="00EF2732" w:rsidRDefault="00EF2732" w:rsidP="00B64049">
      <w:pPr>
        <w:spacing w:before="240"/>
      </w:pPr>
      <w:r>
        <w:t>While the likelihood of pathogens being present in a seaweed cultivation area can vary depending on fixed factors (such as nearby land use) and changing conditions (such as weather and season), the presence of pathogens on harvested seaweed should be considered significant—</w:t>
      </w:r>
      <w:r w:rsidR="00173FBA">
        <w:t xml:space="preserve">either </w:t>
      </w:r>
      <w:r>
        <w:t>“reasonably likely to occur” (HACCP) or “hazard requiring a preventive control” (PCHF).</w:t>
      </w:r>
    </w:p>
    <w:p w14:paraId="08E3406E" w14:textId="77777777" w:rsidR="00EF2732" w:rsidRDefault="00EF2732" w:rsidP="00EF2732">
      <w:r>
        <w:t>Once harvest begins, seaweed temperature should be controlled as quickly and consistently as possible to reduce potential risks to public health. Extra care is needed when seaweed will be consumed raw.</w:t>
      </w:r>
    </w:p>
    <w:p w14:paraId="112B77AF" w14:textId="78E5A5A9" w:rsidR="00EF2732" w:rsidRDefault="00EF2732" w:rsidP="00846B8F">
      <w:pPr>
        <w:pStyle w:val="ListParagraph"/>
        <w:numPr>
          <w:ilvl w:val="0"/>
          <w:numId w:val="64"/>
        </w:numPr>
        <w:contextualSpacing w:val="0"/>
      </w:pPr>
      <w:r w:rsidRPr="00D37216">
        <w:rPr>
          <w:b/>
          <w:bCs/>
        </w:rPr>
        <w:t xml:space="preserve">Temperature </w:t>
      </w:r>
      <w:r w:rsidR="00D37216">
        <w:rPr>
          <w:b/>
          <w:bCs/>
        </w:rPr>
        <w:t>C</w:t>
      </w:r>
      <w:r w:rsidRPr="00D37216">
        <w:rPr>
          <w:b/>
          <w:bCs/>
        </w:rPr>
        <w:t xml:space="preserve">ontrol for </w:t>
      </w:r>
      <w:r w:rsidR="00D37216">
        <w:rPr>
          <w:b/>
          <w:bCs/>
        </w:rPr>
        <w:t>R</w:t>
      </w:r>
      <w:r w:rsidRPr="00D37216">
        <w:rPr>
          <w:b/>
          <w:bCs/>
        </w:rPr>
        <w:t xml:space="preserve">aw </w:t>
      </w:r>
      <w:r w:rsidR="00D37216">
        <w:rPr>
          <w:b/>
          <w:bCs/>
        </w:rPr>
        <w:t>C</w:t>
      </w:r>
      <w:r w:rsidRPr="00D37216">
        <w:rPr>
          <w:b/>
          <w:bCs/>
        </w:rPr>
        <w:t>onsumption:</w:t>
      </w:r>
      <w:r>
        <w:t xml:space="preserve"> Seaweed intended to be eaten raw should be cooled to below 40 °F (4.4 °C) using ice, gel packs, or mechanical refrigeration within two hours from the start of harvest.</w:t>
      </w:r>
    </w:p>
    <w:p w14:paraId="4B9B1F22" w14:textId="6F7DF79F" w:rsidR="00EF2732" w:rsidRDefault="00EF2732" w:rsidP="00846B8F">
      <w:pPr>
        <w:pStyle w:val="ListParagraph"/>
        <w:numPr>
          <w:ilvl w:val="0"/>
          <w:numId w:val="64"/>
        </w:numPr>
        <w:contextualSpacing w:val="0"/>
      </w:pPr>
      <w:r w:rsidRPr="00D37216">
        <w:rPr>
          <w:b/>
          <w:bCs/>
        </w:rPr>
        <w:t xml:space="preserve">Using </w:t>
      </w:r>
      <w:r w:rsidR="00D37216">
        <w:rPr>
          <w:b/>
          <w:bCs/>
        </w:rPr>
        <w:t>I</w:t>
      </w:r>
      <w:r w:rsidRPr="00D37216">
        <w:rPr>
          <w:b/>
          <w:bCs/>
        </w:rPr>
        <w:t>ce:</w:t>
      </w:r>
      <w:r>
        <w:t xml:space="preserve"> If ice is used, place a clean barrier (such as a plastic bag) between the ice and the seaweed to prevent freezing damage, quality loss from freshwater melt, and possible contamination from the freshwater source.</w:t>
      </w:r>
    </w:p>
    <w:p w14:paraId="19063BC9" w14:textId="42327A8E" w:rsidR="00EF2732" w:rsidRDefault="00EF2732" w:rsidP="00846B8F">
      <w:pPr>
        <w:pStyle w:val="ListParagraph"/>
        <w:numPr>
          <w:ilvl w:val="0"/>
          <w:numId w:val="64"/>
        </w:numPr>
        <w:contextualSpacing w:val="0"/>
      </w:pPr>
      <w:r w:rsidRPr="00D37216">
        <w:rPr>
          <w:b/>
          <w:bCs/>
        </w:rPr>
        <w:t xml:space="preserve">Using </w:t>
      </w:r>
      <w:r w:rsidR="00D37216">
        <w:rPr>
          <w:b/>
          <w:bCs/>
        </w:rPr>
        <w:t>G</w:t>
      </w:r>
      <w:r w:rsidRPr="00D37216">
        <w:rPr>
          <w:b/>
          <w:bCs/>
        </w:rPr>
        <w:t xml:space="preserve">el </w:t>
      </w:r>
      <w:r w:rsidR="00D37216">
        <w:rPr>
          <w:b/>
          <w:bCs/>
        </w:rPr>
        <w:t>P</w:t>
      </w:r>
      <w:r w:rsidRPr="00D37216">
        <w:rPr>
          <w:b/>
          <w:bCs/>
        </w:rPr>
        <w:t>acks:</w:t>
      </w:r>
      <w:r>
        <w:t xml:space="preserve"> Gel packs must be clean and sanitized before use. Use enough gel packs to ensure the seaweed cools quickly and stays at the proper temperature.</w:t>
      </w:r>
    </w:p>
    <w:p w14:paraId="6B645570" w14:textId="618C719B" w:rsidR="007E0747" w:rsidRDefault="00EF2732" w:rsidP="00846B8F">
      <w:pPr>
        <w:pStyle w:val="ListParagraph"/>
        <w:numPr>
          <w:ilvl w:val="0"/>
          <w:numId w:val="64"/>
        </w:numPr>
        <w:contextualSpacing w:val="0"/>
      </w:pPr>
      <w:r w:rsidRPr="00D37216">
        <w:rPr>
          <w:b/>
          <w:bCs/>
        </w:rPr>
        <w:t>Short-</w:t>
      </w:r>
      <w:r w:rsidR="00D37216">
        <w:rPr>
          <w:b/>
          <w:bCs/>
        </w:rPr>
        <w:t>T</w:t>
      </w:r>
      <w:r w:rsidRPr="00D37216">
        <w:rPr>
          <w:b/>
          <w:bCs/>
        </w:rPr>
        <w:t xml:space="preserve">erm </w:t>
      </w:r>
      <w:r w:rsidR="00D37216">
        <w:rPr>
          <w:b/>
          <w:bCs/>
        </w:rPr>
        <w:t>T</w:t>
      </w:r>
      <w:r w:rsidRPr="00D37216">
        <w:rPr>
          <w:b/>
          <w:bCs/>
        </w:rPr>
        <w:t xml:space="preserve">emperature </w:t>
      </w:r>
      <w:r w:rsidR="00D37216">
        <w:rPr>
          <w:b/>
          <w:bCs/>
        </w:rPr>
        <w:t>I</w:t>
      </w:r>
      <w:r w:rsidRPr="00D37216">
        <w:rPr>
          <w:b/>
          <w:bCs/>
        </w:rPr>
        <w:t>ncreases:</w:t>
      </w:r>
      <w:r>
        <w:t xml:space="preserve"> Brief exposures to temperatures above 40 °F generally do not make food unsafe, but the risk increases with the length of time at elevated temperatures. For detailed limits on allowable cumulative time above safe temperatures, refer to the </w:t>
      </w:r>
      <w:r w:rsidR="00D31328" w:rsidRPr="00D31328">
        <w:t>FDA</w:t>
      </w:r>
      <w:r w:rsidR="00D31328">
        <w:t>’s</w:t>
      </w:r>
      <w:r w:rsidRPr="00D37216">
        <w:rPr>
          <w:i/>
          <w:iCs/>
        </w:rPr>
        <w:t xml:space="preserve"> Draft Guidance for Industry: Hazard Analysis and Risk-Based Preventive Controls for Human Food</w:t>
      </w:r>
      <w:r>
        <w:t>, Appendix 3 (USFDA, 2024).</w:t>
      </w:r>
    </w:p>
    <w:p w14:paraId="02EDF3A0" w14:textId="095FFC03" w:rsidR="00D37216" w:rsidRPr="00D37216" w:rsidRDefault="00D37216" w:rsidP="00846B8F">
      <w:pPr>
        <w:pStyle w:val="Heading2"/>
        <w:numPr>
          <w:ilvl w:val="1"/>
          <w:numId w:val="156"/>
        </w:numPr>
      </w:pPr>
      <w:bookmarkStart w:id="189" w:name="_Toc208503269"/>
      <w:r>
        <w:lastRenderedPageBreak/>
        <w:t>Hazard Controls and Critical Control Points</w:t>
      </w:r>
      <w:bookmarkEnd w:id="189"/>
    </w:p>
    <w:p w14:paraId="41314D0B" w14:textId="26EC5138" w:rsidR="00045395" w:rsidRDefault="00045395" w:rsidP="00C54E07">
      <w:pPr>
        <w:pStyle w:val="Caption"/>
      </w:pPr>
      <w:r w:rsidRPr="00045395">
        <w:rPr>
          <w:b/>
          <w:bCs/>
        </w:rPr>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10</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3</w:t>
      </w:r>
      <w:r w:rsidR="00896F22">
        <w:rPr>
          <w:b/>
          <w:bCs/>
        </w:rPr>
        <w:fldChar w:fldCharType="end"/>
      </w:r>
      <w:r w:rsidRPr="00045395">
        <w:rPr>
          <w:b/>
          <w:bCs/>
        </w:rPr>
        <w:t>:</w:t>
      </w:r>
      <w:r>
        <w:rPr>
          <w:b/>
          <w:bCs/>
        </w:rPr>
        <w:t xml:space="preserve"> </w:t>
      </w:r>
      <w:r w:rsidRPr="00185FB3">
        <w:t>Control Strategies for Pathogen Growth Due to Temperature Abuse</w:t>
      </w:r>
    </w:p>
    <w:tbl>
      <w:tblPr>
        <w:tblStyle w:val="TableGrid"/>
        <w:tblW w:w="0" w:type="auto"/>
        <w:tblInd w:w="-5" w:type="dxa"/>
        <w:tblLook w:val="04A0" w:firstRow="1" w:lastRow="0" w:firstColumn="1" w:lastColumn="0" w:noHBand="0" w:noVBand="1"/>
      </w:tblPr>
      <w:tblGrid>
        <w:gridCol w:w="2700"/>
        <w:gridCol w:w="2220"/>
        <w:gridCol w:w="2460"/>
      </w:tblGrid>
      <w:tr w:rsidR="00D37216" w14:paraId="102DCC52" w14:textId="77777777" w:rsidTr="00F9694B">
        <w:trPr>
          <w:trHeight w:val="467"/>
        </w:trPr>
        <w:tc>
          <w:tcPr>
            <w:tcW w:w="2700" w:type="dxa"/>
            <w:vAlign w:val="bottom"/>
          </w:tcPr>
          <w:p w14:paraId="395574B9" w14:textId="77777777" w:rsidR="00D37216" w:rsidRPr="00EB199E" w:rsidRDefault="00D37216" w:rsidP="00DF5603">
            <w:pPr>
              <w:jc w:val="center"/>
              <w:rPr>
                <w:b/>
                <w:bCs/>
              </w:rPr>
            </w:pPr>
            <w:r w:rsidRPr="00EB199E">
              <w:rPr>
                <w:b/>
                <w:bCs/>
              </w:rPr>
              <w:t>Control Strategy</w:t>
            </w:r>
          </w:p>
        </w:tc>
        <w:tc>
          <w:tcPr>
            <w:tcW w:w="2220" w:type="dxa"/>
            <w:vAlign w:val="bottom"/>
          </w:tcPr>
          <w:p w14:paraId="1E6BC150" w14:textId="77777777" w:rsidR="00D37216" w:rsidRPr="00EB199E" w:rsidRDefault="00D37216" w:rsidP="00DF5603">
            <w:pPr>
              <w:jc w:val="center"/>
              <w:rPr>
                <w:b/>
                <w:bCs/>
              </w:rPr>
            </w:pPr>
            <w:r w:rsidRPr="00EB199E">
              <w:rPr>
                <w:b/>
                <w:bCs/>
              </w:rPr>
              <w:t>Primary</w:t>
            </w:r>
            <w:r>
              <w:rPr>
                <w:b/>
                <w:bCs/>
              </w:rPr>
              <w:t xml:space="preserve"> Processor</w:t>
            </w:r>
          </w:p>
        </w:tc>
        <w:tc>
          <w:tcPr>
            <w:tcW w:w="2460" w:type="dxa"/>
            <w:vAlign w:val="bottom"/>
          </w:tcPr>
          <w:p w14:paraId="26E3E751" w14:textId="77777777" w:rsidR="00D37216" w:rsidRPr="00EB199E" w:rsidRDefault="00D37216" w:rsidP="00DF5603">
            <w:pPr>
              <w:jc w:val="center"/>
              <w:rPr>
                <w:b/>
                <w:bCs/>
              </w:rPr>
            </w:pPr>
            <w:r w:rsidRPr="00EB199E">
              <w:rPr>
                <w:b/>
                <w:bCs/>
              </w:rPr>
              <w:t>Secondary</w:t>
            </w:r>
            <w:r>
              <w:rPr>
                <w:b/>
                <w:bCs/>
              </w:rPr>
              <w:t xml:space="preserve"> Processor</w:t>
            </w:r>
          </w:p>
        </w:tc>
      </w:tr>
      <w:tr w:rsidR="00D37216" w14:paraId="30687D94" w14:textId="77777777" w:rsidTr="00F9694B">
        <w:trPr>
          <w:trHeight w:val="521"/>
        </w:trPr>
        <w:tc>
          <w:tcPr>
            <w:tcW w:w="2700" w:type="dxa"/>
            <w:vAlign w:val="center"/>
          </w:tcPr>
          <w:p w14:paraId="48041A9D" w14:textId="72339A32" w:rsidR="00D37216" w:rsidRDefault="00D37216" w:rsidP="00DF5603">
            <w:r>
              <w:t>Transit Control / Supply Chain Preventive Control</w:t>
            </w:r>
          </w:p>
        </w:tc>
        <w:tc>
          <w:tcPr>
            <w:tcW w:w="2220" w:type="dxa"/>
            <w:vAlign w:val="center"/>
          </w:tcPr>
          <w:p w14:paraId="607DD50C" w14:textId="77777777" w:rsidR="00D37216" w:rsidRDefault="00D37216" w:rsidP="00DF5603">
            <w:pPr>
              <w:jc w:val="center"/>
            </w:pPr>
            <w:r w:rsidRPr="00587FA2">
              <w:rPr>
                <w:rFonts w:ascii="Wingdings" w:hAnsi="Wingdings" w:cs="Calibri"/>
                <w:b/>
                <w:bCs/>
              </w:rPr>
              <w:t>ü</w:t>
            </w:r>
          </w:p>
        </w:tc>
        <w:tc>
          <w:tcPr>
            <w:tcW w:w="2460" w:type="dxa"/>
            <w:vAlign w:val="center"/>
          </w:tcPr>
          <w:p w14:paraId="5663094C" w14:textId="77777777" w:rsidR="00D37216" w:rsidRDefault="00D37216" w:rsidP="00DF5603">
            <w:pPr>
              <w:jc w:val="center"/>
            </w:pPr>
            <w:r w:rsidRPr="00587FA2">
              <w:rPr>
                <w:rFonts w:ascii="Wingdings" w:hAnsi="Wingdings" w:cs="Calibri"/>
                <w:b/>
                <w:bCs/>
              </w:rPr>
              <w:t>ü</w:t>
            </w:r>
          </w:p>
        </w:tc>
      </w:tr>
      <w:tr w:rsidR="00D37216" w14:paraId="532C6499" w14:textId="77777777" w:rsidTr="00F9694B">
        <w:trPr>
          <w:trHeight w:val="521"/>
        </w:trPr>
        <w:tc>
          <w:tcPr>
            <w:tcW w:w="2700" w:type="dxa"/>
            <w:vAlign w:val="center"/>
          </w:tcPr>
          <w:p w14:paraId="33A66FDB" w14:textId="3A587D6A" w:rsidR="00D37216" w:rsidRDefault="00D37216" w:rsidP="00DF5603">
            <w:r>
              <w:t>Refrigerated Storage or Processing Control</w:t>
            </w:r>
          </w:p>
        </w:tc>
        <w:tc>
          <w:tcPr>
            <w:tcW w:w="2220" w:type="dxa"/>
            <w:vAlign w:val="center"/>
          </w:tcPr>
          <w:p w14:paraId="131DFD47" w14:textId="77777777" w:rsidR="00D37216" w:rsidRDefault="00D37216" w:rsidP="00DF5603">
            <w:pPr>
              <w:jc w:val="center"/>
            </w:pPr>
            <w:r w:rsidRPr="00587FA2">
              <w:rPr>
                <w:rFonts w:ascii="Wingdings" w:hAnsi="Wingdings" w:cs="Calibri"/>
                <w:b/>
                <w:bCs/>
              </w:rPr>
              <w:t>ü</w:t>
            </w:r>
          </w:p>
        </w:tc>
        <w:tc>
          <w:tcPr>
            <w:tcW w:w="2460" w:type="dxa"/>
            <w:vAlign w:val="center"/>
          </w:tcPr>
          <w:p w14:paraId="008A42AC" w14:textId="77777777" w:rsidR="00D37216" w:rsidRDefault="00D37216" w:rsidP="00DF5603">
            <w:pPr>
              <w:jc w:val="center"/>
            </w:pPr>
            <w:r w:rsidRPr="00587FA2">
              <w:rPr>
                <w:rFonts w:ascii="Wingdings" w:hAnsi="Wingdings" w:cs="Calibri"/>
                <w:b/>
                <w:bCs/>
              </w:rPr>
              <w:t>ü</w:t>
            </w:r>
          </w:p>
        </w:tc>
      </w:tr>
      <w:tr w:rsidR="00D37216" w14:paraId="30EF7419" w14:textId="77777777" w:rsidTr="00F9694B">
        <w:trPr>
          <w:trHeight w:val="521"/>
        </w:trPr>
        <w:tc>
          <w:tcPr>
            <w:tcW w:w="2700" w:type="dxa"/>
            <w:vAlign w:val="center"/>
          </w:tcPr>
          <w:p w14:paraId="51B2029D" w14:textId="4F82765D" w:rsidR="00D37216" w:rsidRPr="00D37216" w:rsidRDefault="00D37216" w:rsidP="00DF5603">
            <w:pPr>
              <w:rPr>
                <w:rFonts w:cs="Calibri"/>
              </w:rPr>
            </w:pPr>
            <w:r>
              <w:rPr>
                <w:rFonts w:cs="Calibri"/>
              </w:rPr>
              <w:t>Cooling After Cooking Control</w:t>
            </w:r>
          </w:p>
        </w:tc>
        <w:tc>
          <w:tcPr>
            <w:tcW w:w="2220" w:type="dxa"/>
            <w:vAlign w:val="center"/>
          </w:tcPr>
          <w:p w14:paraId="351B24EA" w14:textId="154ADADA" w:rsidR="00D37216" w:rsidRPr="00D37216" w:rsidRDefault="00D37216" w:rsidP="00DF5603">
            <w:pPr>
              <w:jc w:val="center"/>
              <w:rPr>
                <w:rFonts w:cs="Calibri"/>
                <w:b/>
                <w:bCs/>
              </w:rPr>
            </w:pPr>
            <w:r w:rsidRPr="00587FA2">
              <w:rPr>
                <w:rFonts w:ascii="Wingdings" w:hAnsi="Wingdings" w:cs="Calibri"/>
                <w:b/>
                <w:bCs/>
              </w:rPr>
              <w:t>ü</w:t>
            </w:r>
          </w:p>
        </w:tc>
        <w:tc>
          <w:tcPr>
            <w:tcW w:w="2460" w:type="dxa"/>
            <w:vAlign w:val="center"/>
          </w:tcPr>
          <w:p w14:paraId="6D6403B7" w14:textId="73BA98FC" w:rsidR="00D37216" w:rsidRPr="00D37216" w:rsidRDefault="00D37216" w:rsidP="00DF5603">
            <w:pPr>
              <w:jc w:val="center"/>
              <w:rPr>
                <w:rFonts w:cs="Calibri"/>
                <w:b/>
                <w:bCs/>
              </w:rPr>
            </w:pPr>
            <w:r w:rsidRPr="00587FA2">
              <w:rPr>
                <w:rFonts w:ascii="Wingdings" w:hAnsi="Wingdings" w:cs="Calibri"/>
                <w:b/>
                <w:bCs/>
              </w:rPr>
              <w:t>ü</w:t>
            </w:r>
          </w:p>
        </w:tc>
      </w:tr>
      <w:tr w:rsidR="00D37216" w14:paraId="3152EAA6" w14:textId="77777777" w:rsidTr="00F9694B">
        <w:trPr>
          <w:trHeight w:val="521"/>
        </w:trPr>
        <w:tc>
          <w:tcPr>
            <w:tcW w:w="2700" w:type="dxa"/>
            <w:vAlign w:val="center"/>
          </w:tcPr>
          <w:p w14:paraId="47DD4CC3" w14:textId="6087638B" w:rsidR="00D37216" w:rsidRPr="00D37216" w:rsidRDefault="00D37216" w:rsidP="00DF5603">
            <w:pPr>
              <w:rPr>
                <w:rFonts w:cs="Calibri"/>
              </w:rPr>
            </w:pPr>
            <w:r>
              <w:rPr>
                <w:rFonts w:cs="Calibri"/>
              </w:rPr>
              <w:t>Unrefrigerated Processing Control</w:t>
            </w:r>
          </w:p>
        </w:tc>
        <w:tc>
          <w:tcPr>
            <w:tcW w:w="2220" w:type="dxa"/>
            <w:vAlign w:val="center"/>
          </w:tcPr>
          <w:p w14:paraId="0FD6B0A1" w14:textId="588BF9CD" w:rsidR="00D37216" w:rsidRPr="00D37216" w:rsidRDefault="00D37216" w:rsidP="00DF5603">
            <w:pPr>
              <w:jc w:val="center"/>
              <w:rPr>
                <w:rFonts w:cs="Calibri"/>
                <w:b/>
                <w:bCs/>
              </w:rPr>
            </w:pPr>
            <w:r w:rsidRPr="00587FA2">
              <w:rPr>
                <w:rFonts w:ascii="Wingdings" w:hAnsi="Wingdings" w:cs="Calibri"/>
                <w:b/>
                <w:bCs/>
              </w:rPr>
              <w:t>ü</w:t>
            </w:r>
          </w:p>
        </w:tc>
        <w:tc>
          <w:tcPr>
            <w:tcW w:w="2460" w:type="dxa"/>
            <w:vAlign w:val="center"/>
          </w:tcPr>
          <w:p w14:paraId="3A42D785" w14:textId="0CFB09DD" w:rsidR="00D37216" w:rsidRPr="00D37216" w:rsidRDefault="00D37216" w:rsidP="00DF5603">
            <w:pPr>
              <w:jc w:val="center"/>
              <w:rPr>
                <w:rFonts w:cs="Calibri"/>
                <w:b/>
                <w:bCs/>
              </w:rPr>
            </w:pPr>
            <w:r w:rsidRPr="00587FA2">
              <w:rPr>
                <w:rFonts w:ascii="Wingdings" w:hAnsi="Wingdings" w:cs="Calibri"/>
                <w:b/>
                <w:bCs/>
              </w:rPr>
              <w:t>ü</w:t>
            </w:r>
          </w:p>
        </w:tc>
      </w:tr>
    </w:tbl>
    <w:p w14:paraId="54A05836" w14:textId="79F5CFC9" w:rsidR="00D37216" w:rsidRPr="00F34283" w:rsidRDefault="00F34283" w:rsidP="00846B8F">
      <w:pPr>
        <w:pStyle w:val="Heading3"/>
        <w:numPr>
          <w:ilvl w:val="2"/>
          <w:numId w:val="157"/>
        </w:numPr>
      </w:pPr>
      <w:bookmarkStart w:id="190" w:name="_Toc208503270"/>
      <w:r w:rsidRPr="00F34283">
        <w:t>Control Strategy 1 – Transit Control (HACCP) / Supply Chain Control (PCHF)</w:t>
      </w:r>
      <w:bookmarkEnd w:id="190"/>
    </w:p>
    <w:p w14:paraId="2664E197" w14:textId="77777777" w:rsidR="00D37216" w:rsidRDefault="00D37216" w:rsidP="00846B8F">
      <w:pPr>
        <w:pStyle w:val="Heading4"/>
        <w:numPr>
          <w:ilvl w:val="3"/>
          <w:numId w:val="157"/>
        </w:numPr>
      </w:pPr>
      <w:r>
        <w:t>Critical Limit(s)/Parameter(s) and Value(s)</w:t>
      </w:r>
    </w:p>
    <w:p w14:paraId="072F2CC2" w14:textId="77777777" w:rsidR="00D37216" w:rsidRDefault="00D37216" w:rsidP="00846B8F">
      <w:pPr>
        <w:pStyle w:val="ListParagraph"/>
        <w:numPr>
          <w:ilvl w:val="0"/>
          <w:numId w:val="65"/>
        </w:numPr>
        <w:spacing w:before="240"/>
        <w:contextualSpacing w:val="0"/>
      </w:pPr>
      <w:r>
        <w:t>Harvested kelp should be kept at or below 40 °F (at or below 4.4 °C) during transit using mechanical refrigeration, ice or gel packs to ensure safe temperatures. Acceptable conditions include:</w:t>
      </w:r>
    </w:p>
    <w:p w14:paraId="37D4CC38" w14:textId="77777777" w:rsidR="00D37216" w:rsidRDefault="00D37216" w:rsidP="00846B8F">
      <w:pPr>
        <w:pStyle w:val="ListParagraph"/>
        <w:numPr>
          <w:ilvl w:val="1"/>
          <w:numId w:val="65"/>
        </w:numPr>
        <w:contextualSpacing w:val="0"/>
      </w:pPr>
      <w:r>
        <w:t>Refrigeration temperatures at or below 40°F during transit</w:t>
      </w:r>
    </w:p>
    <w:p w14:paraId="79AB4D97" w14:textId="77777777" w:rsidR="00D37216" w:rsidRPr="00F34283" w:rsidRDefault="00D37216" w:rsidP="00AD6D21">
      <w:pPr>
        <w:ind w:firstLine="360"/>
        <w:rPr>
          <w:b/>
          <w:bCs/>
        </w:rPr>
      </w:pPr>
      <w:r w:rsidRPr="00F34283">
        <w:rPr>
          <w:b/>
          <w:bCs/>
        </w:rPr>
        <w:t>OR</w:t>
      </w:r>
    </w:p>
    <w:p w14:paraId="3BCCA479" w14:textId="77777777" w:rsidR="00D37216" w:rsidRDefault="00D37216" w:rsidP="00846B8F">
      <w:pPr>
        <w:pStyle w:val="ListParagraph"/>
        <w:numPr>
          <w:ilvl w:val="1"/>
          <w:numId w:val="65"/>
        </w:numPr>
        <w:contextualSpacing w:val="0"/>
      </w:pPr>
      <w:r>
        <w:t xml:space="preserve">Ice or gel packs or cooling media remain frozen </w:t>
      </w:r>
      <w:r w:rsidRPr="00AD6D21">
        <w:rPr>
          <w:b/>
          <w:bCs/>
        </w:rPr>
        <w:t>AND</w:t>
      </w:r>
      <w:r>
        <w:t xml:space="preserve"> product temperature (center of container) in a representative number of containers is below 40°F. </w:t>
      </w:r>
    </w:p>
    <w:p w14:paraId="34CE914C" w14:textId="77777777" w:rsidR="00D37216" w:rsidRPr="00F34283" w:rsidRDefault="00D37216" w:rsidP="00846B8F">
      <w:pPr>
        <w:pStyle w:val="Heading4"/>
        <w:numPr>
          <w:ilvl w:val="3"/>
          <w:numId w:val="157"/>
        </w:numPr>
      </w:pPr>
      <w:r w:rsidRPr="00F34283">
        <w:t>Monitoring – What, How, How Often, Who</w:t>
      </w:r>
    </w:p>
    <w:p w14:paraId="73A8D431" w14:textId="74612146" w:rsidR="00D37216" w:rsidRDefault="00D37216" w:rsidP="00846B8F">
      <w:pPr>
        <w:pStyle w:val="ListParagraph"/>
        <w:numPr>
          <w:ilvl w:val="0"/>
          <w:numId w:val="65"/>
        </w:numPr>
        <w:spacing w:before="240"/>
        <w:contextualSpacing w:val="0"/>
      </w:pPr>
      <w:r>
        <w:t>What will be monitored?</w:t>
      </w:r>
    </w:p>
    <w:p w14:paraId="2EE155DC" w14:textId="77777777" w:rsidR="00D37216" w:rsidRDefault="00D37216" w:rsidP="00846B8F">
      <w:pPr>
        <w:pStyle w:val="ListParagraph"/>
        <w:numPr>
          <w:ilvl w:val="1"/>
          <w:numId w:val="65"/>
        </w:numPr>
        <w:contextualSpacing w:val="0"/>
      </w:pPr>
      <w:r>
        <w:t>Ambient air temperature of transport unit</w:t>
      </w:r>
    </w:p>
    <w:p w14:paraId="15A7AEB8" w14:textId="77777777" w:rsidR="00D37216" w:rsidRPr="00AD6D21" w:rsidRDefault="00D37216" w:rsidP="00AD6D21">
      <w:pPr>
        <w:ind w:firstLine="720"/>
        <w:rPr>
          <w:b/>
          <w:bCs/>
        </w:rPr>
      </w:pPr>
      <w:r w:rsidRPr="00AD6D21">
        <w:rPr>
          <w:b/>
          <w:bCs/>
        </w:rPr>
        <w:t>OR</w:t>
      </w:r>
    </w:p>
    <w:p w14:paraId="5CE67B7E" w14:textId="77777777" w:rsidR="00D37216" w:rsidRDefault="00D37216" w:rsidP="00846B8F">
      <w:pPr>
        <w:pStyle w:val="ListParagraph"/>
        <w:numPr>
          <w:ilvl w:val="1"/>
          <w:numId w:val="65"/>
        </w:numPr>
        <w:contextualSpacing w:val="0"/>
      </w:pPr>
      <w:r>
        <w:t xml:space="preserve">Adequacy and frozen status of ice or gel packs </w:t>
      </w:r>
      <w:r w:rsidRPr="00AD6D21">
        <w:rPr>
          <w:b/>
          <w:bCs/>
        </w:rPr>
        <w:t>AND</w:t>
      </w:r>
      <w:r>
        <w:t xml:space="preserve"> product temperature in a representative number of samples</w:t>
      </w:r>
    </w:p>
    <w:p w14:paraId="111C88E3" w14:textId="446E82B2" w:rsidR="00D37216" w:rsidRDefault="00D37216" w:rsidP="00846B8F">
      <w:pPr>
        <w:pStyle w:val="ListParagraph"/>
        <w:numPr>
          <w:ilvl w:val="0"/>
          <w:numId w:val="65"/>
        </w:numPr>
        <w:contextualSpacing w:val="0"/>
      </w:pPr>
      <w:r>
        <w:t>How will monitoring be done?</w:t>
      </w:r>
    </w:p>
    <w:p w14:paraId="0EBC2676" w14:textId="77777777" w:rsidR="00D37216" w:rsidRDefault="00D37216" w:rsidP="00846B8F">
      <w:pPr>
        <w:pStyle w:val="ListParagraph"/>
        <w:numPr>
          <w:ilvl w:val="1"/>
          <w:numId w:val="65"/>
        </w:numPr>
        <w:contextualSpacing w:val="0"/>
      </w:pPr>
      <w:r>
        <w:t>Receiving temperature log from the supplier for the transport unit</w:t>
      </w:r>
    </w:p>
    <w:p w14:paraId="631C46F8" w14:textId="77777777" w:rsidR="00D37216" w:rsidRPr="00AD6D21" w:rsidRDefault="00D37216" w:rsidP="00AD6D21">
      <w:pPr>
        <w:ind w:firstLine="720"/>
        <w:rPr>
          <w:b/>
          <w:bCs/>
        </w:rPr>
      </w:pPr>
      <w:r w:rsidRPr="00AD6D21">
        <w:rPr>
          <w:b/>
          <w:bCs/>
        </w:rPr>
        <w:lastRenderedPageBreak/>
        <w:t>OR</w:t>
      </w:r>
    </w:p>
    <w:p w14:paraId="4EDB8A95" w14:textId="0DFFB80F" w:rsidR="00D37216" w:rsidRDefault="00D37216" w:rsidP="00846B8F">
      <w:pPr>
        <w:pStyle w:val="ListParagraph"/>
        <w:numPr>
          <w:ilvl w:val="1"/>
          <w:numId w:val="65"/>
        </w:numPr>
        <w:contextualSpacing w:val="0"/>
      </w:pPr>
      <w:r>
        <w:t xml:space="preserve">Visual checks of ice or gel pack status </w:t>
      </w:r>
      <w:r w:rsidRPr="00AD6D21">
        <w:rPr>
          <w:b/>
          <w:bCs/>
        </w:rPr>
        <w:t>AND</w:t>
      </w:r>
      <w:r>
        <w:t xml:space="preserve"> product temperature measurements</w:t>
      </w:r>
    </w:p>
    <w:p w14:paraId="576064F2" w14:textId="5E98C020" w:rsidR="00D37216" w:rsidRDefault="00D37216" w:rsidP="00846B8F">
      <w:pPr>
        <w:pStyle w:val="ListParagraph"/>
        <w:numPr>
          <w:ilvl w:val="0"/>
          <w:numId w:val="65"/>
        </w:numPr>
        <w:contextualSpacing w:val="0"/>
      </w:pPr>
      <w:r>
        <w:t>How often will monitoring be done (frequency)?</w:t>
      </w:r>
    </w:p>
    <w:p w14:paraId="280D8A8E" w14:textId="77777777" w:rsidR="00D37216" w:rsidRDefault="00D37216" w:rsidP="00846B8F">
      <w:pPr>
        <w:pStyle w:val="ListParagraph"/>
        <w:numPr>
          <w:ilvl w:val="1"/>
          <w:numId w:val="65"/>
        </w:numPr>
        <w:contextualSpacing w:val="0"/>
      </w:pPr>
      <w:r>
        <w:t>Every lot received</w:t>
      </w:r>
    </w:p>
    <w:p w14:paraId="2A893FFB" w14:textId="250F872F" w:rsidR="00D37216" w:rsidRDefault="00D37216" w:rsidP="00846B8F">
      <w:pPr>
        <w:pStyle w:val="ListParagraph"/>
        <w:numPr>
          <w:ilvl w:val="0"/>
          <w:numId w:val="65"/>
        </w:numPr>
        <w:contextualSpacing w:val="0"/>
      </w:pPr>
      <w:r>
        <w:t>Who will do the monitoring?</w:t>
      </w:r>
    </w:p>
    <w:p w14:paraId="6E684437" w14:textId="77777777" w:rsidR="00D37216" w:rsidRDefault="00D37216" w:rsidP="00846B8F">
      <w:pPr>
        <w:pStyle w:val="ListParagraph"/>
        <w:numPr>
          <w:ilvl w:val="1"/>
          <w:numId w:val="65"/>
        </w:numPr>
        <w:contextualSpacing w:val="0"/>
      </w:pPr>
      <w:r>
        <w:t>An individual trained and knowledgeable in these controls and monitoring procedures</w:t>
      </w:r>
    </w:p>
    <w:p w14:paraId="310DEF7D" w14:textId="77777777" w:rsidR="00D37216" w:rsidRPr="00AD6D21" w:rsidRDefault="00D37216" w:rsidP="00846B8F">
      <w:pPr>
        <w:pStyle w:val="Heading4"/>
        <w:numPr>
          <w:ilvl w:val="3"/>
          <w:numId w:val="157"/>
        </w:numPr>
      </w:pPr>
      <w:r w:rsidRPr="00AD6D21">
        <w:t>Corrective Action/Corrections</w:t>
      </w:r>
    </w:p>
    <w:p w14:paraId="7EA94B79" w14:textId="4991A4CC" w:rsidR="00D37216" w:rsidRDefault="00D37216" w:rsidP="00846B8F">
      <w:pPr>
        <w:pStyle w:val="ListParagraph"/>
        <w:numPr>
          <w:ilvl w:val="0"/>
          <w:numId w:val="66"/>
        </w:numPr>
        <w:spacing w:before="240"/>
        <w:contextualSpacing w:val="0"/>
      </w:pPr>
      <w:r>
        <w:t>If refrigeration temperatures exceed 40°F</w:t>
      </w:r>
      <w:r w:rsidR="00AD6D21">
        <w:t xml:space="preserve"> (4.44°C)</w:t>
      </w:r>
      <w:r>
        <w:t xml:space="preserve"> during transit, then reject the product </w:t>
      </w:r>
      <w:r w:rsidRPr="00AD6D21">
        <w:rPr>
          <w:b/>
          <w:bCs/>
        </w:rPr>
        <w:t>OR</w:t>
      </w:r>
      <w:r>
        <w:t xml:space="preserve"> place it under refrigeration and evaluate the safety of the product </w:t>
      </w:r>
      <w:r w:rsidRPr="00AD6D21">
        <w:rPr>
          <w:b/>
          <w:bCs/>
        </w:rPr>
        <w:t>OR</w:t>
      </w:r>
      <w:r>
        <w:t xml:space="preserve"> divert to non-food use. Any product exposed to significant temperature abuse that could allow pathogen growth or toxin formation should be discarded, processed to eliminate the hazard, or diverted to a non-food use.</w:t>
      </w:r>
    </w:p>
    <w:p w14:paraId="3FC16295" w14:textId="25760AB3" w:rsidR="00D37216" w:rsidRDefault="00D37216" w:rsidP="00846B8F">
      <w:pPr>
        <w:pStyle w:val="ListParagraph"/>
        <w:numPr>
          <w:ilvl w:val="0"/>
          <w:numId w:val="66"/>
        </w:numPr>
        <w:spacing w:before="240"/>
        <w:contextualSpacing w:val="0"/>
      </w:pPr>
      <w:r>
        <w:t>If ice or gel packs are not present or adequately frozen and/or product temperature is above 40 °F</w:t>
      </w:r>
      <w:r w:rsidR="00AD6D21">
        <w:t xml:space="preserve"> (4.44°C)</w:t>
      </w:r>
      <w:r>
        <w:t xml:space="preserve">, then reject the lot </w:t>
      </w:r>
      <w:r w:rsidRPr="00AD6D21">
        <w:rPr>
          <w:b/>
          <w:bCs/>
        </w:rPr>
        <w:t>OR</w:t>
      </w:r>
      <w:r>
        <w:t xml:space="preserve"> place it under refrigeration, and evaluate the safety of the product </w:t>
      </w:r>
      <w:r w:rsidRPr="00AD6D21">
        <w:rPr>
          <w:b/>
          <w:bCs/>
        </w:rPr>
        <w:t>OR</w:t>
      </w:r>
      <w:r>
        <w:t xml:space="preserve"> divert to non-food use. Any product exposed to significant temperature abuse that could allow pathogen growth or toxin formation should be discarded, processed to eliminate the hazard, or diverted to a non-food use.</w:t>
      </w:r>
    </w:p>
    <w:p w14:paraId="78EFD142" w14:textId="77777777" w:rsidR="00D37216" w:rsidRDefault="00D37216" w:rsidP="00AD6D21">
      <w:r w:rsidRPr="00AD6D21">
        <w:rPr>
          <w:b/>
          <w:bCs/>
        </w:rPr>
        <w:t>AND</w:t>
      </w:r>
      <w:r>
        <w:t xml:space="preserve"> address the root cause to prevent future occurrence. </w:t>
      </w:r>
    </w:p>
    <w:p w14:paraId="233BB6BB" w14:textId="77777777" w:rsidR="00D37216" w:rsidRDefault="00D37216" w:rsidP="00846B8F">
      <w:pPr>
        <w:pStyle w:val="ListParagraph"/>
        <w:numPr>
          <w:ilvl w:val="0"/>
          <w:numId w:val="66"/>
        </w:numPr>
        <w:contextualSpacing w:val="0"/>
      </w:pPr>
      <w:r>
        <w:t>Discontinue use of the supplier until transport procedures are corrected to maintain safe temperatures and prevent future occurrences.</w:t>
      </w:r>
    </w:p>
    <w:p w14:paraId="44DDF12F" w14:textId="77777777" w:rsidR="00D37216" w:rsidRDefault="00D37216" w:rsidP="00846B8F">
      <w:pPr>
        <w:pStyle w:val="Heading4"/>
        <w:numPr>
          <w:ilvl w:val="3"/>
          <w:numId w:val="157"/>
        </w:numPr>
      </w:pPr>
      <w:r>
        <w:t>Verification</w:t>
      </w:r>
    </w:p>
    <w:p w14:paraId="117A7C55" w14:textId="77777777" w:rsidR="00D37216" w:rsidRDefault="00D37216" w:rsidP="00846B8F">
      <w:pPr>
        <w:pStyle w:val="ListParagraph"/>
        <w:numPr>
          <w:ilvl w:val="0"/>
          <w:numId w:val="66"/>
        </w:numPr>
        <w:spacing w:before="240"/>
        <w:contextualSpacing w:val="0"/>
      </w:pPr>
      <w:r>
        <w:t>Review monitoring and corrective action records within one week of preparation to ensure all entries were completed correctly and accurately.</w:t>
      </w:r>
    </w:p>
    <w:p w14:paraId="23007DB5" w14:textId="77777777" w:rsidR="00D37216" w:rsidRDefault="00D37216" w:rsidP="00846B8F">
      <w:pPr>
        <w:pStyle w:val="ListParagraph"/>
        <w:numPr>
          <w:ilvl w:val="0"/>
          <w:numId w:val="66"/>
        </w:numPr>
        <w:contextualSpacing w:val="0"/>
      </w:pPr>
      <w:r>
        <w:t>Check the accuracy of temperature measuring devices regularly and perform periodic calibration as needed or according to the manufacturer’s instructions.</w:t>
      </w:r>
    </w:p>
    <w:p w14:paraId="64E33E67" w14:textId="62DD7AC9" w:rsidR="00D37216" w:rsidRDefault="00D37216" w:rsidP="00846B8F">
      <w:pPr>
        <w:pStyle w:val="ListParagraph"/>
        <w:numPr>
          <w:ilvl w:val="0"/>
          <w:numId w:val="66"/>
        </w:numPr>
        <w:contextualSpacing w:val="0"/>
      </w:pPr>
      <w:r>
        <w:t>For refrigerated transport, conduct periodic internal temperature checks (e.g., quarterly for new suppliers and annually thereafter) by measuring the center of the container to verify that refrigeration consistently maintains seaweed at or below 40°F</w:t>
      </w:r>
      <w:r w:rsidR="00AD6D21">
        <w:t xml:space="preserve"> </w:t>
      </w:r>
      <w:r w:rsidR="00AD6D21" w:rsidRPr="00AD6D21">
        <w:t>(4.44°C)</w:t>
      </w:r>
      <w:r>
        <w:t>.</w:t>
      </w:r>
    </w:p>
    <w:p w14:paraId="7CDDD15A" w14:textId="77777777" w:rsidR="00D37216" w:rsidRDefault="00D37216" w:rsidP="00846B8F">
      <w:pPr>
        <w:pStyle w:val="Heading4"/>
        <w:numPr>
          <w:ilvl w:val="3"/>
          <w:numId w:val="157"/>
        </w:numPr>
      </w:pPr>
      <w:r>
        <w:lastRenderedPageBreak/>
        <w:t>Records</w:t>
      </w:r>
    </w:p>
    <w:p w14:paraId="64B56506" w14:textId="780E7099" w:rsidR="00D37216" w:rsidRDefault="00D37216" w:rsidP="00846B8F">
      <w:pPr>
        <w:pStyle w:val="ListParagraph"/>
        <w:numPr>
          <w:ilvl w:val="0"/>
          <w:numId w:val="67"/>
        </w:numPr>
        <w:spacing w:before="240"/>
        <w:contextualSpacing w:val="0"/>
      </w:pPr>
      <w:r w:rsidRPr="00AD6D21">
        <w:rPr>
          <w:b/>
          <w:bCs/>
        </w:rPr>
        <w:t>Monitoring Records:</w:t>
      </w:r>
      <w:r>
        <w:t xml:space="preserve"> </w:t>
      </w:r>
      <w:r w:rsidR="00AD6D21">
        <w:t>A</w:t>
      </w:r>
      <w:r>
        <w:t xml:space="preserve"> transport log that includes time and temperature measurements or observations of presence and status of ice or gel packs, the number of containers examined, and the total number of containers in the lot.</w:t>
      </w:r>
    </w:p>
    <w:p w14:paraId="1DF196C9" w14:textId="77777777" w:rsidR="00D37216" w:rsidRDefault="00D37216" w:rsidP="00846B8F">
      <w:pPr>
        <w:pStyle w:val="ListParagraph"/>
        <w:numPr>
          <w:ilvl w:val="0"/>
          <w:numId w:val="67"/>
        </w:numPr>
        <w:contextualSpacing w:val="0"/>
      </w:pPr>
      <w:r w:rsidRPr="00AD6D21">
        <w:rPr>
          <w:b/>
          <w:bCs/>
        </w:rPr>
        <w:t>Corrective Action Records:</w:t>
      </w:r>
      <w:r>
        <w:t xml:space="preserve"> Document actions taken when critical limits were not met, including any adjustments or product disposition.</w:t>
      </w:r>
    </w:p>
    <w:p w14:paraId="1C212863" w14:textId="77777777" w:rsidR="00AD6D21" w:rsidRDefault="00D37216" w:rsidP="00846B8F">
      <w:pPr>
        <w:pStyle w:val="ListParagraph"/>
        <w:numPr>
          <w:ilvl w:val="0"/>
          <w:numId w:val="67"/>
        </w:numPr>
        <w:contextualSpacing w:val="0"/>
        <w:sectPr w:rsidR="00AD6D21" w:rsidSect="00060FE6">
          <w:pgSz w:w="12240" w:h="15840"/>
          <w:pgMar w:top="1440" w:right="1440" w:bottom="1440" w:left="1440" w:header="720" w:footer="720" w:gutter="0"/>
          <w:pgNumType w:start="1" w:chapStyle="1"/>
          <w:cols w:space="720"/>
          <w:docGrid w:linePitch="360"/>
        </w:sectPr>
      </w:pPr>
      <w:r w:rsidRPr="00AD6D21">
        <w:rPr>
          <w:b/>
          <w:bCs/>
        </w:rPr>
        <w:t>Verification Records:</w:t>
      </w:r>
      <w:r>
        <w:t xml:space="preserve"> Include results of temperature device accuracy checks and periodic calibrations. Records of internal temperature checks, if needed, including date, time and temperature.</w:t>
      </w:r>
    </w:p>
    <w:p w14:paraId="1B8C2EA6" w14:textId="7DD252C8" w:rsidR="00D37216" w:rsidRDefault="00AD6D21" w:rsidP="00846B8F">
      <w:pPr>
        <w:pStyle w:val="Heading4"/>
        <w:numPr>
          <w:ilvl w:val="3"/>
          <w:numId w:val="158"/>
        </w:numPr>
      </w:pPr>
      <w:r>
        <w:lastRenderedPageBreak/>
        <w:t>Example HACCP Plan for Transit Control</w:t>
      </w:r>
    </w:p>
    <w:p w14:paraId="17971712" w14:textId="29D7A022" w:rsidR="00AD6D21" w:rsidRDefault="00AD6D21" w:rsidP="00AD6D21">
      <w:pPr>
        <w:ind w:left="-810" w:right="-900"/>
        <w:rPr>
          <w:b/>
          <w:bCs/>
        </w:rPr>
      </w:pPr>
      <w:r w:rsidRPr="00AD6D21">
        <w:t xml:space="preserve">Below are examples showing what food safety plans could look like. They are intended for illustrative purposes only. Each producer must develop a plan tailored to their unique products, production and processing methods, and regulatory requirements. </w:t>
      </w:r>
      <w:r w:rsidRPr="00AD6D21">
        <w:rPr>
          <w:b/>
          <w:bCs/>
        </w:rPr>
        <w:t>These examples should not be copied and used without modification to fit your specific operation.</w:t>
      </w:r>
    </w:p>
    <w:p w14:paraId="035A7D9A" w14:textId="6A1044FD" w:rsidR="00AD6D21" w:rsidRDefault="00AD6D21" w:rsidP="00AD6D21">
      <w:pPr>
        <w:spacing w:before="240"/>
        <w:ind w:left="-806"/>
        <w:contextualSpacing/>
      </w:pPr>
      <w:r w:rsidRPr="00E579E8">
        <w:rPr>
          <w:b/>
          <w:bCs/>
        </w:rPr>
        <w:t>Control Strategy:</w:t>
      </w:r>
      <w:r>
        <w:t xml:space="preserve"> Transit Control</w:t>
      </w:r>
    </w:p>
    <w:p w14:paraId="41911F43" w14:textId="343D58CE" w:rsidR="00AD6D21" w:rsidRDefault="00AD6D21" w:rsidP="00AD6D21">
      <w:pPr>
        <w:spacing w:before="240"/>
        <w:ind w:left="-806"/>
        <w:contextualSpacing/>
      </w:pPr>
      <w:r w:rsidRPr="007235FC">
        <w:rPr>
          <w:b/>
          <w:bCs/>
        </w:rPr>
        <w:t xml:space="preserve">Critical Control Point: </w:t>
      </w:r>
      <w:r>
        <w:t>Receiving</w:t>
      </w:r>
    </w:p>
    <w:p w14:paraId="77692E85" w14:textId="4ADC7507" w:rsidR="00AD6D21" w:rsidRPr="00AD559E" w:rsidRDefault="00AD6D21" w:rsidP="00AD6D21">
      <w:pPr>
        <w:spacing w:before="240"/>
        <w:ind w:left="-806"/>
        <w:contextualSpacing/>
      </w:pPr>
      <w:r w:rsidRPr="00E579E8">
        <w:rPr>
          <w:b/>
          <w:bCs/>
        </w:rPr>
        <w:t>Hazard:</w:t>
      </w:r>
      <w:r>
        <w:t xml:space="preserve"> Pathogen Growth Due to Temperature Abuse</w:t>
      </w:r>
    </w:p>
    <w:tbl>
      <w:tblPr>
        <w:tblStyle w:val="TableGrid"/>
        <w:tblW w:w="14670" w:type="dxa"/>
        <w:tblInd w:w="-81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tblCellMar>
        <w:tblLook w:val="04A0" w:firstRow="1" w:lastRow="0" w:firstColumn="1" w:lastColumn="0" w:noHBand="0" w:noVBand="1"/>
        <w:tblCaption w:val="Example HACCP Plan for Transit Control: Pathogen Growth Due to Temperature Abuse"/>
        <w:tblDescription w:val="Column Headers: Parameters/Values/Critical Limits, Monitoring (What/How/When/Who as subheader columns within), Corrective Action, Verification, Records."/>
      </w:tblPr>
      <w:tblGrid>
        <w:gridCol w:w="2340"/>
        <w:gridCol w:w="1417"/>
        <w:gridCol w:w="1463"/>
        <w:gridCol w:w="1372"/>
        <w:gridCol w:w="1418"/>
        <w:gridCol w:w="2610"/>
        <w:gridCol w:w="1980"/>
        <w:gridCol w:w="2070"/>
      </w:tblGrid>
      <w:tr w:rsidR="00AD6D21" w14:paraId="65C4CADF" w14:textId="77777777" w:rsidTr="00A61B74">
        <w:trPr>
          <w:trHeight w:val="390"/>
        </w:trPr>
        <w:tc>
          <w:tcPr>
            <w:tcW w:w="2340" w:type="dxa"/>
            <w:vMerge w:val="restart"/>
            <w:shd w:val="clear" w:color="auto" w:fill="D1D1D1" w:themeFill="background2" w:themeFillShade="E6"/>
          </w:tcPr>
          <w:p w14:paraId="192A94B6" w14:textId="77777777" w:rsidR="00AD6D21" w:rsidRPr="0001662C" w:rsidRDefault="00AD6D21" w:rsidP="00DF5603">
            <w:pPr>
              <w:jc w:val="center"/>
              <w:rPr>
                <w:b/>
                <w:bCs/>
              </w:rPr>
            </w:pPr>
            <w:r w:rsidRPr="0001662C">
              <w:rPr>
                <w:b/>
                <w:bCs/>
              </w:rPr>
              <w:t>Parameters, Values, Critical Limits</w:t>
            </w:r>
          </w:p>
        </w:tc>
        <w:tc>
          <w:tcPr>
            <w:tcW w:w="5670" w:type="dxa"/>
            <w:gridSpan w:val="4"/>
            <w:shd w:val="clear" w:color="auto" w:fill="D1D1D1" w:themeFill="background2" w:themeFillShade="E6"/>
          </w:tcPr>
          <w:p w14:paraId="1197CF47" w14:textId="77777777" w:rsidR="00AD6D21" w:rsidRPr="0001662C" w:rsidRDefault="00AD6D21" w:rsidP="00DF5603">
            <w:pPr>
              <w:jc w:val="center"/>
              <w:rPr>
                <w:b/>
                <w:bCs/>
              </w:rPr>
            </w:pPr>
            <w:r w:rsidRPr="0001662C">
              <w:rPr>
                <w:b/>
                <w:bCs/>
              </w:rPr>
              <w:t>Monitoring</w:t>
            </w:r>
          </w:p>
        </w:tc>
        <w:tc>
          <w:tcPr>
            <w:tcW w:w="2610" w:type="dxa"/>
            <w:vMerge w:val="restart"/>
            <w:shd w:val="clear" w:color="auto" w:fill="D1D1D1" w:themeFill="background2" w:themeFillShade="E6"/>
          </w:tcPr>
          <w:p w14:paraId="07F7A360" w14:textId="77777777" w:rsidR="00AD6D21" w:rsidRPr="0001662C" w:rsidRDefault="00AD6D21" w:rsidP="00DF5603">
            <w:pPr>
              <w:jc w:val="center"/>
              <w:rPr>
                <w:b/>
                <w:bCs/>
              </w:rPr>
            </w:pPr>
            <w:r w:rsidRPr="0001662C">
              <w:rPr>
                <w:b/>
                <w:bCs/>
              </w:rPr>
              <w:t>Corrective Action</w:t>
            </w:r>
          </w:p>
        </w:tc>
        <w:tc>
          <w:tcPr>
            <w:tcW w:w="1980" w:type="dxa"/>
            <w:vMerge w:val="restart"/>
            <w:shd w:val="clear" w:color="auto" w:fill="D1D1D1" w:themeFill="background2" w:themeFillShade="E6"/>
          </w:tcPr>
          <w:p w14:paraId="42433F6A" w14:textId="77777777" w:rsidR="00AD6D21" w:rsidRPr="0001662C" w:rsidRDefault="00AD6D21" w:rsidP="00DF5603">
            <w:pPr>
              <w:jc w:val="center"/>
              <w:rPr>
                <w:b/>
                <w:bCs/>
              </w:rPr>
            </w:pPr>
            <w:r w:rsidRPr="0001662C">
              <w:rPr>
                <w:b/>
                <w:bCs/>
              </w:rPr>
              <w:t>Verification</w:t>
            </w:r>
          </w:p>
        </w:tc>
        <w:tc>
          <w:tcPr>
            <w:tcW w:w="2070" w:type="dxa"/>
            <w:vMerge w:val="restart"/>
            <w:shd w:val="clear" w:color="auto" w:fill="D1D1D1" w:themeFill="background2" w:themeFillShade="E6"/>
          </w:tcPr>
          <w:p w14:paraId="28E49F6C" w14:textId="77777777" w:rsidR="00AD6D21" w:rsidRPr="0001662C" w:rsidRDefault="00AD6D21" w:rsidP="00DF5603">
            <w:pPr>
              <w:jc w:val="center"/>
              <w:rPr>
                <w:b/>
                <w:bCs/>
              </w:rPr>
            </w:pPr>
            <w:r w:rsidRPr="0001662C">
              <w:rPr>
                <w:b/>
                <w:bCs/>
              </w:rPr>
              <w:t>Records</w:t>
            </w:r>
          </w:p>
        </w:tc>
      </w:tr>
      <w:tr w:rsidR="00AD6D21" w14:paraId="0F593197" w14:textId="77777777" w:rsidTr="00A61B74">
        <w:trPr>
          <w:trHeight w:val="20"/>
        </w:trPr>
        <w:tc>
          <w:tcPr>
            <w:tcW w:w="2340" w:type="dxa"/>
            <w:vMerge/>
          </w:tcPr>
          <w:p w14:paraId="49A7C8A5" w14:textId="77777777" w:rsidR="00AD6D21" w:rsidRPr="0001662C" w:rsidRDefault="00AD6D21" w:rsidP="00DF5603">
            <w:pPr>
              <w:rPr>
                <w:b/>
                <w:bCs/>
              </w:rPr>
            </w:pPr>
          </w:p>
        </w:tc>
        <w:tc>
          <w:tcPr>
            <w:tcW w:w="1417" w:type="dxa"/>
            <w:shd w:val="clear" w:color="auto" w:fill="D1D1D1" w:themeFill="background2" w:themeFillShade="E6"/>
          </w:tcPr>
          <w:p w14:paraId="44C9308B" w14:textId="77777777" w:rsidR="00AD6D21" w:rsidRPr="0001662C" w:rsidRDefault="00AD6D21" w:rsidP="00DF5603">
            <w:pPr>
              <w:jc w:val="center"/>
              <w:rPr>
                <w:b/>
                <w:bCs/>
              </w:rPr>
            </w:pPr>
            <w:r w:rsidRPr="0001662C">
              <w:rPr>
                <w:b/>
                <w:bCs/>
              </w:rPr>
              <w:t>What</w:t>
            </w:r>
          </w:p>
        </w:tc>
        <w:tc>
          <w:tcPr>
            <w:tcW w:w="1463" w:type="dxa"/>
            <w:shd w:val="clear" w:color="auto" w:fill="D1D1D1" w:themeFill="background2" w:themeFillShade="E6"/>
          </w:tcPr>
          <w:p w14:paraId="75580CB9" w14:textId="77777777" w:rsidR="00AD6D21" w:rsidRPr="0001662C" w:rsidRDefault="00AD6D21" w:rsidP="00DF5603">
            <w:pPr>
              <w:jc w:val="center"/>
              <w:rPr>
                <w:b/>
                <w:bCs/>
              </w:rPr>
            </w:pPr>
            <w:r w:rsidRPr="0001662C">
              <w:rPr>
                <w:b/>
                <w:bCs/>
              </w:rPr>
              <w:t>How</w:t>
            </w:r>
          </w:p>
        </w:tc>
        <w:tc>
          <w:tcPr>
            <w:tcW w:w="1372" w:type="dxa"/>
            <w:shd w:val="clear" w:color="auto" w:fill="D1D1D1" w:themeFill="background2" w:themeFillShade="E6"/>
          </w:tcPr>
          <w:p w14:paraId="4DED194E" w14:textId="77777777" w:rsidR="00AD6D21" w:rsidRPr="0001662C" w:rsidRDefault="00AD6D21" w:rsidP="00DF5603">
            <w:pPr>
              <w:jc w:val="center"/>
              <w:rPr>
                <w:b/>
                <w:bCs/>
              </w:rPr>
            </w:pPr>
            <w:r w:rsidRPr="0001662C">
              <w:rPr>
                <w:b/>
                <w:bCs/>
              </w:rPr>
              <w:t>When</w:t>
            </w:r>
          </w:p>
        </w:tc>
        <w:tc>
          <w:tcPr>
            <w:tcW w:w="1418" w:type="dxa"/>
            <w:shd w:val="clear" w:color="auto" w:fill="D1D1D1" w:themeFill="background2" w:themeFillShade="E6"/>
          </w:tcPr>
          <w:p w14:paraId="1BF0A82B" w14:textId="77777777" w:rsidR="00AD6D21" w:rsidRPr="0001662C" w:rsidRDefault="00AD6D21" w:rsidP="00DF5603">
            <w:pPr>
              <w:jc w:val="center"/>
              <w:rPr>
                <w:b/>
                <w:bCs/>
              </w:rPr>
            </w:pPr>
            <w:r w:rsidRPr="0001662C">
              <w:rPr>
                <w:b/>
                <w:bCs/>
              </w:rPr>
              <w:t>Who</w:t>
            </w:r>
          </w:p>
        </w:tc>
        <w:tc>
          <w:tcPr>
            <w:tcW w:w="2610" w:type="dxa"/>
            <w:vMerge/>
          </w:tcPr>
          <w:p w14:paraId="7A70437F" w14:textId="77777777" w:rsidR="00AD6D21" w:rsidRDefault="00AD6D21" w:rsidP="00DF5603"/>
        </w:tc>
        <w:tc>
          <w:tcPr>
            <w:tcW w:w="1980" w:type="dxa"/>
            <w:vMerge/>
          </w:tcPr>
          <w:p w14:paraId="3FDA6316" w14:textId="77777777" w:rsidR="00AD6D21" w:rsidRDefault="00AD6D21" w:rsidP="00DF5603"/>
        </w:tc>
        <w:tc>
          <w:tcPr>
            <w:tcW w:w="2070" w:type="dxa"/>
            <w:vMerge/>
          </w:tcPr>
          <w:p w14:paraId="381817E3" w14:textId="77777777" w:rsidR="00AD6D21" w:rsidRDefault="00AD6D21" w:rsidP="00DF5603"/>
        </w:tc>
      </w:tr>
      <w:tr w:rsidR="00AD6D21" w14:paraId="73A6F545" w14:textId="77777777" w:rsidTr="00A61B74">
        <w:trPr>
          <w:trHeight w:val="4629"/>
        </w:trPr>
        <w:tc>
          <w:tcPr>
            <w:tcW w:w="2340" w:type="dxa"/>
          </w:tcPr>
          <w:p w14:paraId="6BD02453" w14:textId="393CBF55" w:rsidR="00AD6D21" w:rsidRPr="00677CAA" w:rsidRDefault="00AD6D21" w:rsidP="00DF5603">
            <w:pPr>
              <w:spacing w:before="240"/>
              <w:rPr>
                <w:sz w:val="22"/>
                <w:szCs w:val="22"/>
              </w:rPr>
            </w:pPr>
            <w:r w:rsidRPr="00AD6D21">
              <w:rPr>
                <w:sz w:val="22"/>
                <w:szCs w:val="22"/>
              </w:rPr>
              <w:t>Harvested kelp should be maintained at a temperature of ≤40°F</w:t>
            </w:r>
            <w:r>
              <w:rPr>
                <w:sz w:val="22"/>
                <w:szCs w:val="22"/>
              </w:rPr>
              <w:t xml:space="preserve"> </w:t>
            </w:r>
            <w:r w:rsidRPr="00AD6D21">
              <w:rPr>
                <w:sz w:val="22"/>
                <w:szCs w:val="22"/>
              </w:rPr>
              <w:t>(4.44°C) during transit</w:t>
            </w:r>
            <w:r>
              <w:rPr>
                <w:sz w:val="22"/>
                <w:szCs w:val="22"/>
              </w:rPr>
              <w:t>.</w:t>
            </w:r>
          </w:p>
        </w:tc>
        <w:tc>
          <w:tcPr>
            <w:tcW w:w="1417" w:type="dxa"/>
          </w:tcPr>
          <w:p w14:paraId="67460563" w14:textId="79657FF8" w:rsidR="00AD6D21" w:rsidRPr="00677CAA" w:rsidRDefault="00AD6D21" w:rsidP="00DF5603">
            <w:pPr>
              <w:spacing w:before="240"/>
              <w:rPr>
                <w:sz w:val="22"/>
                <w:szCs w:val="22"/>
              </w:rPr>
            </w:pPr>
            <w:r w:rsidRPr="00AD6D21">
              <w:rPr>
                <w:sz w:val="22"/>
                <w:szCs w:val="22"/>
              </w:rPr>
              <w:t>Ambient temperature of transport unit</w:t>
            </w:r>
          </w:p>
        </w:tc>
        <w:tc>
          <w:tcPr>
            <w:tcW w:w="1463" w:type="dxa"/>
          </w:tcPr>
          <w:p w14:paraId="0449921E" w14:textId="7B28E245" w:rsidR="00AD6D21" w:rsidRPr="00677CAA" w:rsidRDefault="00AD6D21" w:rsidP="00DF5603">
            <w:pPr>
              <w:spacing w:before="240"/>
              <w:rPr>
                <w:sz w:val="22"/>
                <w:szCs w:val="22"/>
              </w:rPr>
            </w:pPr>
            <w:r w:rsidRPr="00AD6D21">
              <w:rPr>
                <w:sz w:val="22"/>
                <w:szCs w:val="22"/>
              </w:rPr>
              <w:t>Temperature log of unit temperatures during transit from supplier</w:t>
            </w:r>
          </w:p>
        </w:tc>
        <w:tc>
          <w:tcPr>
            <w:tcW w:w="1372" w:type="dxa"/>
          </w:tcPr>
          <w:p w14:paraId="157732A3" w14:textId="103B8529" w:rsidR="00AD6D21" w:rsidRPr="00677CAA" w:rsidRDefault="00AD6D21" w:rsidP="00DF5603">
            <w:pPr>
              <w:spacing w:before="240"/>
              <w:rPr>
                <w:sz w:val="22"/>
                <w:szCs w:val="22"/>
              </w:rPr>
            </w:pPr>
            <w:r w:rsidRPr="00AD6D21">
              <w:rPr>
                <w:sz w:val="22"/>
                <w:szCs w:val="22"/>
              </w:rPr>
              <w:t>At receipt of every batch</w:t>
            </w:r>
          </w:p>
        </w:tc>
        <w:tc>
          <w:tcPr>
            <w:tcW w:w="1418" w:type="dxa"/>
          </w:tcPr>
          <w:p w14:paraId="18DE515D" w14:textId="6238750F" w:rsidR="00AD6D21" w:rsidRPr="00677CAA" w:rsidRDefault="00AD6D21" w:rsidP="00DF5603">
            <w:pPr>
              <w:spacing w:before="240"/>
              <w:rPr>
                <w:sz w:val="22"/>
                <w:szCs w:val="22"/>
              </w:rPr>
            </w:pPr>
            <w:r w:rsidRPr="00AD6D21">
              <w:rPr>
                <w:sz w:val="22"/>
                <w:szCs w:val="22"/>
              </w:rPr>
              <w:t xml:space="preserve">QA </w:t>
            </w:r>
            <w:r>
              <w:rPr>
                <w:sz w:val="22"/>
                <w:szCs w:val="22"/>
              </w:rPr>
              <w:t>S</w:t>
            </w:r>
            <w:r w:rsidRPr="00AD6D21">
              <w:rPr>
                <w:sz w:val="22"/>
                <w:szCs w:val="22"/>
              </w:rPr>
              <w:t>taff</w:t>
            </w:r>
          </w:p>
        </w:tc>
        <w:tc>
          <w:tcPr>
            <w:tcW w:w="2610" w:type="dxa"/>
          </w:tcPr>
          <w:p w14:paraId="5F093FA4" w14:textId="4B438548" w:rsidR="00AD6D21" w:rsidRDefault="00AD6D21" w:rsidP="00DF5603">
            <w:pPr>
              <w:spacing w:before="240"/>
              <w:rPr>
                <w:sz w:val="22"/>
                <w:szCs w:val="22"/>
              </w:rPr>
            </w:pPr>
            <w:r w:rsidRPr="00AD6D21">
              <w:rPr>
                <w:sz w:val="22"/>
                <w:szCs w:val="22"/>
              </w:rPr>
              <w:t xml:space="preserve">If refrigeration temperatures during transit exceed 40°F at any point, then, reject the product </w:t>
            </w:r>
            <w:r w:rsidRPr="00AD6D21">
              <w:rPr>
                <w:b/>
                <w:bCs/>
                <w:sz w:val="22"/>
                <w:szCs w:val="22"/>
              </w:rPr>
              <w:t>OR</w:t>
            </w:r>
            <w:r w:rsidRPr="00AD6D21">
              <w:rPr>
                <w:sz w:val="22"/>
                <w:szCs w:val="22"/>
              </w:rPr>
              <w:t xml:space="preserve"> place it under refrigeration and evaluate the safety of the product</w:t>
            </w:r>
          </w:p>
          <w:p w14:paraId="7B6EEA99" w14:textId="49F3F0F4" w:rsidR="00AD6D21" w:rsidRPr="00AD6D21" w:rsidRDefault="00AD6D21" w:rsidP="00DF5603">
            <w:pPr>
              <w:spacing w:before="240"/>
              <w:rPr>
                <w:b/>
                <w:bCs/>
                <w:sz w:val="22"/>
                <w:szCs w:val="22"/>
              </w:rPr>
            </w:pPr>
            <w:r w:rsidRPr="00AD6D21">
              <w:rPr>
                <w:b/>
                <w:bCs/>
                <w:sz w:val="22"/>
                <w:szCs w:val="22"/>
              </w:rPr>
              <w:t>AND</w:t>
            </w:r>
          </w:p>
          <w:p w14:paraId="7E49DB1A" w14:textId="2C1BD350" w:rsidR="00AD6D21" w:rsidRPr="00677CAA" w:rsidRDefault="00AD6D21" w:rsidP="00DF5603">
            <w:pPr>
              <w:spacing w:before="240"/>
              <w:rPr>
                <w:sz w:val="22"/>
                <w:szCs w:val="22"/>
              </w:rPr>
            </w:pPr>
            <w:r>
              <w:rPr>
                <w:sz w:val="22"/>
                <w:szCs w:val="22"/>
              </w:rPr>
              <w:t>D</w:t>
            </w:r>
            <w:r w:rsidRPr="00AD6D21">
              <w:rPr>
                <w:sz w:val="22"/>
                <w:szCs w:val="22"/>
              </w:rPr>
              <w:t>iscontinue use of the supplier until transport procedures have been corrected to maintain safe temperatures to prevent future occurrences.</w:t>
            </w:r>
          </w:p>
        </w:tc>
        <w:tc>
          <w:tcPr>
            <w:tcW w:w="1980" w:type="dxa"/>
          </w:tcPr>
          <w:p w14:paraId="29672D4C" w14:textId="1C2825EC" w:rsidR="00AD6D21" w:rsidRPr="00AD6D21" w:rsidRDefault="00AD6D21" w:rsidP="00AD6D21">
            <w:pPr>
              <w:spacing w:before="240"/>
              <w:rPr>
                <w:sz w:val="22"/>
                <w:szCs w:val="22"/>
              </w:rPr>
            </w:pPr>
            <w:r w:rsidRPr="00AD6D21">
              <w:rPr>
                <w:sz w:val="22"/>
                <w:szCs w:val="22"/>
              </w:rPr>
              <w:t>Weekly review of monitoring and corrective action records</w:t>
            </w:r>
            <w:r w:rsidR="009F5173">
              <w:rPr>
                <w:sz w:val="22"/>
                <w:szCs w:val="22"/>
              </w:rPr>
              <w:t>.</w:t>
            </w:r>
          </w:p>
          <w:p w14:paraId="48AD3B1D" w14:textId="764180B7" w:rsidR="00AD6D21" w:rsidRPr="00677CAA" w:rsidRDefault="00AD6D21" w:rsidP="00AD6D21">
            <w:pPr>
              <w:spacing w:before="240"/>
              <w:rPr>
                <w:sz w:val="22"/>
                <w:szCs w:val="22"/>
              </w:rPr>
            </w:pPr>
            <w:r w:rsidRPr="00AD6D21">
              <w:rPr>
                <w:sz w:val="22"/>
                <w:szCs w:val="22"/>
              </w:rPr>
              <w:t>Product temperature checks quarterly for new suppliers and annually thereafter in the center of the container.</w:t>
            </w:r>
          </w:p>
        </w:tc>
        <w:tc>
          <w:tcPr>
            <w:tcW w:w="2070" w:type="dxa"/>
          </w:tcPr>
          <w:p w14:paraId="049889C9" w14:textId="785CFDFC" w:rsidR="009F5173" w:rsidRPr="009F5173" w:rsidRDefault="009F5173" w:rsidP="009F5173">
            <w:pPr>
              <w:spacing w:before="240"/>
              <w:rPr>
                <w:sz w:val="22"/>
                <w:szCs w:val="22"/>
              </w:rPr>
            </w:pPr>
            <w:r w:rsidRPr="009F5173">
              <w:rPr>
                <w:sz w:val="22"/>
                <w:szCs w:val="22"/>
              </w:rPr>
              <w:t>Refrigerated truck temperature logs indicating time throughout transit.</w:t>
            </w:r>
          </w:p>
          <w:p w14:paraId="6AEA9133" w14:textId="77777777" w:rsidR="009F5173" w:rsidRPr="009F5173" w:rsidRDefault="009F5173" w:rsidP="009F5173">
            <w:pPr>
              <w:spacing w:before="240"/>
              <w:rPr>
                <w:sz w:val="22"/>
                <w:szCs w:val="22"/>
              </w:rPr>
            </w:pPr>
            <w:r w:rsidRPr="009F5173">
              <w:rPr>
                <w:sz w:val="22"/>
                <w:szCs w:val="22"/>
              </w:rPr>
              <w:t>Corrective action records if necessary</w:t>
            </w:r>
          </w:p>
          <w:p w14:paraId="43D13FAC" w14:textId="13F43F2C" w:rsidR="009F5173" w:rsidRPr="009F5173" w:rsidRDefault="009F5173" w:rsidP="009F5173">
            <w:pPr>
              <w:spacing w:before="240"/>
              <w:rPr>
                <w:sz w:val="22"/>
                <w:szCs w:val="22"/>
              </w:rPr>
            </w:pPr>
            <w:r w:rsidRPr="009F5173">
              <w:rPr>
                <w:sz w:val="22"/>
                <w:szCs w:val="22"/>
              </w:rPr>
              <w:t>Verification records of periodic product temperature checks</w:t>
            </w:r>
            <w:r>
              <w:rPr>
                <w:sz w:val="22"/>
                <w:szCs w:val="22"/>
              </w:rPr>
              <w:t>.</w:t>
            </w:r>
          </w:p>
          <w:p w14:paraId="1A34B8EC" w14:textId="6FC5D7C9" w:rsidR="00AD6D21" w:rsidRPr="00677CAA" w:rsidRDefault="009F5173" w:rsidP="009F5173">
            <w:pPr>
              <w:spacing w:before="240"/>
              <w:rPr>
                <w:sz w:val="22"/>
                <w:szCs w:val="22"/>
              </w:rPr>
            </w:pPr>
            <w:r w:rsidRPr="009F5173">
              <w:rPr>
                <w:sz w:val="22"/>
                <w:szCs w:val="22"/>
              </w:rPr>
              <w:t>PCQI training records (PCHF only)</w:t>
            </w:r>
            <w:r>
              <w:rPr>
                <w:sz w:val="22"/>
                <w:szCs w:val="22"/>
              </w:rPr>
              <w:t>.</w:t>
            </w:r>
          </w:p>
        </w:tc>
      </w:tr>
    </w:tbl>
    <w:p w14:paraId="52ABB38B" w14:textId="77777777" w:rsidR="00AD6D21" w:rsidRDefault="00AD6D21" w:rsidP="00AD6D21"/>
    <w:p w14:paraId="11DE8F2B" w14:textId="77777777" w:rsidR="00AD6D21" w:rsidRDefault="00AD6D21" w:rsidP="00AD6D21">
      <w:pPr>
        <w:sectPr w:rsidR="00AD6D21" w:rsidSect="0099497E">
          <w:pgSz w:w="15840" w:h="12240" w:orient="landscape"/>
          <w:pgMar w:top="1440" w:right="1440" w:bottom="1440" w:left="1440" w:header="720" w:footer="720" w:gutter="0"/>
          <w:pgNumType w:chapStyle="1"/>
          <w:cols w:space="720"/>
          <w:docGrid w:linePitch="360"/>
        </w:sectPr>
      </w:pPr>
    </w:p>
    <w:p w14:paraId="5554CE63" w14:textId="46247488" w:rsidR="00AD6D21" w:rsidRDefault="0099497E" w:rsidP="00846B8F">
      <w:pPr>
        <w:pStyle w:val="Heading4"/>
        <w:numPr>
          <w:ilvl w:val="3"/>
          <w:numId w:val="159"/>
        </w:numPr>
      </w:pPr>
      <w:r>
        <w:lastRenderedPageBreak/>
        <w:t xml:space="preserve">Example Food Safety Plan for </w:t>
      </w:r>
      <w:r w:rsidR="007603F4">
        <w:t xml:space="preserve">Source </w:t>
      </w:r>
      <w:r>
        <w:t>Control</w:t>
      </w:r>
    </w:p>
    <w:p w14:paraId="07D4F0EF" w14:textId="77777777" w:rsidR="0099497E" w:rsidRDefault="0099497E" w:rsidP="00F9694B">
      <w:pPr>
        <w:ind w:left="-900" w:right="-990"/>
        <w:contextualSpacing/>
      </w:pPr>
      <w:r w:rsidRPr="00324CA8">
        <w:rPr>
          <w:b/>
          <w:bCs/>
        </w:rPr>
        <w:t>Control Strategy:</w:t>
      </w:r>
      <w:r>
        <w:t xml:space="preserve"> Source Control</w:t>
      </w:r>
    </w:p>
    <w:p w14:paraId="0F2BA46B" w14:textId="77777777" w:rsidR="0099497E" w:rsidRDefault="0099497E" w:rsidP="00F9694B">
      <w:pPr>
        <w:ind w:left="-900" w:right="-990"/>
        <w:contextualSpacing/>
      </w:pPr>
      <w:r w:rsidRPr="00324CA8">
        <w:rPr>
          <w:b/>
          <w:bCs/>
        </w:rPr>
        <w:t>Supply Chain Preventive Control (PCHF):</w:t>
      </w:r>
      <w:r>
        <w:t xml:space="preserve"> Receiving Step</w:t>
      </w:r>
    </w:p>
    <w:p w14:paraId="184F5B10" w14:textId="593E7B70" w:rsidR="0099497E" w:rsidRDefault="0099497E" w:rsidP="00F9694B">
      <w:pPr>
        <w:ind w:left="-900" w:right="-990"/>
        <w:contextualSpacing/>
      </w:pPr>
      <w:r w:rsidRPr="00324CA8">
        <w:rPr>
          <w:b/>
          <w:bCs/>
        </w:rPr>
        <w:t>Hazard:</w:t>
      </w:r>
      <w:r>
        <w:t xml:space="preserve"> Pathogen Growth Due to Temperature Abuse</w:t>
      </w:r>
    </w:p>
    <w:tbl>
      <w:tblPr>
        <w:tblStyle w:val="TableGrid"/>
        <w:tblW w:w="15019" w:type="dxa"/>
        <w:tblInd w:w="-90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14" w:type="dxa"/>
          <w:left w:w="29" w:type="dxa"/>
          <w:right w:w="29" w:type="dxa"/>
        </w:tblCellMar>
        <w:tblLook w:val="04A0" w:firstRow="1" w:lastRow="0" w:firstColumn="1" w:lastColumn="0" w:noHBand="0" w:noVBand="1"/>
        <w:tblCaption w:val="Example Food Safety Plan for Source Control: Pathogen Growth Due to Temperature Abuse"/>
      </w:tblPr>
      <w:tblGrid>
        <w:gridCol w:w="1339"/>
        <w:gridCol w:w="1440"/>
        <w:gridCol w:w="1170"/>
        <w:gridCol w:w="1350"/>
        <w:gridCol w:w="1440"/>
        <w:gridCol w:w="1440"/>
        <w:gridCol w:w="1620"/>
        <w:gridCol w:w="3420"/>
        <w:gridCol w:w="1800"/>
      </w:tblGrid>
      <w:tr w:rsidR="0099497E" w14:paraId="17D84FAD" w14:textId="77777777" w:rsidTr="00A61B74">
        <w:tc>
          <w:tcPr>
            <w:tcW w:w="1339" w:type="dxa"/>
            <w:shd w:val="clear" w:color="auto" w:fill="D1D1D1" w:themeFill="background2" w:themeFillShade="E6"/>
          </w:tcPr>
          <w:p w14:paraId="37654583" w14:textId="77777777" w:rsidR="0099497E" w:rsidRPr="006C63B7" w:rsidRDefault="0099497E" w:rsidP="00DF5603">
            <w:pPr>
              <w:contextualSpacing/>
              <w:jc w:val="center"/>
              <w:rPr>
                <w:b/>
                <w:bCs/>
              </w:rPr>
            </w:pPr>
            <w:r w:rsidRPr="006C63B7">
              <w:rPr>
                <w:b/>
                <w:bCs/>
              </w:rPr>
              <w:t>Raw Material / Ingredient</w:t>
            </w:r>
          </w:p>
        </w:tc>
        <w:tc>
          <w:tcPr>
            <w:tcW w:w="1440" w:type="dxa"/>
            <w:shd w:val="clear" w:color="auto" w:fill="D1D1D1" w:themeFill="background2" w:themeFillShade="E6"/>
          </w:tcPr>
          <w:p w14:paraId="43287E1E" w14:textId="77777777" w:rsidR="0099497E" w:rsidRPr="006C63B7" w:rsidRDefault="0099497E" w:rsidP="00DF5603">
            <w:pPr>
              <w:contextualSpacing/>
              <w:jc w:val="center"/>
              <w:rPr>
                <w:b/>
                <w:bCs/>
              </w:rPr>
            </w:pPr>
            <w:r w:rsidRPr="006C63B7">
              <w:rPr>
                <w:b/>
                <w:bCs/>
              </w:rPr>
              <w:t>Approved Supplier</w:t>
            </w:r>
          </w:p>
        </w:tc>
        <w:tc>
          <w:tcPr>
            <w:tcW w:w="1170" w:type="dxa"/>
            <w:shd w:val="clear" w:color="auto" w:fill="D1D1D1" w:themeFill="background2" w:themeFillShade="E6"/>
          </w:tcPr>
          <w:p w14:paraId="037B2257" w14:textId="77777777" w:rsidR="0099497E" w:rsidRPr="006C63B7" w:rsidRDefault="0099497E" w:rsidP="00DF5603">
            <w:pPr>
              <w:contextualSpacing/>
              <w:jc w:val="center"/>
              <w:rPr>
                <w:b/>
                <w:bCs/>
              </w:rPr>
            </w:pPr>
            <w:r w:rsidRPr="006C63B7">
              <w:rPr>
                <w:b/>
                <w:bCs/>
              </w:rPr>
              <w:t>Date of Approval</w:t>
            </w:r>
          </w:p>
        </w:tc>
        <w:tc>
          <w:tcPr>
            <w:tcW w:w="1350" w:type="dxa"/>
            <w:shd w:val="clear" w:color="auto" w:fill="D1D1D1" w:themeFill="background2" w:themeFillShade="E6"/>
          </w:tcPr>
          <w:p w14:paraId="25E10420" w14:textId="77777777" w:rsidR="0099497E" w:rsidRPr="006C63B7" w:rsidRDefault="0099497E" w:rsidP="00DF5603">
            <w:pPr>
              <w:contextualSpacing/>
              <w:jc w:val="center"/>
              <w:rPr>
                <w:b/>
                <w:bCs/>
              </w:rPr>
            </w:pPr>
            <w:r w:rsidRPr="006C63B7">
              <w:rPr>
                <w:b/>
                <w:bCs/>
              </w:rPr>
              <w:t>Hazard Requiring PC</w:t>
            </w:r>
          </w:p>
        </w:tc>
        <w:tc>
          <w:tcPr>
            <w:tcW w:w="1440" w:type="dxa"/>
            <w:shd w:val="clear" w:color="auto" w:fill="D1D1D1" w:themeFill="background2" w:themeFillShade="E6"/>
          </w:tcPr>
          <w:p w14:paraId="44681305" w14:textId="77777777" w:rsidR="0099497E" w:rsidRPr="006C63B7" w:rsidRDefault="0099497E" w:rsidP="00DF5603">
            <w:pPr>
              <w:contextualSpacing/>
              <w:jc w:val="center"/>
              <w:rPr>
                <w:b/>
                <w:bCs/>
              </w:rPr>
            </w:pPr>
            <w:r w:rsidRPr="006C63B7">
              <w:rPr>
                <w:b/>
                <w:bCs/>
              </w:rPr>
              <w:t>Preventiv</w:t>
            </w:r>
            <w:r>
              <w:rPr>
                <w:b/>
                <w:bCs/>
              </w:rPr>
              <w:t xml:space="preserve">e </w:t>
            </w:r>
            <w:r w:rsidRPr="006C63B7">
              <w:rPr>
                <w:b/>
                <w:bCs/>
              </w:rPr>
              <w:t>Control Applied by Supplier</w:t>
            </w:r>
          </w:p>
        </w:tc>
        <w:tc>
          <w:tcPr>
            <w:tcW w:w="1440" w:type="dxa"/>
            <w:shd w:val="clear" w:color="auto" w:fill="D1D1D1" w:themeFill="background2" w:themeFillShade="E6"/>
          </w:tcPr>
          <w:p w14:paraId="67AE8706" w14:textId="77777777" w:rsidR="0099497E" w:rsidRDefault="0099497E" w:rsidP="00DF5603">
            <w:pPr>
              <w:jc w:val="center"/>
              <w:rPr>
                <w:b/>
                <w:bCs/>
              </w:rPr>
            </w:pPr>
            <w:r w:rsidRPr="006C63B7">
              <w:rPr>
                <w:b/>
                <w:bCs/>
              </w:rPr>
              <w:t>Verification Activities</w:t>
            </w:r>
          </w:p>
          <w:p w14:paraId="2D7ED3B6" w14:textId="77777777" w:rsidR="0099497E" w:rsidRPr="006C63B7" w:rsidRDefault="0099497E" w:rsidP="00DF5603">
            <w:pPr>
              <w:spacing w:before="240"/>
              <w:jc w:val="center"/>
              <w:rPr>
                <w:b/>
                <w:bCs/>
              </w:rPr>
            </w:pPr>
            <w:r w:rsidRPr="006C63B7">
              <w:rPr>
                <w:b/>
                <w:bCs/>
              </w:rPr>
              <w:t>Supplier</w:t>
            </w:r>
          </w:p>
        </w:tc>
        <w:tc>
          <w:tcPr>
            <w:tcW w:w="1620" w:type="dxa"/>
            <w:shd w:val="clear" w:color="auto" w:fill="D1D1D1" w:themeFill="background2" w:themeFillShade="E6"/>
          </w:tcPr>
          <w:p w14:paraId="758CC17C" w14:textId="77777777" w:rsidR="0099497E" w:rsidRPr="006C63B7" w:rsidRDefault="0099497E" w:rsidP="00DF5603">
            <w:pPr>
              <w:jc w:val="center"/>
              <w:rPr>
                <w:b/>
                <w:bCs/>
              </w:rPr>
            </w:pPr>
            <w:r w:rsidRPr="006C63B7">
              <w:rPr>
                <w:b/>
                <w:bCs/>
              </w:rPr>
              <w:t>Verification Procedures</w:t>
            </w:r>
          </w:p>
          <w:p w14:paraId="33E7A01E" w14:textId="77777777" w:rsidR="0099497E" w:rsidRPr="006C63B7" w:rsidRDefault="0099497E" w:rsidP="00DF5603">
            <w:pPr>
              <w:spacing w:before="240"/>
              <w:jc w:val="center"/>
              <w:rPr>
                <w:b/>
                <w:bCs/>
              </w:rPr>
            </w:pPr>
            <w:r w:rsidRPr="006C63B7">
              <w:rPr>
                <w:b/>
                <w:bCs/>
              </w:rPr>
              <w:t>Buyer</w:t>
            </w:r>
          </w:p>
        </w:tc>
        <w:tc>
          <w:tcPr>
            <w:tcW w:w="3420" w:type="dxa"/>
            <w:shd w:val="clear" w:color="auto" w:fill="D1D1D1" w:themeFill="background2" w:themeFillShade="E6"/>
          </w:tcPr>
          <w:p w14:paraId="57F6724B" w14:textId="77777777" w:rsidR="0099497E" w:rsidRPr="006C63B7" w:rsidRDefault="0099497E" w:rsidP="00DF5603">
            <w:pPr>
              <w:contextualSpacing/>
              <w:jc w:val="center"/>
              <w:rPr>
                <w:b/>
                <w:bCs/>
              </w:rPr>
            </w:pPr>
            <w:r w:rsidRPr="006C63B7">
              <w:rPr>
                <w:b/>
                <w:bCs/>
              </w:rPr>
              <w:t>Corrective Actions</w:t>
            </w:r>
          </w:p>
        </w:tc>
        <w:tc>
          <w:tcPr>
            <w:tcW w:w="1800" w:type="dxa"/>
            <w:shd w:val="clear" w:color="auto" w:fill="D1D1D1" w:themeFill="background2" w:themeFillShade="E6"/>
          </w:tcPr>
          <w:p w14:paraId="248B8775" w14:textId="77777777" w:rsidR="0099497E" w:rsidRPr="006C63B7" w:rsidRDefault="0099497E" w:rsidP="00DF5603">
            <w:pPr>
              <w:contextualSpacing/>
              <w:jc w:val="center"/>
              <w:rPr>
                <w:b/>
                <w:bCs/>
              </w:rPr>
            </w:pPr>
            <w:r w:rsidRPr="006C63B7">
              <w:rPr>
                <w:b/>
                <w:bCs/>
              </w:rPr>
              <w:t>Records</w:t>
            </w:r>
          </w:p>
        </w:tc>
      </w:tr>
      <w:tr w:rsidR="0099497E" w14:paraId="799172E7" w14:textId="77777777" w:rsidTr="00A61B74">
        <w:trPr>
          <w:trHeight w:val="6366"/>
        </w:trPr>
        <w:tc>
          <w:tcPr>
            <w:tcW w:w="1339" w:type="dxa"/>
          </w:tcPr>
          <w:p w14:paraId="7EBB8CE3" w14:textId="77777777" w:rsidR="0099497E" w:rsidRDefault="0099497E" w:rsidP="00DF5603">
            <w:pPr>
              <w:spacing w:before="240"/>
              <w:rPr>
                <w:sz w:val="22"/>
                <w:szCs w:val="22"/>
              </w:rPr>
            </w:pPr>
            <w:r w:rsidRPr="0099497E">
              <w:rPr>
                <w:sz w:val="22"/>
                <w:szCs w:val="22"/>
              </w:rPr>
              <w:t>Winged Kelp</w:t>
            </w:r>
          </w:p>
          <w:p w14:paraId="0F389245" w14:textId="6B1E1D73" w:rsidR="0099497E" w:rsidRPr="00D75A6A" w:rsidRDefault="0099497E" w:rsidP="00DF5603">
            <w:pPr>
              <w:spacing w:before="240"/>
              <w:rPr>
                <w:i/>
                <w:iCs/>
                <w:sz w:val="22"/>
                <w:szCs w:val="22"/>
              </w:rPr>
            </w:pPr>
            <w:r w:rsidRPr="0099497E">
              <w:rPr>
                <w:i/>
                <w:iCs/>
                <w:sz w:val="22"/>
                <w:szCs w:val="22"/>
              </w:rPr>
              <w:t>Alaria esculenta</w:t>
            </w:r>
          </w:p>
        </w:tc>
        <w:tc>
          <w:tcPr>
            <w:tcW w:w="1440" w:type="dxa"/>
          </w:tcPr>
          <w:p w14:paraId="20423C50" w14:textId="77777777" w:rsidR="0099497E" w:rsidRPr="0099497E" w:rsidRDefault="0099497E" w:rsidP="0099497E">
            <w:pPr>
              <w:spacing w:before="240"/>
              <w:rPr>
                <w:sz w:val="22"/>
                <w:szCs w:val="22"/>
              </w:rPr>
            </w:pPr>
            <w:r w:rsidRPr="0099497E">
              <w:rPr>
                <w:sz w:val="22"/>
                <w:szCs w:val="22"/>
              </w:rPr>
              <w:t>123 Kelp Co</w:t>
            </w:r>
          </w:p>
          <w:p w14:paraId="281098CA" w14:textId="77777777" w:rsidR="0099497E" w:rsidRPr="0099497E" w:rsidRDefault="0099497E" w:rsidP="0099497E">
            <w:pPr>
              <w:spacing w:before="240"/>
              <w:rPr>
                <w:sz w:val="22"/>
                <w:szCs w:val="22"/>
              </w:rPr>
            </w:pPr>
            <w:r w:rsidRPr="0099497E">
              <w:rPr>
                <w:sz w:val="22"/>
                <w:szCs w:val="22"/>
              </w:rPr>
              <w:t>123 Sugar Dr.</w:t>
            </w:r>
          </w:p>
          <w:p w14:paraId="0CA65087" w14:textId="79602801" w:rsidR="0099497E" w:rsidRPr="006C63B7" w:rsidRDefault="0099497E" w:rsidP="0099497E">
            <w:pPr>
              <w:spacing w:before="240"/>
              <w:contextualSpacing/>
              <w:rPr>
                <w:sz w:val="22"/>
                <w:szCs w:val="22"/>
              </w:rPr>
            </w:pPr>
            <w:r w:rsidRPr="0099497E">
              <w:rPr>
                <w:sz w:val="22"/>
                <w:szCs w:val="22"/>
              </w:rPr>
              <w:t>Somewhere, NY 55555</w:t>
            </w:r>
          </w:p>
        </w:tc>
        <w:tc>
          <w:tcPr>
            <w:tcW w:w="1170" w:type="dxa"/>
          </w:tcPr>
          <w:p w14:paraId="636BF8AD" w14:textId="0FE0C574" w:rsidR="0099497E" w:rsidRPr="006C63B7" w:rsidRDefault="0099497E" w:rsidP="00DF5603">
            <w:pPr>
              <w:spacing w:before="240"/>
              <w:rPr>
                <w:sz w:val="22"/>
                <w:szCs w:val="22"/>
              </w:rPr>
            </w:pPr>
            <w:r w:rsidRPr="0099497E">
              <w:rPr>
                <w:sz w:val="22"/>
                <w:szCs w:val="22"/>
              </w:rPr>
              <w:t>Jan. 2, 2024</w:t>
            </w:r>
          </w:p>
        </w:tc>
        <w:tc>
          <w:tcPr>
            <w:tcW w:w="1350" w:type="dxa"/>
          </w:tcPr>
          <w:p w14:paraId="402FE712" w14:textId="5B69122F" w:rsidR="0099497E" w:rsidRPr="006C63B7" w:rsidRDefault="0099497E" w:rsidP="00DF5603">
            <w:pPr>
              <w:spacing w:before="240"/>
              <w:rPr>
                <w:sz w:val="22"/>
                <w:szCs w:val="22"/>
              </w:rPr>
            </w:pPr>
            <w:r w:rsidRPr="0099497E">
              <w:rPr>
                <w:sz w:val="22"/>
                <w:szCs w:val="22"/>
              </w:rPr>
              <w:t>Pathogen growth due to temperature abuse.</w:t>
            </w:r>
          </w:p>
        </w:tc>
        <w:tc>
          <w:tcPr>
            <w:tcW w:w="1440" w:type="dxa"/>
          </w:tcPr>
          <w:p w14:paraId="08C06D1E" w14:textId="4954B427" w:rsidR="0099497E" w:rsidRPr="006C63B7" w:rsidRDefault="0099497E" w:rsidP="00DF5603">
            <w:pPr>
              <w:spacing w:before="240"/>
              <w:rPr>
                <w:sz w:val="22"/>
                <w:szCs w:val="22"/>
              </w:rPr>
            </w:pPr>
            <w:r w:rsidRPr="0099497E">
              <w:rPr>
                <w:sz w:val="22"/>
                <w:szCs w:val="22"/>
              </w:rPr>
              <w:t>Harvested kelp is placed in coolers with gel media packs within two hours of harvest.</w:t>
            </w:r>
          </w:p>
        </w:tc>
        <w:tc>
          <w:tcPr>
            <w:tcW w:w="1440" w:type="dxa"/>
          </w:tcPr>
          <w:p w14:paraId="5926C7A0" w14:textId="2FB0CB44" w:rsidR="0099497E" w:rsidRPr="006C63B7" w:rsidRDefault="0099497E" w:rsidP="00DF5603">
            <w:pPr>
              <w:spacing w:before="240"/>
              <w:rPr>
                <w:sz w:val="22"/>
                <w:szCs w:val="22"/>
              </w:rPr>
            </w:pPr>
            <w:r w:rsidRPr="0099497E">
              <w:rPr>
                <w:sz w:val="22"/>
                <w:szCs w:val="22"/>
              </w:rPr>
              <w:t>Review of time and temperature records for harvest weekly.</w:t>
            </w:r>
          </w:p>
        </w:tc>
        <w:tc>
          <w:tcPr>
            <w:tcW w:w="1620" w:type="dxa"/>
          </w:tcPr>
          <w:p w14:paraId="4ADA6906" w14:textId="4CEF9EBE" w:rsidR="0099497E" w:rsidRPr="0099497E" w:rsidRDefault="0099497E" w:rsidP="0099497E">
            <w:pPr>
              <w:spacing w:before="240"/>
              <w:rPr>
                <w:sz w:val="22"/>
                <w:szCs w:val="22"/>
              </w:rPr>
            </w:pPr>
            <w:r w:rsidRPr="0099497E">
              <w:rPr>
                <w:sz w:val="22"/>
                <w:szCs w:val="22"/>
              </w:rPr>
              <w:t>Harvest records indicating time of harvest and placement in the cooler.</w:t>
            </w:r>
          </w:p>
          <w:p w14:paraId="5E0A8A56" w14:textId="37FBD8BB" w:rsidR="0099497E" w:rsidRPr="006C63B7" w:rsidRDefault="0099497E" w:rsidP="0099497E">
            <w:pPr>
              <w:spacing w:before="240"/>
              <w:rPr>
                <w:sz w:val="22"/>
                <w:szCs w:val="22"/>
              </w:rPr>
            </w:pPr>
            <w:r w:rsidRPr="0099497E">
              <w:rPr>
                <w:sz w:val="22"/>
                <w:szCs w:val="22"/>
              </w:rPr>
              <w:t>Check that gel packs are frozen upon receipt and internal temperature check in a representative number of containers.</w:t>
            </w:r>
          </w:p>
        </w:tc>
        <w:tc>
          <w:tcPr>
            <w:tcW w:w="3420" w:type="dxa"/>
          </w:tcPr>
          <w:p w14:paraId="6D5BCE22" w14:textId="1E414D88" w:rsidR="0099497E" w:rsidRDefault="0099497E" w:rsidP="0099497E">
            <w:pPr>
              <w:spacing w:before="240"/>
              <w:rPr>
                <w:sz w:val="22"/>
                <w:szCs w:val="22"/>
              </w:rPr>
            </w:pPr>
            <w:r w:rsidRPr="00632241">
              <w:rPr>
                <w:sz w:val="22"/>
                <w:szCs w:val="22"/>
              </w:rPr>
              <w:t xml:space="preserve">If </w:t>
            </w:r>
            <w:r w:rsidRPr="0099497E">
              <w:rPr>
                <w:sz w:val="22"/>
                <w:szCs w:val="22"/>
              </w:rPr>
              <w:t xml:space="preserve">harvest record is not received, </w:t>
            </w:r>
            <w:r w:rsidRPr="00632241">
              <w:rPr>
                <w:sz w:val="22"/>
                <w:szCs w:val="22"/>
              </w:rPr>
              <w:t xml:space="preserve">then, </w:t>
            </w:r>
            <w:r w:rsidRPr="0099497E">
              <w:rPr>
                <w:sz w:val="22"/>
                <w:szCs w:val="22"/>
              </w:rPr>
              <w:t xml:space="preserve">reject the lot </w:t>
            </w:r>
            <w:r w:rsidRPr="0099497E">
              <w:rPr>
                <w:b/>
                <w:bCs/>
                <w:sz w:val="22"/>
                <w:szCs w:val="22"/>
              </w:rPr>
              <w:t>OR</w:t>
            </w:r>
            <w:r w:rsidRPr="0099497E">
              <w:rPr>
                <w:sz w:val="22"/>
                <w:szCs w:val="22"/>
              </w:rPr>
              <w:t xml:space="preserve"> hold until documentation is received</w:t>
            </w:r>
          </w:p>
          <w:p w14:paraId="74086B01" w14:textId="33DC1C95" w:rsidR="0099497E" w:rsidRDefault="0099497E" w:rsidP="0099497E">
            <w:pPr>
              <w:spacing w:before="240"/>
              <w:rPr>
                <w:sz w:val="22"/>
                <w:szCs w:val="22"/>
              </w:rPr>
            </w:pPr>
            <w:r w:rsidRPr="0099497E">
              <w:rPr>
                <w:b/>
                <w:bCs/>
                <w:sz w:val="22"/>
                <w:szCs w:val="22"/>
              </w:rPr>
              <w:t>AND</w:t>
            </w:r>
          </w:p>
          <w:p w14:paraId="0AB54669" w14:textId="33B7D0F2" w:rsidR="0099497E" w:rsidRPr="0099497E" w:rsidRDefault="0099497E" w:rsidP="0099497E">
            <w:pPr>
              <w:spacing w:before="240"/>
              <w:rPr>
                <w:sz w:val="22"/>
                <w:szCs w:val="22"/>
              </w:rPr>
            </w:pPr>
            <w:r>
              <w:rPr>
                <w:sz w:val="22"/>
                <w:szCs w:val="22"/>
              </w:rPr>
              <w:t>D</w:t>
            </w:r>
            <w:r w:rsidRPr="0099497E">
              <w:rPr>
                <w:sz w:val="22"/>
                <w:szCs w:val="22"/>
              </w:rPr>
              <w:t>iscontinue use of the supplier until evidence is obtained that record requirement can be met.</w:t>
            </w:r>
          </w:p>
          <w:p w14:paraId="4334F930" w14:textId="0A2EFD22" w:rsidR="0099497E" w:rsidRDefault="0099497E" w:rsidP="0099497E">
            <w:pPr>
              <w:spacing w:before="240"/>
              <w:rPr>
                <w:sz w:val="22"/>
                <w:szCs w:val="22"/>
              </w:rPr>
            </w:pPr>
            <w:r w:rsidRPr="00632241">
              <w:rPr>
                <w:sz w:val="22"/>
                <w:szCs w:val="22"/>
              </w:rPr>
              <w:t>If harv</w:t>
            </w:r>
            <w:r w:rsidRPr="0099497E">
              <w:rPr>
                <w:sz w:val="22"/>
                <w:szCs w:val="22"/>
              </w:rPr>
              <w:t xml:space="preserve">est record indicates time to cold storage exceeds two hours, </w:t>
            </w:r>
            <w:r w:rsidRPr="0099497E">
              <w:rPr>
                <w:b/>
                <w:bCs/>
                <w:sz w:val="22"/>
                <w:szCs w:val="22"/>
              </w:rPr>
              <w:t>OR</w:t>
            </w:r>
            <w:r w:rsidRPr="0099497E">
              <w:rPr>
                <w:sz w:val="22"/>
                <w:szCs w:val="22"/>
              </w:rPr>
              <w:t xml:space="preserve"> gel packs are not frozen, </w:t>
            </w:r>
            <w:r w:rsidRPr="0099497E">
              <w:rPr>
                <w:b/>
                <w:bCs/>
                <w:sz w:val="22"/>
                <w:szCs w:val="22"/>
              </w:rPr>
              <w:t>OR</w:t>
            </w:r>
            <w:r w:rsidRPr="0099497E">
              <w:rPr>
                <w:sz w:val="22"/>
                <w:szCs w:val="22"/>
              </w:rPr>
              <w:t xml:space="preserve"> product temperature is above 40 °F</w:t>
            </w:r>
            <w:r>
              <w:rPr>
                <w:sz w:val="22"/>
                <w:szCs w:val="22"/>
              </w:rPr>
              <w:t xml:space="preserve"> </w:t>
            </w:r>
            <w:r w:rsidRPr="00AD6D21">
              <w:rPr>
                <w:sz w:val="22"/>
                <w:szCs w:val="22"/>
              </w:rPr>
              <w:t>(4.44°C)</w:t>
            </w:r>
            <w:r w:rsidRPr="0099497E">
              <w:rPr>
                <w:sz w:val="22"/>
                <w:szCs w:val="22"/>
              </w:rPr>
              <w:t xml:space="preserve">, </w:t>
            </w:r>
            <w:r w:rsidRPr="00632241">
              <w:rPr>
                <w:sz w:val="22"/>
                <w:szCs w:val="22"/>
              </w:rPr>
              <w:t>then, r</w:t>
            </w:r>
            <w:r w:rsidRPr="0099497E">
              <w:rPr>
                <w:sz w:val="22"/>
                <w:szCs w:val="22"/>
              </w:rPr>
              <w:t xml:space="preserve">eject the lot </w:t>
            </w:r>
            <w:r w:rsidRPr="0099497E">
              <w:rPr>
                <w:b/>
                <w:bCs/>
                <w:sz w:val="22"/>
                <w:szCs w:val="22"/>
              </w:rPr>
              <w:t>OR</w:t>
            </w:r>
            <w:r w:rsidRPr="0099497E">
              <w:rPr>
                <w:sz w:val="22"/>
                <w:szCs w:val="22"/>
              </w:rPr>
              <w:t xml:space="preserve"> place under refrigeration, and evaluate the safety of the product</w:t>
            </w:r>
          </w:p>
          <w:p w14:paraId="21D2081D" w14:textId="77777777" w:rsidR="0099497E" w:rsidRDefault="0099497E" w:rsidP="0099497E">
            <w:pPr>
              <w:spacing w:before="240"/>
              <w:rPr>
                <w:sz w:val="22"/>
                <w:szCs w:val="22"/>
              </w:rPr>
            </w:pPr>
            <w:r w:rsidRPr="0099497E">
              <w:rPr>
                <w:b/>
                <w:bCs/>
                <w:sz w:val="22"/>
                <w:szCs w:val="22"/>
              </w:rPr>
              <w:t>AND</w:t>
            </w:r>
          </w:p>
          <w:p w14:paraId="5AE7AB8E" w14:textId="10C52703" w:rsidR="0099497E" w:rsidRPr="00D75A6A" w:rsidRDefault="0099497E" w:rsidP="0099497E">
            <w:pPr>
              <w:spacing w:before="240"/>
              <w:rPr>
                <w:sz w:val="22"/>
                <w:szCs w:val="22"/>
              </w:rPr>
            </w:pPr>
            <w:r>
              <w:rPr>
                <w:sz w:val="22"/>
                <w:szCs w:val="22"/>
              </w:rPr>
              <w:t>D</w:t>
            </w:r>
            <w:r w:rsidRPr="0099497E">
              <w:rPr>
                <w:sz w:val="22"/>
                <w:szCs w:val="22"/>
              </w:rPr>
              <w:t>iscontinue use of the supplier until evidence is obtained that appropriate preventive controls are in place.</w:t>
            </w:r>
          </w:p>
        </w:tc>
        <w:tc>
          <w:tcPr>
            <w:tcW w:w="1800" w:type="dxa"/>
          </w:tcPr>
          <w:p w14:paraId="12B2D6BC" w14:textId="4A48263C" w:rsidR="0099497E" w:rsidRPr="0099497E" w:rsidRDefault="0099497E" w:rsidP="0099497E">
            <w:pPr>
              <w:spacing w:before="240"/>
              <w:rPr>
                <w:sz w:val="22"/>
                <w:szCs w:val="22"/>
              </w:rPr>
            </w:pPr>
            <w:r w:rsidRPr="0099497E">
              <w:rPr>
                <w:sz w:val="22"/>
                <w:szCs w:val="22"/>
              </w:rPr>
              <w:t>Receiving logs that indicate harvest records were received, frozen status of gel packs on arrival, and product temperature checks.</w:t>
            </w:r>
          </w:p>
          <w:p w14:paraId="71E4B526" w14:textId="77777777" w:rsidR="0099497E" w:rsidRPr="0099497E" w:rsidRDefault="0099497E" w:rsidP="0099497E">
            <w:pPr>
              <w:spacing w:before="240"/>
              <w:rPr>
                <w:sz w:val="22"/>
                <w:szCs w:val="22"/>
              </w:rPr>
            </w:pPr>
            <w:r w:rsidRPr="0099497E">
              <w:rPr>
                <w:sz w:val="22"/>
                <w:szCs w:val="22"/>
              </w:rPr>
              <w:t>Corrective action records, if necessary.</w:t>
            </w:r>
          </w:p>
          <w:p w14:paraId="6302B2C7" w14:textId="6E065E40" w:rsidR="0099497E" w:rsidRPr="006C63B7" w:rsidRDefault="0099497E" w:rsidP="0099497E">
            <w:pPr>
              <w:spacing w:before="240"/>
              <w:rPr>
                <w:sz w:val="22"/>
                <w:szCs w:val="22"/>
              </w:rPr>
            </w:pPr>
            <w:r w:rsidRPr="0099497E">
              <w:rPr>
                <w:sz w:val="22"/>
                <w:szCs w:val="22"/>
              </w:rPr>
              <w:t>PCQI Training records</w:t>
            </w:r>
          </w:p>
        </w:tc>
      </w:tr>
    </w:tbl>
    <w:p w14:paraId="4D9845AA" w14:textId="77777777" w:rsidR="0099497E" w:rsidRDefault="0099497E" w:rsidP="0099497E">
      <w:pPr>
        <w:sectPr w:rsidR="0099497E" w:rsidSect="0099497E">
          <w:pgSz w:w="15840" w:h="12240" w:orient="landscape"/>
          <w:pgMar w:top="1440" w:right="1440" w:bottom="1440" w:left="1440" w:header="720" w:footer="720" w:gutter="0"/>
          <w:pgNumType w:chapStyle="1"/>
          <w:cols w:space="720"/>
          <w:docGrid w:linePitch="360"/>
        </w:sectPr>
      </w:pPr>
    </w:p>
    <w:p w14:paraId="71C403DC" w14:textId="388909B7" w:rsidR="0099497E" w:rsidRDefault="0099497E" w:rsidP="00846B8F">
      <w:pPr>
        <w:pStyle w:val="Heading3"/>
        <w:numPr>
          <w:ilvl w:val="2"/>
          <w:numId w:val="160"/>
        </w:numPr>
      </w:pPr>
      <w:bookmarkStart w:id="191" w:name="_Toc208503271"/>
      <w:r>
        <w:lastRenderedPageBreak/>
        <w:t>Control Strategy 2 – Refrigerated Storage or Processing Control</w:t>
      </w:r>
      <w:bookmarkEnd w:id="191"/>
    </w:p>
    <w:p w14:paraId="64BAEBAF" w14:textId="77777777" w:rsidR="0099497E" w:rsidRPr="0099497E" w:rsidRDefault="0099497E" w:rsidP="00846B8F">
      <w:pPr>
        <w:pStyle w:val="Heading4"/>
        <w:numPr>
          <w:ilvl w:val="3"/>
          <w:numId w:val="160"/>
        </w:numPr>
      </w:pPr>
      <w:r w:rsidRPr="0099497E">
        <w:t>Critical Limit(s)/Parameter(s) and Value(s)</w:t>
      </w:r>
    </w:p>
    <w:p w14:paraId="71F0867E" w14:textId="31CCA402" w:rsidR="0099497E" w:rsidRDefault="0099497E" w:rsidP="00846B8F">
      <w:pPr>
        <w:pStyle w:val="ListParagraph"/>
        <w:numPr>
          <w:ilvl w:val="0"/>
          <w:numId w:val="72"/>
        </w:numPr>
        <w:spacing w:before="240"/>
        <w:contextualSpacing w:val="0"/>
      </w:pPr>
      <w:r>
        <w:t xml:space="preserve">Harvested kelp should be maintained at ≤ 40°F </w:t>
      </w:r>
      <w:r w:rsidRPr="0099497E">
        <w:t>(4.44°C)</w:t>
      </w:r>
      <w:r>
        <w:t>.</w:t>
      </w:r>
    </w:p>
    <w:p w14:paraId="33647B85" w14:textId="77777777" w:rsidR="0099497E" w:rsidRDefault="0099497E" w:rsidP="00846B8F">
      <w:pPr>
        <w:pStyle w:val="Heading4"/>
        <w:numPr>
          <w:ilvl w:val="3"/>
          <w:numId w:val="160"/>
        </w:numPr>
      </w:pPr>
      <w:r>
        <w:t>Monitoring – What, How, How Often, Who</w:t>
      </w:r>
    </w:p>
    <w:p w14:paraId="30E37EF3" w14:textId="77777777" w:rsidR="0099497E" w:rsidRDefault="0099497E" w:rsidP="00846B8F">
      <w:pPr>
        <w:pStyle w:val="ListParagraph"/>
        <w:numPr>
          <w:ilvl w:val="0"/>
          <w:numId w:val="71"/>
        </w:numPr>
        <w:spacing w:before="240"/>
        <w:contextualSpacing w:val="0"/>
      </w:pPr>
      <w:r>
        <w:t>What will be monitored?</w:t>
      </w:r>
    </w:p>
    <w:p w14:paraId="2289FDC1" w14:textId="77777777" w:rsidR="0099497E" w:rsidRDefault="0099497E" w:rsidP="00846B8F">
      <w:pPr>
        <w:pStyle w:val="ListParagraph"/>
        <w:numPr>
          <w:ilvl w:val="1"/>
          <w:numId w:val="71"/>
        </w:numPr>
        <w:contextualSpacing w:val="0"/>
      </w:pPr>
      <w:r>
        <w:t>Ambient temperature of mechanical refrigeration unit or processing room.</w:t>
      </w:r>
    </w:p>
    <w:p w14:paraId="22D8A7E9" w14:textId="77777777" w:rsidR="0099497E" w:rsidRDefault="0099497E" w:rsidP="00846B8F">
      <w:pPr>
        <w:pStyle w:val="ListParagraph"/>
        <w:numPr>
          <w:ilvl w:val="0"/>
          <w:numId w:val="71"/>
        </w:numPr>
        <w:contextualSpacing w:val="0"/>
      </w:pPr>
      <w:r>
        <w:t>How will monitoring be done?</w:t>
      </w:r>
    </w:p>
    <w:p w14:paraId="6CAE6477" w14:textId="77777777" w:rsidR="0099497E" w:rsidRDefault="0099497E" w:rsidP="00846B8F">
      <w:pPr>
        <w:pStyle w:val="ListParagraph"/>
        <w:numPr>
          <w:ilvl w:val="1"/>
          <w:numId w:val="71"/>
        </w:numPr>
        <w:contextualSpacing w:val="0"/>
      </w:pPr>
      <w:r>
        <w:t>Continuous temperature recording device with visual checks of device.</w:t>
      </w:r>
    </w:p>
    <w:p w14:paraId="79512CBA" w14:textId="77777777" w:rsidR="0099497E" w:rsidRDefault="0099497E" w:rsidP="00846B8F">
      <w:pPr>
        <w:pStyle w:val="ListParagraph"/>
        <w:numPr>
          <w:ilvl w:val="0"/>
          <w:numId w:val="71"/>
        </w:numPr>
        <w:contextualSpacing w:val="0"/>
      </w:pPr>
      <w:r>
        <w:t>How often will monitoring be done (frequency)?</w:t>
      </w:r>
    </w:p>
    <w:p w14:paraId="3A2DD362" w14:textId="77777777" w:rsidR="0099497E" w:rsidRDefault="0099497E" w:rsidP="00846B8F">
      <w:pPr>
        <w:pStyle w:val="ListParagraph"/>
        <w:numPr>
          <w:ilvl w:val="1"/>
          <w:numId w:val="71"/>
        </w:numPr>
        <w:contextualSpacing w:val="0"/>
      </w:pPr>
      <w:r>
        <w:t>Continuously, with visual check at least once per day.</w:t>
      </w:r>
    </w:p>
    <w:p w14:paraId="0B131B2A" w14:textId="77777777" w:rsidR="0099497E" w:rsidRDefault="0099497E" w:rsidP="00846B8F">
      <w:pPr>
        <w:pStyle w:val="ListParagraph"/>
        <w:numPr>
          <w:ilvl w:val="0"/>
          <w:numId w:val="71"/>
        </w:numPr>
        <w:contextualSpacing w:val="0"/>
      </w:pPr>
      <w:r>
        <w:t>Who will do the monitoring?</w:t>
      </w:r>
    </w:p>
    <w:p w14:paraId="7705D573" w14:textId="77777777" w:rsidR="0099497E" w:rsidRDefault="0099497E" w:rsidP="00846B8F">
      <w:pPr>
        <w:pStyle w:val="ListParagraph"/>
        <w:numPr>
          <w:ilvl w:val="1"/>
          <w:numId w:val="71"/>
        </w:numPr>
        <w:contextualSpacing w:val="0"/>
      </w:pPr>
      <w:r>
        <w:t>The temperature recording device itself, supported by an individual trained in the controls and monitoring procedures.</w:t>
      </w:r>
    </w:p>
    <w:p w14:paraId="35DA89A6" w14:textId="77777777" w:rsidR="0099497E" w:rsidRDefault="0099497E" w:rsidP="00846B8F">
      <w:pPr>
        <w:pStyle w:val="Heading4"/>
        <w:numPr>
          <w:ilvl w:val="3"/>
          <w:numId w:val="160"/>
        </w:numPr>
      </w:pPr>
      <w:r>
        <w:t>Corrective Action/Corrections</w:t>
      </w:r>
    </w:p>
    <w:p w14:paraId="1BDF7C4D" w14:textId="5558698E" w:rsidR="0099497E" w:rsidRDefault="0099497E" w:rsidP="00846B8F">
      <w:pPr>
        <w:pStyle w:val="ListParagraph"/>
        <w:numPr>
          <w:ilvl w:val="0"/>
          <w:numId w:val="70"/>
        </w:numPr>
        <w:spacing w:before="240"/>
        <w:contextualSpacing w:val="0"/>
      </w:pPr>
      <w:r>
        <w:t xml:space="preserve">If temperature is above 40°F </w:t>
      </w:r>
      <w:r w:rsidRPr="0099497E">
        <w:t>(4.44°C)</w:t>
      </w:r>
      <w:r>
        <w:t xml:space="preserve">, then chill and hold affected products to evaluate for safety </w:t>
      </w:r>
      <w:r w:rsidRPr="0099497E">
        <w:rPr>
          <w:b/>
          <w:bCs/>
        </w:rPr>
        <w:t>OR</w:t>
      </w:r>
      <w:r>
        <w:t xml:space="preserve"> cook the product to effectively eliminate potential food safety hazards </w:t>
      </w:r>
      <w:r w:rsidRPr="0099497E">
        <w:rPr>
          <w:b/>
          <w:bCs/>
        </w:rPr>
        <w:t>OR</w:t>
      </w:r>
      <w:r>
        <w:t xml:space="preserve"> divert product to a non-food use.</w:t>
      </w:r>
    </w:p>
    <w:p w14:paraId="67B04507" w14:textId="264D9A42" w:rsidR="0099497E" w:rsidRDefault="0099497E" w:rsidP="0099497E">
      <w:r w:rsidRPr="0099497E">
        <w:rPr>
          <w:b/>
          <w:bCs/>
        </w:rPr>
        <w:t>AND</w:t>
      </w:r>
      <w:r>
        <w:t xml:space="preserve"> address the root cause to prevent future occurrence.</w:t>
      </w:r>
    </w:p>
    <w:p w14:paraId="7054FA14" w14:textId="77777777" w:rsidR="0099497E" w:rsidRDefault="0099497E" w:rsidP="00846B8F">
      <w:pPr>
        <w:pStyle w:val="ListParagraph"/>
        <w:numPr>
          <w:ilvl w:val="0"/>
          <w:numId w:val="70"/>
        </w:numPr>
        <w:contextualSpacing w:val="0"/>
      </w:pPr>
      <w:r>
        <w:t>Fix the broken refrigerator to prevent future deviations from the critical limit.</w:t>
      </w:r>
    </w:p>
    <w:p w14:paraId="070AB79F" w14:textId="77777777" w:rsidR="0099497E" w:rsidRDefault="0099497E" w:rsidP="00846B8F">
      <w:pPr>
        <w:pStyle w:val="Heading4"/>
        <w:numPr>
          <w:ilvl w:val="3"/>
          <w:numId w:val="160"/>
        </w:numPr>
      </w:pPr>
      <w:r>
        <w:t>Verification</w:t>
      </w:r>
    </w:p>
    <w:p w14:paraId="41330708" w14:textId="77777777" w:rsidR="0099497E" w:rsidRDefault="0099497E" w:rsidP="00846B8F">
      <w:pPr>
        <w:pStyle w:val="ListParagraph"/>
        <w:numPr>
          <w:ilvl w:val="0"/>
          <w:numId w:val="69"/>
        </w:numPr>
        <w:spacing w:before="240"/>
        <w:contextualSpacing w:val="0"/>
      </w:pPr>
      <w:r>
        <w:t>Review or monitoring and corrective action records within one week of preparation to ensure they were completed appropriately.</w:t>
      </w:r>
    </w:p>
    <w:p w14:paraId="5DA1A78E" w14:textId="77777777" w:rsidR="0099497E" w:rsidRDefault="0099497E" w:rsidP="00846B8F">
      <w:pPr>
        <w:pStyle w:val="ListParagraph"/>
        <w:numPr>
          <w:ilvl w:val="0"/>
          <w:numId w:val="69"/>
        </w:numPr>
        <w:contextualSpacing w:val="0"/>
      </w:pPr>
      <w:r>
        <w:t>Perform regular accuracy checks and periodic calibration of temperature recording device(s) as needed or according to the manufacturer’s instructions.</w:t>
      </w:r>
    </w:p>
    <w:p w14:paraId="1DA5D0C6" w14:textId="77777777" w:rsidR="0099497E" w:rsidRDefault="0099497E" w:rsidP="00846B8F">
      <w:pPr>
        <w:pStyle w:val="Heading4"/>
        <w:numPr>
          <w:ilvl w:val="3"/>
          <w:numId w:val="160"/>
        </w:numPr>
      </w:pPr>
      <w:r>
        <w:t>Records</w:t>
      </w:r>
    </w:p>
    <w:p w14:paraId="7D46FBC4" w14:textId="77777777" w:rsidR="0099497E" w:rsidRDefault="0099497E" w:rsidP="00846B8F">
      <w:pPr>
        <w:pStyle w:val="ListParagraph"/>
        <w:numPr>
          <w:ilvl w:val="0"/>
          <w:numId w:val="68"/>
        </w:numPr>
        <w:contextualSpacing w:val="0"/>
      </w:pPr>
      <w:r w:rsidRPr="0099497E">
        <w:rPr>
          <w:b/>
          <w:bCs/>
        </w:rPr>
        <w:t>Monitoring Records:</w:t>
      </w:r>
      <w:r>
        <w:t xml:space="preserve"> Include continuous temperature readings and visual observations.</w:t>
      </w:r>
    </w:p>
    <w:p w14:paraId="2735851E" w14:textId="77777777" w:rsidR="0099497E" w:rsidRDefault="0099497E" w:rsidP="00846B8F">
      <w:pPr>
        <w:pStyle w:val="ListParagraph"/>
        <w:numPr>
          <w:ilvl w:val="0"/>
          <w:numId w:val="68"/>
        </w:numPr>
        <w:contextualSpacing w:val="0"/>
      </w:pPr>
      <w:r w:rsidRPr="0099497E">
        <w:rPr>
          <w:b/>
          <w:bCs/>
        </w:rPr>
        <w:lastRenderedPageBreak/>
        <w:t>Corrective Action Records:</w:t>
      </w:r>
      <w:r>
        <w:t xml:space="preserve"> Document all actions taken in response to deviations from critical limits.</w:t>
      </w:r>
    </w:p>
    <w:p w14:paraId="4B408D90" w14:textId="77777777" w:rsidR="0099497E" w:rsidRDefault="0099497E" w:rsidP="00846B8F">
      <w:pPr>
        <w:pStyle w:val="ListParagraph"/>
        <w:numPr>
          <w:ilvl w:val="0"/>
          <w:numId w:val="68"/>
        </w:numPr>
        <w:contextualSpacing w:val="0"/>
      </w:pPr>
      <w:r w:rsidRPr="0099497E">
        <w:rPr>
          <w:b/>
          <w:bCs/>
        </w:rPr>
        <w:t>Verification Records:</w:t>
      </w:r>
      <w:r>
        <w:t xml:space="preserve"> Include results of temperature device accuracy checks and periodic calibrations.</w:t>
      </w:r>
    </w:p>
    <w:p w14:paraId="0683B9F6" w14:textId="3DBD680D" w:rsidR="0099497E" w:rsidRDefault="0099497E" w:rsidP="00846B8F">
      <w:pPr>
        <w:pStyle w:val="ListParagraph"/>
        <w:numPr>
          <w:ilvl w:val="0"/>
          <w:numId w:val="68"/>
        </w:numPr>
        <w:contextualSpacing w:val="0"/>
      </w:pPr>
      <w:r w:rsidRPr="0099497E">
        <w:rPr>
          <w:b/>
          <w:bCs/>
        </w:rPr>
        <w:t>Recall Plan:</w:t>
      </w:r>
      <w:r>
        <w:t xml:space="preserve"> A written recall plan is required for any products with significant hazards if regulated under preventive controls for human foods.</w:t>
      </w:r>
    </w:p>
    <w:p w14:paraId="7D0BD498" w14:textId="77777777" w:rsidR="00AC2821" w:rsidRDefault="0099497E" w:rsidP="00846B8F">
      <w:pPr>
        <w:pStyle w:val="ListParagraph"/>
        <w:numPr>
          <w:ilvl w:val="0"/>
          <w:numId w:val="68"/>
        </w:numPr>
        <w:contextualSpacing w:val="0"/>
        <w:sectPr w:rsidR="00AC2821" w:rsidSect="0099497E">
          <w:pgSz w:w="12240" w:h="15840"/>
          <w:pgMar w:top="1440" w:right="1440" w:bottom="1440" w:left="1440" w:header="720" w:footer="720" w:gutter="0"/>
          <w:pgNumType w:chapStyle="1"/>
          <w:cols w:space="720"/>
          <w:docGrid w:linePitch="360"/>
        </w:sectPr>
      </w:pPr>
      <w:r w:rsidRPr="0099497E">
        <w:rPr>
          <w:b/>
          <w:bCs/>
        </w:rPr>
        <w:t>Training Records:</w:t>
      </w:r>
      <w:r>
        <w:t xml:space="preserve"> Training records for the preventive controls qualified individual (PCQI) must be maintained if regulated under preventive controls for human foods. While the HACCP rule requires a HACCP trained individual, records of that training are not explicitly required (federally, may vary by state).</w:t>
      </w:r>
    </w:p>
    <w:p w14:paraId="283D62B2" w14:textId="4A095A35" w:rsidR="00AC2821" w:rsidRDefault="00AC2821" w:rsidP="00846B8F">
      <w:pPr>
        <w:pStyle w:val="Heading4"/>
        <w:numPr>
          <w:ilvl w:val="3"/>
          <w:numId w:val="161"/>
        </w:numPr>
      </w:pPr>
      <w:r>
        <w:lastRenderedPageBreak/>
        <w:t>Example HACCP/Food Safety Plan for Storage Control</w:t>
      </w:r>
    </w:p>
    <w:p w14:paraId="7956C924" w14:textId="45FA7624" w:rsidR="00AC2821" w:rsidRDefault="00AC2821" w:rsidP="00AC2821">
      <w:pPr>
        <w:ind w:left="-810" w:right="-900"/>
      </w:pPr>
      <w:r w:rsidRPr="00AC2821">
        <w:t xml:space="preserve">Below is an example showing what a food safety plan could look like. It is intended for illustrative purposes only. Each producer must develop a plan tailored to their unique products, production and processing methods, and regulatory requirements. </w:t>
      </w:r>
      <w:r w:rsidRPr="00AC2821">
        <w:rPr>
          <w:b/>
          <w:bCs/>
        </w:rPr>
        <w:t>This example should not be copied and used without modification to fit your specific operation.</w:t>
      </w:r>
    </w:p>
    <w:p w14:paraId="5E1404B9" w14:textId="3349AA05" w:rsidR="00AC2821" w:rsidRDefault="00AC2821" w:rsidP="00AC2821">
      <w:pPr>
        <w:spacing w:before="240"/>
        <w:ind w:left="-806"/>
        <w:contextualSpacing/>
      </w:pPr>
      <w:r w:rsidRPr="00E579E8">
        <w:rPr>
          <w:b/>
          <w:bCs/>
        </w:rPr>
        <w:t>Control Strategy:</w:t>
      </w:r>
      <w:r>
        <w:t xml:space="preserve"> Storage Control</w:t>
      </w:r>
    </w:p>
    <w:p w14:paraId="410619A1" w14:textId="11DDA9DA" w:rsidR="00AC2821" w:rsidRDefault="00AC2821" w:rsidP="00AC2821">
      <w:pPr>
        <w:spacing w:before="240"/>
        <w:ind w:left="-806"/>
        <w:contextualSpacing/>
      </w:pPr>
      <w:r w:rsidRPr="007235FC">
        <w:rPr>
          <w:b/>
          <w:bCs/>
        </w:rPr>
        <w:t>Critical Control Point</w:t>
      </w:r>
      <w:r>
        <w:rPr>
          <w:b/>
          <w:bCs/>
        </w:rPr>
        <w:t>/Process Preventive Control</w:t>
      </w:r>
      <w:r w:rsidRPr="007235FC">
        <w:rPr>
          <w:b/>
          <w:bCs/>
        </w:rPr>
        <w:t xml:space="preserve">: </w:t>
      </w:r>
      <w:r>
        <w:t>Refrigerated Raw Material Storage</w:t>
      </w:r>
    </w:p>
    <w:p w14:paraId="221208F6" w14:textId="77777777" w:rsidR="00AC2821" w:rsidRPr="00AD559E" w:rsidRDefault="00AC2821" w:rsidP="00AC2821">
      <w:pPr>
        <w:spacing w:before="240"/>
        <w:ind w:left="-806"/>
        <w:contextualSpacing/>
      </w:pPr>
      <w:r w:rsidRPr="00E579E8">
        <w:rPr>
          <w:b/>
          <w:bCs/>
        </w:rPr>
        <w:t>Hazard:</w:t>
      </w:r>
      <w:r>
        <w:t xml:space="preserve"> Pathogen Growth Due to Temperature Abuse</w:t>
      </w:r>
    </w:p>
    <w:tbl>
      <w:tblPr>
        <w:tblStyle w:val="TableGrid"/>
        <w:tblW w:w="14670" w:type="dxa"/>
        <w:tblInd w:w="-81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29" w:type="dxa"/>
        </w:tblCellMar>
        <w:tblLook w:val="04A0" w:firstRow="1" w:lastRow="0" w:firstColumn="1" w:lastColumn="0" w:noHBand="0" w:noVBand="1"/>
        <w:tblCaption w:val="Example HACCP/Food Safety Plan for Storage Control: Pathogen Growth Due to Temperature Abuse"/>
        <w:tblDescription w:val="Column Headers: Parameters/Values/Critical Limits, Monitoring (What/How/When/Who as subheader columns within), Corrective Action, Verification, Records."/>
      </w:tblPr>
      <w:tblGrid>
        <w:gridCol w:w="2340"/>
        <w:gridCol w:w="1417"/>
        <w:gridCol w:w="1463"/>
        <w:gridCol w:w="1440"/>
        <w:gridCol w:w="1350"/>
        <w:gridCol w:w="2610"/>
        <w:gridCol w:w="1980"/>
        <w:gridCol w:w="2070"/>
      </w:tblGrid>
      <w:tr w:rsidR="00AC2821" w14:paraId="34CAFA65" w14:textId="77777777" w:rsidTr="00A61B74">
        <w:trPr>
          <w:trHeight w:val="390"/>
        </w:trPr>
        <w:tc>
          <w:tcPr>
            <w:tcW w:w="2340" w:type="dxa"/>
            <w:vMerge w:val="restart"/>
            <w:shd w:val="clear" w:color="auto" w:fill="D1D1D1" w:themeFill="background2" w:themeFillShade="E6"/>
          </w:tcPr>
          <w:p w14:paraId="28EE862F" w14:textId="77777777" w:rsidR="00AC2821" w:rsidRPr="0001662C" w:rsidRDefault="00AC2821" w:rsidP="00DF5603">
            <w:pPr>
              <w:jc w:val="center"/>
              <w:rPr>
                <w:b/>
                <w:bCs/>
              </w:rPr>
            </w:pPr>
            <w:r w:rsidRPr="0001662C">
              <w:rPr>
                <w:b/>
                <w:bCs/>
              </w:rPr>
              <w:t>Parameters, Values, Critical Limits</w:t>
            </w:r>
          </w:p>
        </w:tc>
        <w:tc>
          <w:tcPr>
            <w:tcW w:w="5670" w:type="dxa"/>
            <w:gridSpan w:val="4"/>
            <w:shd w:val="clear" w:color="auto" w:fill="D1D1D1" w:themeFill="background2" w:themeFillShade="E6"/>
          </w:tcPr>
          <w:p w14:paraId="619E711E" w14:textId="77777777" w:rsidR="00AC2821" w:rsidRPr="0001662C" w:rsidRDefault="00AC2821" w:rsidP="00DF5603">
            <w:pPr>
              <w:jc w:val="center"/>
              <w:rPr>
                <w:b/>
                <w:bCs/>
              </w:rPr>
            </w:pPr>
            <w:r w:rsidRPr="0001662C">
              <w:rPr>
                <w:b/>
                <w:bCs/>
              </w:rPr>
              <w:t>Monitoring</w:t>
            </w:r>
          </w:p>
        </w:tc>
        <w:tc>
          <w:tcPr>
            <w:tcW w:w="2610" w:type="dxa"/>
            <w:vMerge w:val="restart"/>
            <w:shd w:val="clear" w:color="auto" w:fill="D1D1D1" w:themeFill="background2" w:themeFillShade="E6"/>
          </w:tcPr>
          <w:p w14:paraId="16668702" w14:textId="77777777" w:rsidR="00AC2821" w:rsidRPr="0001662C" w:rsidRDefault="00AC2821" w:rsidP="00DF5603">
            <w:pPr>
              <w:jc w:val="center"/>
              <w:rPr>
                <w:b/>
                <w:bCs/>
              </w:rPr>
            </w:pPr>
            <w:r w:rsidRPr="0001662C">
              <w:rPr>
                <w:b/>
                <w:bCs/>
              </w:rPr>
              <w:t>Corrective Action</w:t>
            </w:r>
          </w:p>
        </w:tc>
        <w:tc>
          <w:tcPr>
            <w:tcW w:w="1980" w:type="dxa"/>
            <w:vMerge w:val="restart"/>
            <w:shd w:val="clear" w:color="auto" w:fill="D1D1D1" w:themeFill="background2" w:themeFillShade="E6"/>
          </w:tcPr>
          <w:p w14:paraId="76561BE9" w14:textId="77777777" w:rsidR="00AC2821" w:rsidRPr="0001662C" w:rsidRDefault="00AC2821" w:rsidP="00DF5603">
            <w:pPr>
              <w:jc w:val="center"/>
              <w:rPr>
                <w:b/>
                <w:bCs/>
              </w:rPr>
            </w:pPr>
            <w:r w:rsidRPr="0001662C">
              <w:rPr>
                <w:b/>
                <w:bCs/>
              </w:rPr>
              <w:t>Verification</w:t>
            </w:r>
          </w:p>
        </w:tc>
        <w:tc>
          <w:tcPr>
            <w:tcW w:w="2070" w:type="dxa"/>
            <w:vMerge w:val="restart"/>
            <w:shd w:val="clear" w:color="auto" w:fill="D1D1D1" w:themeFill="background2" w:themeFillShade="E6"/>
          </w:tcPr>
          <w:p w14:paraId="60799EB9" w14:textId="77777777" w:rsidR="00AC2821" w:rsidRPr="0001662C" w:rsidRDefault="00AC2821" w:rsidP="00DF5603">
            <w:pPr>
              <w:jc w:val="center"/>
              <w:rPr>
                <w:b/>
                <w:bCs/>
              </w:rPr>
            </w:pPr>
            <w:r w:rsidRPr="0001662C">
              <w:rPr>
                <w:b/>
                <w:bCs/>
              </w:rPr>
              <w:t>Records</w:t>
            </w:r>
          </w:p>
        </w:tc>
      </w:tr>
      <w:tr w:rsidR="00AC2821" w14:paraId="294341FA" w14:textId="77777777" w:rsidTr="00A61B74">
        <w:trPr>
          <w:trHeight w:val="20"/>
        </w:trPr>
        <w:tc>
          <w:tcPr>
            <w:tcW w:w="2340" w:type="dxa"/>
            <w:vMerge/>
          </w:tcPr>
          <w:p w14:paraId="69F4D0B3" w14:textId="77777777" w:rsidR="00AC2821" w:rsidRPr="0001662C" w:rsidRDefault="00AC2821" w:rsidP="00DF5603">
            <w:pPr>
              <w:rPr>
                <w:b/>
                <w:bCs/>
              </w:rPr>
            </w:pPr>
          </w:p>
        </w:tc>
        <w:tc>
          <w:tcPr>
            <w:tcW w:w="1417" w:type="dxa"/>
            <w:shd w:val="clear" w:color="auto" w:fill="D1D1D1" w:themeFill="background2" w:themeFillShade="E6"/>
          </w:tcPr>
          <w:p w14:paraId="6FF76553" w14:textId="77777777" w:rsidR="00AC2821" w:rsidRPr="0001662C" w:rsidRDefault="00AC2821" w:rsidP="00DF5603">
            <w:pPr>
              <w:jc w:val="center"/>
              <w:rPr>
                <w:b/>
                <w:bCs/>
              </w:rPr>
            </w:pPr>
            <w:r w:rsidRPr="0001662C">
              <w:rPr>
                <w:b/>
                <w:bCs/>
              </w:rPr>
              <w:t>What</w:t>
            </w:r>
          </w:p>
        </w:tc>
        <w:tc>
          <w:tcPr>
            <w:tcW w:w="1463" w:type="dxa"/>
            <w:shd w:val="clear" w:color="auto" w:fill="D1D1D1" w:themeFill="background2" w:themeFillShade="E6"/>
          </w:tcPr>
          <w:p w14:paraId="00F71C7D" w14:textId="77777777" w:rsidR="00AC2821" w:rsidRPr="0001662C" w:rsidRDefault="00AC2821" w:rsidP="00DF5603">
            <w:pPr>
              <w:jc w:val="center"/>
              <w:rPr>
                <w:b/>
                <w:bCs/>
              </w:rPr>
            </w:pPr>
            <w:r w:rsidRPr="0001662C">
              <w:rPr>
                <w:b/>
                <w:bCs/>
              </w:rPr>
              <w:t>How</w:t>
            </w:r>
          </w:p>
        </w:tc>
        <w:tc>
          <w:tcPr>
            <w:tcW w:w="1440" w:type="dxa"/>
            <w:shd w:val="clear" w:color="auto" w:fill="D1D1D1" w:themeFill="background2" w:themeFillShade="E6"/>
          </w:tcPr>
          <w:p w14:paraId="230C9A4A" w14:textId="77777777" w:rsidR="00AC2821" w:rsidRPr="0001662C" w:rsidRDefault="00AC2821" w:rsidP="00DF5603">
            <w:pPr>
              <w:jc w:val="center"/>
              <w:rPr>
                <w:b/>
                <w:bCs/>
              </w:rPr>
            </w:pPr>
            <w:r w:rsidRPr="0001662C">
              <w:rPr>
                <w:b/>
                <w:bCs/>
              </w:rPr>
              <w:t>When</w:t>
            </w:r>
          </w:p>
        </w:tc>
        <w:tc>
          <w:tcPr>
            <w:tcW w:w="1350" w:type="dxa"/>
            <w:shd w:val="clear" w:color="auto" w:fill="D1D1D1" w:themeFill="background2" w:themeFillShade="E6"/>
          </w:tcPr>
          <w:p w14:paraId="3587C92C" w14:textId="77777777" w:rsidR="00AC2821" w:rsidRPr="0001662C" w:rsidRDefault="00AC2821" w:rsidP="00DF5603">
            <w:pPr>
              <w:jc w:val="center"/>
              <w:rPr>
                <w:b/>
                <w:bCs/>
              </w:rPr>
            </w:pPr>
            <w:r w:rsidRPr="0001662C">
              <w:rPr>
                <w:b/>
                <w:bCs/>
              </w:rPr>
              <w:t>Who</w:t>
            </w:r>
          </w:p>
        </w:tc>
        <w:tc>
          <w:tcPr>
            <w:tcW w:w="2610" w:type="dxa"/>
            <w:vMerge/>
          </w:tcPr>
          <w:p w14:paraId="353D7C7B" w14:textId="77777777" w:rsidR="00AC2821" w:rsidRDefault="00AC2821" w:rsidP="00DF5603"/>
        </w:tc>
        <w:tc>
          <w:tcPr>
            <w:tcW w:w="1980" w:type="dxa"/>
            <w:vMerge/>
          </w:tcPr>
          <w:p w14:paraId="12DD549A" w14:textId="77777777" w:rsidR="00AC2821" w:rsidRDefault="00AC2821" w:rsidP="00DF5603"/>
        </w:tc>
        <w:tc>
          <w:tcPr>
            <w:tcW w:w="2070" w:type="dxa"/>
            <w:vMerge/>
          </w:tcPr>
          <w:p w14:paraId="50034A39" w14:textId="77777777" w:rsidR="00AC2821" w:rsidRDefault="00AC2821" w:rsidP="00DF5603"/>
        </w:tc>
      </w:tr>
      <w:tr w:rsidR="00AC2821" w14:paraId="7A881C85" w14:textId="77777777" w:rsidTr="00A61B74">
        <w:trPr>
          <w:trHeight w:val="4884"/>
        </w:trPr>
        <w:tc>
          <w:tcPr>
            <w:tcW w:w="2340" w:type="dxa"/>
          </w:tcPr>
          <w:p w14:paraId="1446E26C" w14:textId="77777777" w:rsidR="00AC2821" w:rsidRPr="00677CAA" w:rsidRDefault="00AC2821" w:rsidP="00DF5603">
            <w:pPr>
              <w:spacing w:before="240"/>
              <w:rPr>
                <w:sz w:val="22"/>
                <w:szCs w:val="22"/>
              </w:rPr>
            </w:pPr>
            <w:r w:rsidRPr="00AD6D21">
              <w:rPr>
                <w:sz w:val="22"/>
                <w:szCs w:val="22"/>
              </w:rPr>
              <w:t>Harvested kelp should be maintained at a temperature of ≤40°F</w:t>
            </w:r>
            <w:r>
              <w:rPr>
                <w:sz w:val="22"/>
                <w:szCs w:val="22"/>
              </w:rPr>
              <w:t xml:space="preserve"> </w:t>
            </w:r>
            <w:r w:rsidRPr="00AD6D21">
              <w:rPr>
                <w:sz w:val="22"/>
                <w:szCs w:val="22"/>
              </w:rPr>
              <w:t>(4.44°C) during transit</w:t>
            </w:r>
            <w:r>
              <w:rPr>
                <w:sz w:val="22"/>
                <w:szCs w:val="22"/>
              </w:rPr>
              <w:t>.</w:t>
            </w:r>
          </w:p>
        </w:tc>
        <w:tc>
          <w:tcPr>
            <w:tcW w:w="1417" w:type="dxa"/>
          </w:tcPr>
          <w:p w14:paraId="7E691176" w14:textId="40C9C5C9" w:rsidR="00AC2821" w:rsidRPr="00677CAA" w:rsidRDefault="00AC2821" w:rsidP="00DF5603">
            <w:pPr>
              <w:spacing w:before="240"/>
              <w:rPr>
                <w:sz w:val="22"/>
                <w:szCs w:val="22"/>
              </w:rPr>
            </w:pPr>
            <w:r w:rsidRPr="00AC2821">
              <w:rPr>
                <w:sz w:val="22"/>
                <w:szCs w:val="22"/>
              </w:rPr>
              <w:t>Temperature of walk-in cooler</w:t>
            </w:r>
          </w:p>
        </w:tc>
        <w:tc>
          <w:tcPr>
            <w:tcW w:w="1463" w:type="dxa"/>
          </w:tcPr>
          <w:p w14:paraId="1FCFDFF8" w14:textId="370F02CA" w:rsidR="00AC2821" w:rsidRPr="00677CAA" w:rsidRDefault="00AC2821" w:rsidP="00DF5603">
            <w:pPr>
              <w:spacing w:before="240"/>
              <w:rPr>
                <w:sz w:val="22"/>
                <w:szCs w:val="22"/>
              </w:rPr>
            </w:pPr>
            <w:r w:rsidRPr="00AC2821">
              <w:rPr>
                <w:sz w:val="22"/>
                <w:szCs w:val="22"/>
              </w:rPr>
              <w:t>Continuous temperature recording device and visual observation</w:t>
            </w:r>
          </w:p>
        </w:tc>
        <w:tc>
          <w:tcPr>
            <w:tcW w:w="1440" w:type="dxa"/>
          </w:tcPr>
          <w:p w14:paraId="04CFE991" w14:textId="01F359E5" w:rsidR="00AC2821" w:rsidRPr="00677CAA" w:rsidRDefault="00AC2821" w:rsidP="00DF5603">
            <w:pPr>
              <w:spacing w:before="240"/>
              <w:rPr>
                <w:sz w:val="22"/>
                <w:szCs w:val="22"/>
              </w:rPr>
            </w:pPr>
            <w:r w:rsidRPr="00AC2821">
              <w:rPr>
                <w:sz w:val="22"/>
                <w:szCs w:val="22"/>
              </w:rPr>
              <w:t>Continuously with visual check at least once daily</w:t>
            </w:r>
          </w:p>
        </w:tc>
        <w:tc>
          <w:tcPr>
            <w:tcW w:w="1350" w:type="dxa"/>
          </w:tcPr>
          <w:p w14:paraId="37400331" w14:textId="1C50B2D3" w:rsidR="00AC2821" w:rsidRPr="00677CAA" w:rsidRDefault="00AC2821" w:rsidP="00DF5603">
            <w:pPr>
              <w:spacing w:before="240"/>
              <w:rPr>
                <w:sz w:val="22"/>
                <w:szCs w:val="22"/>
              </w:rPr>
            </w:pPr>
            <w:r w:rsidRPr="00AC2821">
              <w:rPr>
                <w:sz w:val="22"/>
                <w:szCs w:val="22"/>
              </w:rPr>
              <w:t xml:space="preserve">Warehouse </w:t>
            </w:r>
            <w:r>
              <w:rPr>
                <w:sz w:val="22"/>
                <w:szCs w:val="22"/>
              </w:rPr>
              <w:t>A</w:t>
            </w:r>
            <w:r w:rsidRPr="00AC2821">
              <w:rPr>
                <w:sz w:val="22"/>
                <w:szCs w:val="22"/>
              </w:rPr>
              <w:t>ssociate</w:t>
            </w:r>
          </w:p>
        </w:tc>
        <w:tc>
          <w:tcPr>
            <w:tcW w:w="2610" w:type="dxa"/>
          </w:tcPr>
          <w:p w14:paraId="1280A91E" w14:textId="6D50CFC7" w:rsidR="00AC2821" w:rsidRDefault="00AC2821" w:rsidP="00DF5603">
            <w:pPr>
              <w:spacing w:before="240"/>
              <w:rPr>
                <w:sz w:val="22"/>
                <w:szCs w:val="22"/>
              </w:rPr>
            </w:pPr>
            <w:r w:rsidRPr="00AC2821">
              <w:rPr>
                <w:sz w:val="22"/>
                <w:szCs w:val="22"/>
              </w:rPr>
              <w:t>If cooler temperature is above 40°F</w:t>
            </w:r>
            <w:r>
              <w:rPr>
                <w:sz w:val="22"/>
                <w:szCs w:val="22"/>
              </w:rPr>
              <w:t xml:space="preserve"> </w:t>
            </w:r>
            <w:r w:rsidRPr="00AC2821">
              <w:rPr>
                <w:sz w:val="22"/>
                <w:szCs w:val="22"/>
              </w:rPr>
              <w:t xml:space="preserve">(4.44°C), then chill and hold affected product to evaluate for safety, </w:t>
            </w:r>
            <w:r w:rsidRPr="00AC2821">
              <w:rPr>
                <w:b/>
                <w:bCs/>
                <w:sz w:val="22"/>
                <w:szCs w:val="22"/>
              </w:rPr>
              <w:t>OR</w:t>
            </w:r>
            <w:r w:rsidRPr="00AC2821">
              <w:rPr>
                <w:sz w:val="22"/>
                <w:szCs w:val="22"/>
              </w:rPr>
              <w:t xml:space="preserve"> divert to cook the product to effectively eliminate potential food safety hazards risks, </w:t>
            </w:r>
            <w:r w:rsidRPr="00AC2821">
              <w:rPr>
                <w:b/>
                <w:bCs/>
                <w:sz w:val="22"/>
                <w:szCs w:val="22"/>
              </w:rPr>
              <w:t>OR</w:t>
            </w:r>
            <w:r w:rsidRPr="00AC2821">
              <w:rPr>
                <w:sz w:val="22"/>
                <w:szCs w:val="22"/>
              </w:rPr>
              <w:t xml:space="preserve"> divert product to a non-food use</w:t>
            </w:r>
          </w:p>
          <w:p w14:paraId="307882A8" w14:textId="77777777" w:rsidR="00AC2821" w:rsidRDefault="00AC2821" w:rsidP="00DF5603">
            <w:pPr>
              <w:spacing w:before="240"/>
              <w:rPr>
                <w:b/>
                <w:bCs/>
                <w:sz w:val="22"/>
                <w:szCs w:val="22"/>
              </w:rPr>
            </w:pPr>
            <w:r w:rsidRPr="00AC2821">
              <w:rPr>
                <w:b/>
                <w:bCs/>
                <w:sz w:val="22"/>
                <w:szCs w:val="22"/>
              </w:rPr>
              <w:t>AND</w:t>
            </w:r>
          </w:p>
          <w:p w14:paraId="580A582C" w14:textId="1310DA61" w:rsidR="00AC2821" w:rsidRPr="00677CAA" w:rsidRDefault="00AC2821" w:rsidP="00DF5603">
            <w:pPr>
              <w:spacing w:before="240"/>
              <w:rPr>
                <w:sz w:val="22"/>
                <w:szCs w:val="22"/>
              </w:rPr>
            </w:pPr>
            <w:r>
              <w:rPr>
                <w:sz w:val="22"/>
                <w:szCs w:val="22"/>
              </w:rPr>
              <w:t>A</w:t>
            </w:r>
            <w:r w:rsidRPr="00AC2821">
              <w:rPr>
                <w:sz w:val="22"/>
                <w:szCs w:val="22"/>
              </w:rPr>
              <w:t>ddress the root cause by fixing the refrigerator to prevent future deviations from the critical limit.</w:t>
            </w:r>
          </w:p>
        </w:tc>
        <w:tc>
          <w:tcPr>
            <w:tcW w:w="1980" w:type="dxa"/>
          </w:tcPr>
          <w:p w14:paraId="31FC8DDF" w14:textId="77777777" w:rsidR="00AC2821" w:rsidRPr="00AC2821" w:rsidRDefault="00AC2821" w:rsidP="00AC2821">
            <w:pPr>
              <w:spacing w:before="240"/>
              <w:rPr>
                <w:sz w:val="22"/>
                <w:szCs w:val="22"/>
              </w:rPr>
            </w:pPr>
            <w:r w:rsidRPr="00AC2821">
              <w:rPr>
                <w:sz w:val="22"/>
                <w:szCs w:val="22"/>
              </w:rPr>
              <w:t>Weekly review of monitoring and corrective action records</w:t>
            </w:r>
          </w:p>
          <w:p w14:paraId="402AA90A" w14:textId="40DB82B9" w:rsidR="00AC2821" w:rsidRPr="00677CAA" w:rsidRDefault="00AC2821" w:rsidP="00AC2821">
            <w:pPr>
              <w:spacing w:before="240"/>
              <w:rPr>
                <w:sz w:val="22"/>
                <w:szCs w:val="22"/>
              </w:rPr>
            </w:pPr>
            <w:r w:rsidRPr="00AC2821">
              <w:rPr>
                <w:sz w:val="22"/>
                <w:szCs w:val="22"/>
              </w:rPr>
              <w:t>Daily accuracy checks and periodic calibration of temperature recording device as per manufacturer's instructions</w:t>
            </w:r>
          </w:p>
        </w:tc>
        <w:tc>
          <w:tcPr>
            <w:tcW w:w="2070" w:type="dxa"/>
          </w:tcPr>
          <w:p w14:paraId="0D5F3237" w14:textId="0F37EC0A" w:rsidR="00AC2821" w:rsidRPr="00AC2821" w:rsidRDefault="00AC2821" w:rsidP="00AC2821">
            <w:pPr>
              <w:spacing w:before="240"/>
              <w:rPr>
                <w:sz w:val="22"/>
                <w:szCs w:val="22"/>
              </w:rPr>
            </w:pPr>
            <w:r w:rsidRPr="00AC2821">
              <w:rPr>
                <w:sz w:val="22"/>
                <w:szCs w:val="22"/>
              </w:rPr>
              <w:t>Continuous temperature log for the cooler with record of visual observations</w:t>
            </w:r>
          </w:p>
          <w:p w14:paraId="18162E44" w14:textId="77777777" w:rsidR="00AC2821" w:rsidRPr="00AC2821" w:rsidRDefault="00AC2821" w:rsidP="00AC2821">
            <w:pPr>
              <w:spacing w:before="240"/>
              <w:rPr>
                <w:sz w:val="22"/>
                <w:szCs w:val="22"/>
              </w:rPr>
            </w:pPr>
            <w:r w:rsidRPr="00AC2821">
              <w:rPr>
                <w:sz w:val="22"/>
                <w:szCs w:val="22"/>
              </w:rPr>
              <w:t>Corrective action records, if necessary</w:t>
            </w:r>
          </w:p>
          <w:p w14:paraId="25F9A8B8" w14:textId="77777777" w:rsidR="00AC2821" w:rsidRPr="00AC2821" w:rsidRDefault="00AC2821" w:rsidP="00AC2821">
            <w:pPr>
              <w:spacing w:before="240"/>
              <w:rPr>
                <w:sz w:val="22"/>
                <w:szCs w:val="22"/>
              </w:rPr>
            </w:pPr>
            <w:r w:rsidRPr="00AC2821">
              <w:rPr>
                <w:sz w:val="22"/>
                <w:szCs w:val="22"/>
              </w:rPr>
              <w:t>Verification records with daily accuracy checks and periodic calibration activities</w:t>
            </w:r>
          </w:p>
          <w:p w14:paraId="3CD2B575" w14:textId="75CA4F4A" w:rsidR="00AC2821" w:rsidRPr="00677CAA" w:rsidRDefault="00AC2821" w:rsidP="00AC2821">
            <w:pPr>
              <w:spacing w:before="240"/>
              <w:rPr>
                <w:sz w:val="22"/>
                <w:szCs w:val="22"/>
              </w:rPr>
            </w:pPr>
            <w:r w:rsidRPr="00AC2821">
              <w:rPr>
                <w:sz w:val="22"/>
                <w:szCs w:val="22"/>
              </w:rPr>
              <w:t>PCQI training records (PCHF only)</w:t>
            </w:r>
          </w:p>
        </w:tc>
      </w:tr>
    </w:tbl>
    <w:p w14:paraId="3439CB6A" w14:textId="77777777" w:rsidR="00AC2821" w:rsidRDefault="00AC2821" w:rsidP="00AC2821"/>
    <w:p w14:paraId="7FDBA0DC" w14:textId="77777777" w:rsidR="00AC2821" w:rsidRDefault="00AC2821" w:rsidP="00AC2821">
      <w:pPr>
        <w:sectPr w:rsidR="00AC2821" w:rsidSect="00AC2821">
          <w:pgSz w:w="15840" w:h="12240" w:orient="landscape"/>
          <w:pgMar w:top="1440" w:right="1440" w:bottom="1440" w:left="1440" w:header="720" w:footer="720" w:gutter="0"/>
          <w:pgNumType w:chapStyle="1"/>
          <w:cols w:space="720"/>
          <w:docGrid w:linePitch="360"/>
        </w:sectPr>
      </w:pPr>
    </w:p>
    <w:p w14:paraId="55D24CDD" w14:textId="5950F7F8" w:rsidR="00AC2821" w:rsidRDefault="00DD2956" w:rsidP="00846B8F">
      <w:pPr>
        <w:pStyle w:val="Heading3"/>
        <w:numPr>
          <w:ilvl w:val="2"/>
          <w:numId w:val="162"/>
        </w:numPr>
      </w:pPr>
      <w:bookmarkStart w:id="192" w:name="_Toc208503272"/>
      <w:r>
        <w:lastRenderedPageBreak/>
        <w:t>Control Strategy 3 – Cooling After Cooking Control</w:t>
      </w:r>
      <w:bookmarkEnd w:id="192"/>
    </w:p>
    <w:p w14:paraId="7C60AE76" w14:textId="77777777" w:rsidR="00DD2956" w:rsidRPr="001B600F" w:rsidRDefault="00DD2956" w:rsidP="00846B8F">
      <w:pPr>
        <w:pStyle w:val="Heading4"/>
        <w:numPr>
          <w:ilvl w:val="3"/>
          <w:numId w:val="162"/>
        </w:numPr>
      </w:pPr>
      <w:r w:rsidRPr="001B600F">
        <w:t>Critical Limit(s)/Parameter(s) and Value(s)</w:t>
      </w:r>
    </w:p>
    <w:p w14:paraId="2411F0FC" w14:textId="77777777" w:rsidR="00DD2956" w:rsidRDefault="00DD2956" w:rsidP="00846B8F">
      <w:pPr>
        <w:pStyle w:val="ListParagraph"/>
        <w:numPr>
          <w:ilvl w:val="0"/>
          <w:numId w:val="76"/>
        </w:numPr>
        <w:spacing w:before="240"/>
        <w:contextualSpacing w:val="0"/>
      </w:pPr>
      <w:r>
        <w:t xml:space="preserve">The product is cooled from 135°F (57.2°C) to 70°F (21.1°C) within 2 hours; </w:t>
      </w:r>
      <w:r w:rsidRPr="001B600F">
        <w:rPr>
          <w:b/>
          <w:bCs/>
        </w:rPr>
        <w:t>AND</w:t>
      </w:r>
      <w:r>
        <w:t xml:space="preserve"> from 135°F (57.2°C) to 40°F (4.4°C) within a total of 6 hours from time of harvest.</w:t>
      </w:r>
    </w:p>
    <w:p w14:paraId="5F56C0CC" w14:textId="106454DF" w:rsidR="00DD2956" w:rsidRPr="001B600F" w:rsidRDefault="00DD2956" w:rsidP="001B600F">
      <w:pPr>
        <w:rPr>
          <w:b/>
          <w:bCs/>
        </w:rPr>
      </w:pPr>
      <w:r w:rsidRPr="001B600F">
        <w:rPr>
          <w:b/>
          <w:bCs/>
        </w:rPr>
        <w:t>OR</w:t>
      </w:r>
    </w:p>
    <w:p w14:paraId="1E2F365E" w14:textId="77777777" w:rsidR="00DD2956" w:rsidRDefault="00DD2956" w:rsidP="00846B8F">
      <w:pPr>
        <w:pStyle w:val="ListParagraph"/>
        <w:numPr>
          <w:ilvl w:val="0"/>
          <w:numId w:val="76"/>
        </w:numPr>
        <w:contextualSpacing w:val="0"/>
      </w:pPr>
      <w:r>
        <w:t>Maintain the minimum or maximum values for critical factors that affect cooling speed, based on a validated cooling rate study. These factors may include:</w:t>
      </w:r>
    </w:p>
    <w:p w14:paraId="144568FA" w14:textId="77777777" w:rsidR="00DD2956" w:rsidRDefault="00DD2956" w:rsidP="00846B8F">
      <w:pPr>
        <w:pStyle w:val="ListParagraph"/>
        <w:numPr>
          <w:ilvl w:val="1"/>
          <w:numId w:val="76"/>
        </w:numPr>
        <w:contextualSpacing w:val="0"/>
      </w:pPr>
      <w:r>
        <w:t>Starting internal temperature of the product</w:t>
      </w:r>
    </w:p>
    <w:p w14:paraId="45D8F478" w14:textId="77777777" w:rsidR="00DD2956" w:rsidRDefault="00DD2956" w:rsidP="00846B8F">
      <w:pPr>
        <w:pStyle w:val="ListParagraph"/>
        <w:numPr>
          <w:ilvl w:val="1"/>
          <w:numId w:val="76"/>
        </w:numPr>
        <w:contextualSpacing w:val="0"/>
      </w:pPr>
      <w:r>
        <w:t>Cooler temperature</w:t>
      </w:r>
    </w:p>
    <w:p w14:paraId="2F277B88" w14:textId="77777777" w:rsidR="00DD2956" w:rsidRDefault="00DD2956" w:rsidP="00846B8F">
      <w:pPr>
        <w:pStyle w:val="ListParagraph"/>
        <w:numPr>
          <w:ilvl w:val="1"/>
          <w:numId w:val="76"/>
        </w:numPr>
        <w:contextualSpacing w:val="0"/>
      </w:pPr>
      <w:r>
        <w:t>Amount of ice or cooling media used</w:t>
      </w:r>
    </w:p>
    <w:p w14:paraId="18BAE561" w14:textId="77777777" w:rsidR="00DD2956" w:rsidRDefault="00DD2956" w:rsidP="00846B8F">
      <w:pPr>
        <w:pStyle w:val="ListParagraph"/>
        <w:numPr>
          <w:ilvl w:val="1"/>
          <w:numId w:val="76"/>
        </w:numPr>
        <w:contextualSpacing w:val="0"/>
      </w:pPr>
      <w:r>
        <w:t>Product size or quantity</w:t>
      </w:r>
    </w:p>
    <w:p w14:paraId="54FE6CF7" w14:textId="77777777" w:rsidR="00DD2956" w:rsidRDefault="00DD2956" w:rsidP="00846B8F">
      <w:pPr>
        <w:pStyle w:val="ListParagraph"/>
        <w:numPr>
          <w:ilvl w:val="1"/>
          <w:numId w:val="76"/>
        </w:numPr>
        <w:contextualSpacing w:val="0"/>
      </w:pPr>
      <w:r>
        <w:t>Product formulation</w:t>
      </w:r>
    </w:p>
    <w:p w14:paraId="3FA71872" w14:textId="77777777" w:rsidR="00DD2956" w:rsidRDefault="00DD2956" w:rsidP="00846B8F">
      <w:pPr>
        <w:pStyle w:val="ListParagraph"/>
        <w:numPr>
          <w:ilvl w:val="1"/>
          <w:numId w:val="76"/>
        </w:numPr>
        <w:contextualSpacing w:val="0"/>
      </w:pPr>
      <w:r>
        <w:t>How the product is arranged in the cooler</w:t>
      </w:r>
    </w:p>
    <w:p w14:paraId="0861A9A8" w14:textId="77777777" w:rsidR="00DD2956" w:rsidRDefault="00DD2956" w:rsidP="00846B8F">
      <w:pPr>
        <w:pStyle w:val="Heading4"/>
        <w:numPr>
          <w:ilvl w:val="3"/>
          <w:numId w:val="162"/>
        </w:numPr>
      </w:pPr>
      <w:r>
        <w:t>Monitoring – What, How, How Often, Who</w:t>
      </w:r>
    </w:p>
    <w:p w14:paraId="25B63626" w14:textId="77777777" w:rsidR="00DD2956" w:rsidRDefault="00DD2956" w:rsidP="00846B8F">
      <w:pPr>
        <w:pStyle w:val="ListParagraph"/>
        <w:numPr>
          <w:ilvl w:val="0"/>
          <w:numId w:val="76"/>
        </w:numPr>
        <w:spacing w:before="240"/>
        <w:contextualSpacing w:val="0"/>
      </w:pPr>
      <w:r>
        <w:t>What will be monitored?</w:t>
      </w:r>
    </w:p>
    <w:p w14:paraId="5A481869" w14:textId="77777777" w:rsidR="00DD2956" w:rsidRDefault="00DD2956" w:rsidP="00846B8F">
      <w:pPr>
        <w:pStyle w:val="ListParagraph"/>
        <w:numPr>
          <w:ilvl w:val="1"/>
          <w:numId w:val="76"/>
        </w:numPr>
        <w:contextualSpacing w:val="0"/>
      </w:pPr>
      <w:r>
        <w:t>The length of the cooling cycle (time elapsed) and the internal temperature of the product.</w:t>
      </w:r>
    </w:p>
    <w:p w14:paraId="1ADD4E5C" w14:textId="0183CF24" w:rsidR="00DD2956" w:rsidRPr="001B600F" w:rsidRDefault="00DD2956" w:rsidP="001B600F">
      <w:pPr>
        <w:ind w:firstLine="720"/>
        <w:rPr>
          <w:b/>
          <w:bCs/>
        </w:rPr>
      </w:pPr>
      <w:r w:rsidRPr="001B600F">
        <w:rPr>
          <w:b/>
          <w:bCs/>
        </w:rPr>
        <w:t>OR</w:t>
      </w:r>
    </w:p>
    <w:p w14:paraId="3713ED93" w14:textId="28DC6B5C" w:rsidR="00DD2956" w:rsidRDefault="00DD2956" w:rsidP="00846B8F">
      <w:pPr>
        <w:pStyle w:val="ListParagraph"/>
        <w:numPr>
          <w:ilvl w:val="1"/>
          <w:numId w:val="76"/>
        </w:numPr>
        <w:contextualSpacing w:val="0"/>
      </w:pPr>
      <w:r>
        <w:t>The critical factors established through the cooling rate study (e.g. cooler temperature, product size, starting temperature etc.).</w:t>
      </w:r>
    </w:p>
    <w:p w14:paraId="128DE531" w14:textId="77777777" w:rsidR="00DD2956" w:rsidRDefault="00DD2956" w:rsidP="00846B8F">
      <w:pPr>
        <w:pStyle w:val="ListParagraph"/>
        <w:numPr>
          <w:ilvl w:val="0"/>
          <w:numId w:val="76"/>
        </w:numPr>
        <w:contextualSpacing w:val="0"/>
      </w:pPr>
      <w:r>
        <w:t>How will monitoring be done?</w:t>
      </w:r>
    </w:p>
    <w:p w14:paraId="689E3289" w14:textId="6FE11480" w:rsidR="00DD2956" w:rsidRDefault="00DD2956" w:rsidP="00846B8F">
      <w:pPr>
        <w:pStyle w:val="ListParagraph"/>
        <w:numPr>
          <w:ilvl w:val="1"/>
          <w:numId w:val="76"/>
        </w:numPr>
        <w:contextualSpacing w:val="0"/>
      </w:pPr>
      <w:r>
        <w:t>A clock and thermometer or continuous temperature recording device.</w:t>
      </w:r>
    </w:p>
    <w:p w14:paraId="18059248" w14:textId="2B0F81D0" w:rsidR="00DD2956" w:rsidRPr="001B600F" w:rsidRDefault="00DD2956" w:rsidP="001B600F">
      <w:pPr>
        <w:ind w:firstLine="720"/>
        <w:rPr>
          <w:b/>
          <w:bCs/>
        </w:rPr>
      </w:pPr>
      <w:r w:rsidRPr="001B600F">
        <w:rPr>
          <w:b/>
          <w:bCs/>
        </w:rPr>
        <w:t>OR</w:t>
      </w:r>
    </w:p>
    <w:p w14:paraId="28C985D6" w14:textId="77777777" w:rsidR="00DD2956" w:rsidRDefault="00DD2956" w:rsidP="00846B8F">
      <w:pPr>
        <w:pStyle w:val="ListParagraph"/>
        <w:numPr>
          <w:ilvl w:val="1"/>
          <w:numId w:val="76"/>
        </w:numPr>
        <w:contextualSpacing w:val="0"/>
      </w:pPr>
      <w:r>
        <w:t>According to the requirements of the specific process and equipment being used to monitor the critical factors identified.</w:t>
      </w:r>
    </w:p>
    <w:p w14:paraId="562026A0" w14:textId="77777777" w:rsidR="00DD2956" w:rsidRDefault="00DD2956" w:rsidP="00846B8F">
      <w:pPr>
        <w:pStyle w:val="ListParagraph"/>
        <w:numPr>
          <w:ilvl w:val="0"/>
          <w:numId w:val="76"/>
        </w:numPr>
        <w:contextualSpacing w:val="0"/>
      </w:pPr>
      <w:r>
        <w:t>How often will monitoring be done (frequency)?</w:t>
      </w:r>
    </w:p>
    <w:p w14:paraId="2A76B7B2" w14:textId="77777777" w:rsidR="00DD2956" w:rsidRDefault="00DD2956" w:rsidP="00846B8F">
      <w:pPr>
        <w:pStyle w:val="ListParagraph"/>
        <w:numPr>
          <w:ilvl w:val="1"/>
          <w:numId w:val="76"/>
        </w:numPr>
        <w:contextualSpacing w:val="0"/>
      </w:pPr>
      <w:r>
        <w:lastRenderedPageBreak/>
        <w:t>For cooling time and internal temperature, at least every two hours during cooling. For continuous monitoring systems, visual checks of temperature should be performed at least every two hours and at the end of the cooling period.</w:t>
      </w:r>
    </w:p>
    <w:p w14:paraId="2771ECE6" w14:textId="42EAAAE0" w:rsidR="00DD2956" w:rsidRPr="001B600F" w:rsidRDefault="00DD2956" w:rsidP="001B600F">
      <w:pPr>
        <w:ind w:firstLine="720"/>
        <w:rPr>
          <w:b/>
          <w:bCs/>
        </w:rPr>
      </w:pPr>
      <w:r w:rsidRPr="001B600F">
        <w:rPr>
          <w:b/>
          <w:bCs/>
        </w:rPr>
        <w:t>OR</w:t>
      </w:r>
    </w:p>
    <w:p w14:paraId="589A0719" w14:textId="77777777" w:rsidR="00DD2956" w:rsidRDefault="00DD2956" w:rsidP="00846B8F">
      <w:pPr>
        <w:pStyle w:val="ListParagraph"/>
        <w:numPr>
          <w:ilvl w:val="1"/>
          <w:numId w:val="76"/>
        </w:numPr>
        <w:contextualSpacing w:val="0"/>
      </w:pPr>
      <w:r>
        <w:t>For critical factors, as often as needed to ensure all factors remain within validated control limits.</w:t>
      </w:r>
    </w:p>
    <w:p w14:paraId="280F383A" w14:textId="3905A45F" w:rsidR="00DD2956" w:rsidRDefault="00DD2956" w:rsidP="00846B8F">
      <w:pPr>
        <w:pStyle w:val="ListParagraph"/>
        <w:numPr>
          <w:ilvl w:val="0"/>
          <w:numId w:val="76"/>
        </w:numPr>
        <w:contextualSpacing w:val="0"/>
      </w:pPr>
      <w:r>
        <w:t>Who will do the monitoring?</w:t>
      </w:r>
    </w:p>
    <w:p w14:paraId="6AECE35B" w14:textId="77777777" w:rsidR="00DD2956" w:rsidRDefault="00DD2956" w:rsidP="00846B8F">
      <w:pPr>
        <w:pStyle w:val="ListParagraph"/>
        <w:numPr>
          <w:ilvl w:val="1"/>
          <w:numId w:val="76"/>
        </w:numPr>
        <w:contextualSpacing w:val="0"/>
      </w:pPr>
      <w:r>
        <w:t>A trained individual with knowledge of the controls and monitoring procedures.</w:t>
      </w:r>
    </w:p>
    <w:p w14:paraId="1CDB158B" w14:textId="77777777" w:rsidR="00DD2956" w:rsidRPr="001B600F" w:rsidRDefault="00DD2956" w:rsidP="00846B8F">
      <w:pPr>
        <w:pStyle w:val="Heading4"/>
        <w:numPr>
          <w:ilvl w:val="3"/>
          <w:numId w:val="162"/>
        </w:numPr>
      </w:pPr>
      <w:r w:rsidRPr="001B600F">
        <w:t>Corrective Action/Corrections</w:t>
      </w:r>
    </w:p>
    <w:p w14:paraId="1BD63629" w14:textId="77777777" w:rsidR="00DD2956" w:rsidRDefault="00DD2956" w:rsidP="00846B8F">
      <w:pPr>
        <w:pStyle w:val="ListParagraph"/>
        <w:numPr>
          <w:ilvl w:val="0"/>
          <w:numId w:val="75"/>
        </w:numPr>
        <w:spacing w:before="240"/>
        <w:contextualSpacing w:val="0"/>
      </w:pPr>
      <w:r>
        <w:t xml:space="preserve">If cooling time/temperature or critical factor requirements are not met, then reprocess the product </w:t>
      </w:r>
      <w:r w:rsidRPr="001B600F">
        <w:rPr>
          <w:b/>
          <w:bCs/>
        </w:rPr>
        <w:t>OR</w:t>
      </w:r>
      <w:r>
        <w:t xml:space="preserve"> dispose of the product </w:t>
      </w:r>
      <w:r w:rsidRPr="001B600F">
        <w:rPr>
          <w:b/>
          <w:bCs/>
        </w:rPr>
        <w:t>OR</w:t>
      </w:r>
      <w:r>
        <w:t xml:space="preserve"> divert product to a non-food use.</w:t>
      </w:r>
    </w:p>
    <w:p w14:paraId="03E8935F" w14:textId="15F840F8" w:rsidR="00DD2956" w:rsidRDefault="00DD2956" w:rsidP="001B600F">
      <w:r w:rsidRPr="001B600F">
        <w:rPr>
          <w:b/>
          <w:bCs/>
        </w:rPr>
        <w:t>AND</w:t>
      </w:r>
      <w:r>
        <w:t xml:space="preserve"> address the root cause to prevent future occurrence.</w:t>
      </w:r>
    </w:p>
    <w:p w14:paraId="0C6A5A23" w14:textId="77777777" w:rsidR="00DD2956" w:rsidRDefault="00DD2956" w:rsidP="00846B8F">
      <w:pPr>
        <w:pStyle w:val="ListParagraph"/>
        <w:numPr>
          <w:ilvl w:val="0"/>
          <w:numId w:val="75"/>
        </w:numPr>
        <w:contextualSpacing w:val="0"/>
      </w:pPr>
      <w:r>
        <w:t>Determine the cause of the deviation and adjust procedures to prevent future occurrences (e.g., equipment maintenance, employee training, etc.).</w:t>
      </w:r>
    </w:p>
    <w:p w14:paraId="6710B426" w14:textId="77777777" w:rsidR="00DD2956" w:rsidRPr="001B600F" w:rsidRDefault="00DD2956" w:rsidP="00846B8F">
      <w:pPr>
        <w:pStyle w:val="Heading4"/>
        <w:numPr>
          <w:ilvl w:val="3"/>
          <w:numId w:val="162"/>
        </w:numPr>
      </w:pPr>
      <w:r w:rsidRPr="001B600F">
        <w:t>Verification</w:t>
      </w:r>
    </w:p>
    <w:p w14:paraId="06DC01EE" w14:textId="3879066C" w:rsidR="00DD2956" w:rsidRDefault="00DD2956" w:rsidP="00846B8F">
      <w:pPr>
        <w:pStyle w:val="ListParagraph"/>
        <w:numPr>
          <w:ilvl w:val="0"/>
          <w:numId w:val="74"/>
        </w:numPr>
        <w:spacing w:before="240"/>
        <w:contextualSpacing w:val="0"/>
      </w:pPr>
      <w:r>
        <w:t>Review of monitoring and corrective action records within one week of preparation to ensure accuracy and completeness.</w:t>
      </w:r>
    </w:p>
    <w:p w14:paraId="4142BF0F" w14:textId="23741C93" w:rsidR="00DD2956" w:rsidRDefault="00DD2956" w:rsidP="00846B8F">
      <w:pPr>
        <w:pStyle w:val="ListParagraph"/>
        <w:numPr>
          <w:ilvl w:val="0"/>
          <w:numId w:val="74"/>
        </w:numPr>
        <w:contextualSpacing w:val="0"/>
      </w:pPr>
      <w:r>
        <w:t>Regular accuracy checks of temperature reading/recording devices and periodic calibration.</w:t>
      </w:r>
    </w:p>
    <w:p w14:paraId="38A873BF" w14:textId="77777777" w:rsidR="00DD2956" w:rsidRDefault="00DD2956" w:rsidP="00846B8F">
      <w:pPr>
        <w:pStyle w:val="ListParagraph"/>
        <w:numPr>
          <w:ilvl w:val="0"/>
          <w:numId w:val="74"/>
        </w:numPr>
        <w:contextualSpacing w:val="0"/>
      </w:pPr>
      <w:r>
        <w:t>A cooling rate study identifies the critical factors that influence cooling and evaluates the effectiveness of the cooling process, if applicable.</w:t>
      </w:r>
    </w:p>
    <w:p w14:paraId="316D434D" w14:textId="77777777" w:rsidR="00DD2956" w:rsidRDefault="00DD2956" w:rsidP="00846B8F">
      <w:pPr>
        <w:pStyle w:val="ListParagraph"/>
        <w:numPr>
          <w:ilvl w:val="0"/>
          <w:numId w:val="74"/>
        </w:numPr>
        <w:contextualSpacing w:val="0"/>
      </w:pPr>
      <w:r>
        <w:t>Additional verification procedures may be required depending on the specific critical factors applied.</w:t>
      </w:r>
    </w:p>
    <w:p w14:paraId="47BB9D71" w14:textId="77777777" w:rsidR="00DD2956" w:rsidRDefault="00DD2956" w:rsidP="00846B8F">
      <w:pPr>
        <w:pStyle w:val="Heading4"/>
        <w:numPr>
          <w:ilvl w:val="3"/>
          <w:numId w:val="162"/>
        </w:numPr>
      </w:pPr>
      <w:r>
        <w:t>Records</w:t>
      </w:r>
    </w:p>
    <w:p w14:paraId="0393C1EF" w14:textId="77777777" w:rsidR="00DD2956" w:rsidRDefault="00DD2956" w:rsidP="00846B8F">
      <w:pPr>
        <w:pStyle w:val="ListParagraph"/>
        <w:numPr>
          <w:ilvl w:val="0"/>
          <w:numId w:val="73"/>
        </w:numPr>
        <w:spacing w:before="240"/>
        <w:contextualSpacing w:val="0"/>
      </w:pPr>
      <w:r w:rsidRPr="001B600F">
        <w:rPr>
          <w:b/>
          <w:bCs/>
        </w:rPr>
        <w:t>Monitoring Records</w:t>
      </w:r>
      <w:r>
        <w:t>: A cooling log documenting times and temperatures recorded throughout the cooling cycle or observations of critical factors outlined in the cooling rate study.</w:t>
      </w:r>
    </w:p>
    <w:p w14:paraId="5683A50C" w14:textId="77777777" w:rsidR="00DD2956" w:rsidRDefault="00DD2956" w:rsidP="00846B8F">
      <w:pPr>
        <w:pStyle w:val="ListParagraph"/>
        <w:numPr>
          <w:ilvl w:val="0"/>
          <w:numId w:val="73"/>
        </w:numPr>
        <w:contextualSpacing w:val="0"/>
      </w:pPr>
      <w:r w:rsidRPr="001B600F">
        <w:rPr>
          <w:b/>
          <w:bCs/>
        </w:rPr>
        <w:t>Corrective Action Records:</w:t>
      </w:r>
      <w:r>
        <w:t xml:space="preserve"> Record any actions taken in response to deviations from the critical limit(s).</w:t>
      </w:r>
    </w:p>
    <w:p w14:paraId="135F922E" w14:textId="439E1ABA" w:rsidR="00DD2956" w:rsidRDefault="00DD2956" w:rsidP="00846B8F">
      <w:pPr>
        <w:pStyle w:val="ListParagraph"/>
        <w:numPr>
          <w:ilvl w:val="0"/>
          <w:numId w:val="73"/>
        </w:numPr>
        <w:contextualSpacing w:val="0"/>
      </w:pPr>
      <w:r w:rsidRPr="001B600F">
        <w:rPr>
          <w:b/>
          <w:bCs/>
        </w:rPr>
        <w:lastRenderedPageBreak/>
        <w:t>Verification Records:</w:t>
      </w:r>
      <w:r>
        <w:t xml:space="preserve"> Validated cooling rate study on file for the cooling process, accuracy and calibration records for equipment used.</w:t>
      </w:r>
    </w:p>
    <w:p w14:paraId="5477B9DD" w14:textId="7BCB5C3A" w:rsidR="00DD2956" w:rsidRDefault="00DD2956" w:rsidP="00846B8F">
      <w:pPr>
        <w:pStyle w:val="ListParagraph"/>
        <w:numPr>
          <w:ilvl w:val="0"/>
          <w:numId w:val="73"/>
        </w:numPr>
        <w:contextualSpacing w:val="0"/>
      </w:pPr>
      <w:r w:rsidRPr="001B600F">
        <w:rPr>
          <w:b/>
          <w:bCs/>
        </w:rPr>
        <w:t>Recall Plan:</w:t>
      </w:r>
      <w:r>
        <w:t xml:space="preserve"> A written recall plan is required for any products with significant hazards if regulated under preventive controls for human foods.</w:t>
      </w:r>
    </w:p>
    <w:p w14:paraId="4CA49EB3" w14:textId="77777777" w:rsidR="00C2421B" w:rsidRDefault="00DD2956" w:rsidP="00846B8F">
      <w:pPr>
        <w:pStyle w:val="ListParagraph"/>
        <w:numPr>
          <w:ilvl w:val="0"/>
          <w:numId w:val="73"/>
        </w:numPr>
        <w:contextualSpacing w:val="0"/>
        <w:sectPr w:rsidR="00C2421B" w:rsidSect="0099497E">
          <w:pgSz w:w="12240" w:h="15840"/>
          <w:pgMar w:top="1440" w:right="1440" w:bottom="1440" w:left="1440" w:header="720" w:footer="720" w:gutter="0"/>
          <w:pgNumType w:chapStyle="1"/>
          <w:cols w:space="720"/>
          <w:docGrid w:linePitch="360"/>
        </w:sectPr>
      </w:pPr>
      <w:r w:rsidRPr="001B600F">
        <w:rPr>
          <w:b/>
          <w:bCs/>
        </w:rPr>
        <w:t>Training Records:</w:t>
      </w:r>
      <w:r>
        <w:t xml:space="preserve"> Training records for the preventive controls qualified individual (PCQI) must be maintained if regulated under preventive controls for human foods. While the HACCP rule requires a HACCP trained individual, records of that training are not explicitly required (federally, may vary by state).</w:t>
      </w:r>
    </w:p>
    <w:p w14:paraId="7CF77B92" w14:textId="47ACEE1C" w:rsidR="00C2421B" w:rsidRDefault="00C2421B" w:rsidP="00846B8F">
      <w:pPr>
        <w:pStyle w:val="Heading4"/>
        <w:numPr>
          <w:ilvl w:val="3"/>
          <w:numId w:val="163"/>
        </w:numPr>
      </w:pPr>
      <w:r>
        <w:lastRenderedPageBreak/>
        <w:t>Example HACCP/Food Safety Plan for Cooling After Cooking Control</w:t>
      </w:r>
    </w:p>
    <w:p w14:paraId="3D4C82C1" w14:textId="3224EF52" w:rsidR="00C2421B" w:rsidRDefault="00C2421B" w:rsidP="00C2421B">
      <w:pPr>
        <w:ind w:left="-810" w:right="-900"/>
      </w:pPr>
      <w:r w:rsidRPr="00AC2821">
        <w:t xml:space="preserve">Below is an example showing what a food safety plan could look like. It is intended for illustrative purposes only. Each producer must develop a plan tailored to their unique products, production and processing methods, and regulatory requirements. </w:t>
      </w:r>
      <w:r w:rsidRPr="00AC2821">
        <w:rPr>
          <w:b/>
          <w:bCs/>
        </w:rPr>
        <w:t>This example should not be copied and used without modification to fit your specific operation.</w:t>
      </w:r>
    </w:p>
    <w:p w14:paraId="3B41038D" w14:textId="06849ACC" w:rsidR="00C2421B" w:rsidRDefault="00C2421B" w:rsidP="00C2421B">
      <w:pPr>
        <w:spacing w:before="240"/>
        <w:ind w:left="-806"/>
        <w:contextualSpacing/>
      </w:pPr>
      <w:r w:rsidRPr="00E579E8">
        <w:rPr>
          <w:b/>
          <w:bCs/>
        </w:rPr>
        <w:t>Control Strategy:</w:t>
      </w:r>
      <w:r>
        <w:t xml:space="preserve"> Cooling After Cooking Control</w:t>
      </w:r>
    </w:p>
    <w:p w14:paraId="4831FF1B" w14:textId="536AC57C" w:rsidR="00C2421B" w:rsidRDefault="00C2421B" w:rsidP="00C2421B">
      <w:pPr>
        <w:spacing w:before="240"/>
        <w:ind w:left="-806"/>
        <w:contextualSpacing/>
      </w:pPr>
      <w:r w:rsidRPr="007235FC">
        <w:rPr>
          <w:b/>
          <w:bCs/>
        </w:rPr>
        <w:t>Critical Control Point</w:t>
      </w:r>
      <w:r>
        <w:rPr>
          <w:b/>
          <w:bCs/>
        </w:rPr>
        <w:t>/Process Preventive Control</w:t>
      </w:r>
      <w:r w:rsidRPr="007235FC">
        <w:rPr>
          <w:b/>
          <w:bCs/>
        </w:rPr>
        <w:t xml:space="preserve">: </w:t>
      </w:r>
      <w:r>
        <w:t>Cooling</w:t>
      </w:r>
    </w:p>
    <w:p w14:paraId="41148234" w14:textId="77777777" w:rsidR="00C2421B" w:rsidRPr="00AD559E" w:rsidRDefault="00C2421B" w:rsidP="00C2421B">
      <w:pPr>
        <w:spacing w:before="240"/>
        <w:ind w:left="-806"/>
        <w:contextualSpacing/>
      </w:pPr>
      <w:r w:rsidRPr="00E579E8">
        <w:rPr>
          <w:b/>
          <w:bCs/>
        </w:rPr>
        <w:t>Hazard:</w:t>
      </w:r>
      <w:r>
        <w:t xml:space="preserve"> Pathogen Growth Due to Temperature Abuse</w:t>
      </w:r>
    </w:p>
    <w:tbl>
      <w:tblPr>
        <w:tblStyle w:val="TableGrid"/>
        <w:tblW w:w="14670" w:type="dxa"/>
        <w:tblInd w:w="-81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tblCellMar>
        <w:tblLook w:val="04A0" w:firstRow="1" w:lastRow="0" w:firstColumn="1" w:lastColumn="0" w:noHBand="0" w:noVBand="1"/>
        <w:tblCaption w:val="Example HACCP/Food Safety Plan for Cooling After Cooking Control"/>
        <w:tblDescription w:val="Column Headers: Parameters/Values/Critical Limits, Monitoring (What/How/When/Who as subheader columns within), Corrective Action, Verification, Records."/>
      </w:tblPr>
      <w:tblGrid>
        <w:gridCol w:w="2340"/>
        <w:gridCol w:w="1417"/>
        <w:gridCol w:w="1463"/>
        <w:gridCol w:w="1440"/>
        <w:gridCol w:w="1350"/>
        <w:gridCol w:w="2610"/>
        <w:gridCol w:w="1980"/>
        <w:gridCol w:w="2070"/>
      </w:tblGrid>
      <w:tr w:rsidR="00C2421B" w14:paraId="2323930C" w14:textId="77777777" w:rsidTr="00A61B74">
        <w:trPr>
          <w:trHeight w:val="390"/>
        </w:trPr>
        <w:tc>
          <w:tcPr>
            <w:tcW w:w="2340" w:type="dxa"/>
            <w:vMerge w:val="restart"/>
            <w:shd w:val="clear" w:color="auto" w:fill="D1D1D1" w:themeFill="background2" w:themeFillShade="E6"/>
          </w:tcPr>
          <w:p w14:paraId="4AD3E519" w14:textId="77777777" w:rsidR="00C2421B" w:rsidRPr="0001662C" w:rsidRDefault="00C2421B" w:rsidP="00DF5603">
            <w:pPr>
              <w:jc w:val="center"/>
              <w:rPr>
                <w:b/>
                <w:bCs/>
              </w:rPr>
            </w:pPr>
            <w:r w:rsidRPr="0001662C">
              <w:rPr>
                <w:b/>
                <w:bCs/>
              </w:rPr>
              <w:t>Parameters, Values, Critical Limits</w:t>
            </w:r>
          </w:p>
        </w:tc>
        <w:tc>
          <w:tcPr>
            <w:tcW w:w="5670" w:type="dxa"/>
            <w:gridSpan w:val="4"/>
            <w:shd w:val="clear" w:color="auto" w:fill="D1D1D1" w:themeFill="background2" w:themeFillShade="E6"/>
          </w:tcPr>
          <w:p w14:paraId="3E08D29D" w14:textId="77777777" w:rsidR="00C2421B" w:rsidRPr="0001662C" w:rsidRDefault="00C2421B" w:rsidP="00DF5603">
            <w:pPr>
              <w:jc w:val="center"/>
              <w:rPr>
                <w:b/>
                <w:bCs/>
              </w:rPr>
            </w:pPr>
            <w:r w:rsidRPr="0001662C">
              <w:rPr>
                <w:b/>
                <w:bCs/>
              </w:rPr>
              <w:t>Monitoring</w:t>
            </w:r>
          </w:p>
        </w:tc>
        <w:tc>
          <w:tcPr>
            <w:tcW w:w="2610" w:type="dxa"/>
            <w:vMerge w:val="restart"/>
            <w:shd w:val="clear" w:color="auto" w:fill="D1D1D1" w:themeFill="background2" w:themeFillShade="E6"/>
          </w:tcPr>
          <w:p w14:paraId="7384A567" w14:textId="77777777" w:rsidR="00C2421B" w:rsidRPr="0001662C" w:rsidRDefault="00C2421B" w:rsidP="00DF5603">
            <w:pPr>
              <w:jc w:val="center"/>
              <w:rPr>
                <w:b/>
                <w:bCs/>
              </w:rPr>
            </w:pPr>
            <w:r w:rsidRPr="0001662C">
              <w:rPr>
                <w:b/>
                <w:bCs/>
              </w:rPr>
              <w:t>Corrective Action</w:t>
            </w:r>
          </w:p>
        </w:tc>
        <w:tc>
          <w:tcPr>
            <w:tcW w:w="1980" w:type="dxa"/>
            <w:vMerge w:val="restart"/>
            <w:shd w:val="clear" w:color="auto" w:fill="D1D1D1" w:themeFill="background2" w:themeFillShade="E6"/>
          </w:tcPr>
          <w:p w14:paraId="42CA4E7D" w14:textId="77777777" w:rsidR="00C2421B" w:rsidRPr="0001662C" w:rsidRDefault="00C2421B" w:rsidP="00DF5603">
            <w:pPr>
              <w:jc w:val="center"/>
              <w:rPr>
                <w:b/>
                <w:bCs/>
              </w:rPr>
            </w:pPr>
            <w:r w:rsidRPr="0001662C">
              <w:rPr>
                <w:b/>
                <w:bCs/>
              </w:rPr>
              <w:t>Verification</w:t>
            </w:r>
          </w:p>
        </w:tc>
        <w:tc>
          <w:tcPr>
            <w:tcW w:w="2070" w:type="dxa"/>
            <w:vMerge w:val="restart"/>
            <w:shd w:val="clear" w:color="auto" w:fill="D1D1D1" w:themeFill="background2" w:themeFillShade="E6"/>
          </w:tcPr>
          <w:p w14:paraId="6631E4CE" w14:textId="77777777" w:rsidR="00C2421B" w:rsidRPr="0001662C" w:rsidRDefault="00C2421B" w:rsidP="00DF5603">
            <w:pPr>
              <w:jc w:val="center"/>
              <w:rPr>
                <w:b/>
                <w:bCs/>
              </w:rPr>
            </w:pPr>
            <w:r w:rsidRPr="0001662C">
              <w:rPr>
                <w:b/>
                <w:bCs/>
              </w:rPr>
              <w:t>Records</w:t>
            </w:r>
          </w:p>
        </w:tc>
      </w:tr>
      <w:tr w:rsidR="00C2421B" w14:paraId="6F76F1C2" w14:textId="77777777" w:rsidTr="00A61B74">
        <w:trPr>
          <w:trHeight w:val="20"/>
        </w:trPr>
        <w:tc>
          <w:tcPr>
            <w:tcW w:w="2340" w:type="dxa"/>
            <w:vMerge/>
          </w:tcPr>
          <w:p w14:paraId="26CCEF87" w14:textId="77777777" w:rsidR="00C2421B" w:rsidRPr="0001662C" w:rsidRDefault="00C2421B" w:rsidP="00DF5603">
            <w:pPr>
              <w:rPr>
                <w:b/>
                <w:bCs/>
              </w:rPr>
            </w:pPr>
          </w:p>
        </w:tc>
        <w:tc>
          <w:tcPr>
            <w:tcW w:w="1417" w:type="dxa"/>
            <w:shd w:val="clear" w:color="auto" w:fill="D1D1D1" w:themeFill="background2" w:themeFillShade="E6"/>
          </w:tcPr>
          <w:p w14:paraId="1F0DE26A" w14:textId="77777777" w:rsidR="00C2421B" w:rsidRPr="0001662C" w:rsidRDefault="00C2421B" w:rsidP="00DF5603">
            <w:pPr>
              <w:jc w:val="center"/>
              <w:rPr>
                <w:b/>
                <w:bCs/>
              </w:rPr>
            </w:pPr>
            <w:r w:rsidRPr="0001662C">
              <w:rPr>
                <w:b/>
                <w:bCs/>
              </w:rPr>
              <w:t>What</w:t>
            </w:r>
          </w:p>
        </w:tc>
        <w:tc>
          <w:tcPr>
            <w:tcW w:w="1463" w:type="dxa"/>
            <w:shd w:val="clear" w:color="auto" w:fill="D1D1D1" w:themeFill="background2" w:themeFillShade="E6"/>
          </w:tcPr>
          <w:p w14:paraId="72B3C436" w14:textId="77777777" w:rsidR="00C2421B" w:rsidRPr="0001662C" w:rsidRDefault="00C2421B" w:rsidP="00DF5603">
            <w:pPr>
              <w:jc w:val="center"/>
              <w:rPr>
                <w:b/>
                <w:bCs/>
              </w:rPr>
            </w:pPr>
            <w:r w:rsidRPr="0001662C">
              <w:rPr>
                <w:b/>
                <w:bCs/>
              </w:rPr>
              <w:t>How</w:t>
            </w:r>
          </w:p>
        </w:tc>
        <w:tc>
          <w:tcPr>
            <w:tcW w:w="1440" w:type="dxa"/>
            <w:shd w:val="clear" w:color="auto" w:fill="D1D1D1" w:themeFill="background2" w:themeFillShade="E6"/>
          </w:tcPr>
          <w:p w14:paraId="757B454C" w14:textId="77777777" w:rsidR="00C2421B" w:rsidRPr="0001662C" w:rsidRDefault="00C2421B" w:rsidP="00DF5603">
            <w:pPr>
              <w:jc w:val="center"/>
              <w:rPr>
                <w:b/>
                <w:bCs/>
              </w:rPr>
            </w:pPr>
            <w:r w:rsidRPr="0001662C">
              <w:rPr>
                <w:b/>
                <w:bCs/>
              </w:rPr>
              <w:t>When</w:t>
            </w:r>
          </w:p>
        </w:tc>
        <w:tc>
          <w:tcPr>
            <w:tcW w:w="1350" w:type="dxa"/>
            <w:shd w:val="clear" w:color="auto" w:fill="D1D1D1" w:themeFill="background2" w:themeFillShade="E6"/>
          </w:tcPr>
          <w:p w14:paraId="151E7437" w14:textId="77777777" w:rsidR="00C2421B" w:rsidRPr="0001662C" w:rsidRDefault="00C2421B" w:rsidP="00DF5603">
            <w:pPr>
              <w:jc w:val="center"/>
              <w:rPr>
                <w:b/>
                <w:bCs/>
              </w:rPr>
            </w:pPr>
            <w:r w:rsidRPr="0001662C">
              <w:rPr>
                <w:b/>
                <w:bCs/>
              </w:rPr>
              <w:t>Who</w:t>
            </w:r>
          </w:p>
        </w:tc>
        <w:tc>
          <w:tcPr>
            <w:tcW w:w="2610" w:type="dxa"/>
            <w:vMerge/>
          </w:tcPr>
          <w:p w14:paraId="4C5D2258" w14:textId="77777777" w:rsidR="00C2421B" w:rsidRDefault="00C2421B" w:rsidP="00DF5603"/>
        </w:tc>
        <w:tc>
          <w:tcPr>
            <w:tcW w:w="1980" w:type="dxa"/>
            <w:vMerge/>
          </w:tcPr>
          <w:p w14:paraId="2BFB64EF" w14:textId="77777777" w:rsidR="00C2421B" w:rsidRDefault="00C2421B" w:rsidP="00DF5603"/>
        </w:tc>
        <w:tc>
          <w:tcPr>
            <w:tcW w:w="2070" w:type="dxa"/>
            <w:vMerge/>
          </w:tcPr>
          <w:p w14:paraId="665BEBEE" w14:textId="77777777" w:rsidR="00C2421B" w:rsidRDefault="00C2421B" w:rsidP="00DF5603"/>
        </w:tc>
      </w:tr>
      <w:tr w:rsidR="00C2421B" w14:paraId="7FC6F8EC" w14:textId="77777777" w:rsidTr="00A61B74">
        <w:trPr>
          <w:trHeight w:val="4548"/>
        </w:trPr>
        <w:tc>
          <w:tcPr>
            <w:tcW w:w="2340" w:type="dxa"/>
          </w:tcPr>
          <w:p w14:paraId="7EEADDE0" w14:textId="053F8853" w:rsidR="00C2421B" w:rsidRPr="00C2421B" w:rsidRDefault="00C2421B" w:rsidP="00C2421B">
            <w:pPr>
              <w:spacing w:before="240"/>
              <w:rPr>
                <w:sz w:val="22"/>
                <w:szCs w:val="22"/>
              </w:rPr>
            </w:pPr>
            <w:r w:rsidRPr="00C2421B">
              <w:rPr>
                <w:sz w:val="22"/>
                <w:szCs w:val="22"/>
              </w:rPr>
              <w:t>The product is cooled to 70°F (21.1°C) within 2 hours and within no more than 4 more hours from 70°F (21.1°C) to 40°F (4.4°C).</w:t>
            </w:r>
          </w:p>
          <w:p w14:paraId="412599AF" w14:textId="134EE73E" w:rsidR="00C2421B" w:rsidRPr="00677CAA" w:rsidRDefault="00C2421B" w:rsidP="00C2421B">
            <w:pPr>
              <w:spacing w:before="240"/>
              <w:rPr>
                <w:sz w:val="22"/>
                <w:szCs w:val="22"/>
              </w:rPr>
            </w:pPr>
            <w:r w:rsidRPr="00C2421B">
              <w:rPr>
                <w:sz w:val="22"/>
                <w:szCs w:val="22"/>
              </w:rPr>
              <w:t>Product temperature reaches 40°F within no more than 6 hours.</w:t>
            </w:r>
          </w:p>
        </w:tc>
        <w:tc>
          <w:tcPr>
            <w:tcW w:w="1417" w:type="dxa"/>
          </w:tcPr>
          <w:p w14:paraId="67721319" w14:textId="77777777" w:rsidR="00C2421B" w:rsidRPr="00C2421B" w:rsidRDefault="00C2421B" w:rsidP="00C2421B">
            <w:pPr>
              <w:spacing w:before="240"/>
              <w:rPr>
                <w:sz w:val="22"/>
                <w:szCs w:val="22"/>
              </w:rPr>
            </w:pPr>
            <w:r w:rsidRPr="00C2421B">
              <w:rPr>
                <w:sz w:val="22"/>
                <w:szCs w:val="22"/>
              </w:rPr>
              <w:t>Length of cooling cycle</w:t>
            </w:r>
          </w:p>
          <w:p w14:paraId="5A85B24D" w14:textId="0DC9A0A7" w:rsidR="00C2421B" w:rsidRPr="00677CAA" w:rsidRDefault="00C2421B" w:rsidP="00C2421B">
            <w:pPr>
              <w:spacing w:before="240"/>
              <w:rPr>
                <w:sz w:val="22"/>
                <w:szCs w:val="22"/>
              </w:rPr>
            </w:pPr>
            <w:r w:rsidRPr="00C2421B">
              <w:rPr>
                <w:sz w:val="22"/>
                <w:szCs w:val="22"/>
              </w:rPr>
              <w:t xml:space="preserve">Seaweed </w:t>
            </w:r>
            <w:r>
              <w:rPr>
                <w:sz w:val="22"/>
                <w:szCs w:val="22"/>
              </w:rPr>
              <w:t>T</w:t>
            </w:r>
            <w:r w:rsidRPr="00C2421B">
              <w:rPr>
                <w:sz w:val="22"/>
                <w:szCs w:val="22"/>
              </w:rPr>
              <w:t>emperature</w:t>
            </w:r>
          </w:p>
        </w:tc>
        <w:tc>
          <w:tcPr>
            <w:tcW w:w="1463" w:type="dxa"/>
          </w:tcPr>
          <w:p w14:paraId="4C7CE905" w14:textId="77777777" w:rsidR="00C2421B" w:rsidRPr="00C2421B" w:rsidRDefault="00C2421B" w:rsidP="00C2421B">
            <w:pPr>
              <w:spacing w:before="240"/>
              <w:rPr>
                <w:sz w:val="22"/>
                <w:szCs w:val="22"/>
              </w:rPr>
            </w:pPr>
            <w:r w:rsidRPr="00C2421B">
              <w:rPr>
                <w:sz w:val="22"/>
                <w:szCs w:val="22"/>
              </w:rPr>
              <w:t>Watch</w:t>
            </w:r>
          </w:p>
          <w:p w14:paraId="56162B1C" w14:textId="6F043D01" w:rsidR="00C2421B" w:rsidRPr="00677CAA" w:rsidRDefault="00C2421B" w:rsidP="00C2421B">
            <w:pPr>
              <w:spacing w:before="240"/>
              <w:rPr>
                <w:sz w:val="22"/>
                <w:szCs w:val="22"/>
              </w:rPr>
            </w:pPr>
            <w:r w:rsidRPr="00C2421B">
              <w:rPr>
                <w:sz w:val="22"/>
                <w:szCs w:val="22"/>
              </w:rPr>
              <w:t>Thermometer</w:t>
            </w:r>
          </w:p>
        </w:tc>
        <w:tc>
          <w:tcPr>
            <w:tcW w:w="1440" w:type="dxa"/>
          </w:tcPr>
          <w:p w14:paraId="2B80A3AB" w14:textId="549B475C" w:rsidR="00C2421B" w:rsidRPr="00677CAA" w:rsidRDefault="00C2421B" w:rsidP="00DF5603">
            <w:pPr>
              <w:spacing w:before="240"/>
              <w:rPr>
                <w:sz w:val="22"/>
                <w:szCs w:val="22"/>
              </w:rPr>
            </w:pPr>
            <w:r w:rsidRPr="00C2421B">
              <w:rPr>
                <w:sz w:val="22"/>
                <w:szCs w:val="22"/>
              </w:rPr>
              <w:t>Every Batch</w:t>
            </w:r>
          </w:p>
        </w:tc>
        <w:tc>
          <w:tcPr>
            <w:tcW w:w="1350" w:type="dxa"/>
          </w:tcPr>
          <w:p w14:paraId="0113B071" w14:textId="0A274A58" w:rsidR="00C2421B" w:rsidRPr="00677CAA" w:rsidRDefault="00C2421B" w:rsidP="00DF5603">
            <w:pPr>
              <w:spacing w:before="240"/>
              <w:rPr>
                <w:sz w:val="22"/>
                <w:szCs w:val="22"/>
              </w:rPr>
            </w:pPr>
            <w:r w:rsidRPr="00C2421B">
              <w:rPr>
                <w:sz w:val="22"/>
                <w:szCs w:val="22"/>
              </w:rPr>
              <w:t>Line Cook</w:t>
            </w:r>
          </w:p>
        </w:tc>
        <w:tc>
          <w:tcPr>
            <w:tcW w:w="2610" w:type="dxa"/>
          </w:tcPr>
          <w:p w14:paraId="2FBCBAC6" w14:textId="77777777" w:rsidR="00C2421B" w:rsidRPr="00C2421B" w:rsidRDefault="00C2421B" w:rsidP="00C2421B">
            <w:pPr>
              <w:spacing w:before="240"/>
              <w:rPr>
                <w:sz w:val="22"/>
                <w:szCs w:val="22"/>
              </w:rPr>
            </w:pPr>
            <w:r w:rsidRPr="00C2421B">
              <w:rPr>
                <w:sz w:val="22"/>
                <w:szCs w:val="22"/>
              </w:rPr>
              <w:t xml:space="preserve">If cooling time/temperature are not met, then reprocess the product </w:t>
            </w:r>
            <w:r w:rsidRPr="00A61B74">
              <w:rPr>
                <w:b/>
                <w:bCs/>
                <w:sz w:val="22"/>
                <w:szCs w:val="22"/>
              </w:rPr>
              <w:t>OR</w:t>
            </w:r>
            <w:r w:rsidRPr="00C2421B">
              <w:rPr>
                <w:sz w:val="22"/>
                <w:szCs w:val="22"/>
              </w:rPr>
              <w:t xml:space="preserve"> dispose of the product </w:t>
            </w:r>
            <w:r w:rsidRPr="00A61B74">
              <w:rPr>
                <w:b/>
                <w:bCs/>
                <w:sz w:val="22"/>
                <w:szCs w:val="22"/>
              </w:rPr>
              <w:t>OR</w:t>
            </w:r>
            <w:r w:rsidRPr="00C2421B">
              <w:rPr>
                <w:sz w:val="22"/>
                <w:szCs w:val="22"/>
              </w:rPr>
              <w:t xml:space="preserve"> divert product to a non-food use.</w:t>
            </w:r>
          </w:p>
          <w:p w14:paraId="3A91904D" w14:textId="77777777" w:rsidR="00A61B74" w:rsidRDefault="00C2421B" w:rsidP="00C2421B">
            <w:pPr>
              <w:spacing w:before="240"/>
              <w:rPr>
                <w:sz w:val="22"/>
                <w:szCs w:val="22"/>
              </w:rPr>
            </w:pPr>
            <w:r w:rsidRPr="00A61B74">
              <w:rPr>
                <w:b/>
                <w:bCs/>
                <w:sz w:val="22"/>
                <w:szCs w:val="22"/>
              </w:rPr>
              <w:t>AND</w:t>
            </w:r>
            <w:r w:rsidRPr="00C2421B">
              <w:rPr>
                <w:sz w:val="22"/>
                <w:szCs w:val="22"/>
              </w:rPr>
              <w:t xml:space="preserve"> </w:t>
            </w:r>
          </w:p>
          <w:p w14:paraId="097BBA87" w14:textId="72F29FA6" w:rsidR="00C2421B" w:rsidRPr="00677CAA" w:rsidRDefault="00A61B74" w:rsidP="00C2421B">
            <w:pPr>
              <w:spacing w:before="240"/>
              <w:rPr>
                <w:sz w:val="22"/>
                <w:szCs w:val="22"/>
              </w:rPr>
            </w:pPr>
            <w:r>
              <w:rPr>
                <w:sz w:val="22"/>
                <w:szCs w:val="22"/>
              </w:rPr>
              <w:t>D</w:t>
            </w:r>
            <w:r w:rsidR="00C2421B" w:rsidRPr="00C2421B">
              <w:rPr>
                <w:sz w:val="22"/>
                <w:szCs w:val="22"/>
              </w:rPr>
              <w:t>etermine the cause of the deviation and adjust procedures to prevent future occurrences (e.g., equipment maintenance, employee training, etc.).</w:t>
            </w:r>
          </w:p>
        </w:tc>
        <w:tc>
          <w:tcPr>
            <w:tcW w:w="1980" w:type="dxa"/>
          </w:tcPr>
          <w:p w14:paraId="7AF69E38" w14:textId="77777777" w:rsidR="00C2421B" w:rsidRPr="00C2421B" w:rsidRDefault="00C2421B" w:rsidP="00C2421B">
            <w:pPr>
              <w:spacing w:before="240"/>
              <w:rPr>
                <w:sz w:val="22"/>
                <w:szCs w:val="22"/>
              </w:rPr>
            </w:pPr>
            <w:r w:rsidRPr="00C2421B">
              <w:rPr>
                <w:sz w:val="22"/>
                <w:szCs w:val="22"/>
              </w:rPr>
              <w:t>Weekly review of monitoring and corrective action records.</w:t>
            </w:r>
          </w:p>
          <w:p w14:paraId="6B4F4F90" w14:textId="6220BE09" w:rsidR="00C2421B" w:rsidRPr="00677CAA" w:rsidRDefault="00C2421B" w:rsidP="00C2421B">
            <w:pPr>
              <w:spacing w:before="240"/>
              <w:rPr>
                <w:sz w:val="22"/>
                <w:szCs w:val="22"/>
              </w:rPr>
            </w:pPr>
            <w:r w:rsidRPr="00C2421B">
              <w:rPr>
                <w:sz w:val="22"/>
                <w:szCs w:val="22"/>
              </w:rPr>
              <w:t>Thermometer accuracy checks daily before use and calibration checks as per manufacturer instructions.</w:t>
            </w:r>
          </w:p>
        </w:tc>
        <w:tc>
          <w:tcPr>
            <w:tcW w:w="2070" w:type="dxa"/>
          </w:tcPr>
          <w:p w14:paraId="234D440B" w14:textId="77777777" w:rsidR="00C2421B" w:rsidRPr="00C2421B" w:rsidRDefault="00C2421B" w:rsidP="00C2421B">
            <w:pPr>
              <w:spacing w:before="240"/>
              <w:rPr>
                <w:sz w:val="22"/>
                <w:szCs w:val="22"/>
              </w:rPr>
            </w:pPr>
            <w:r w:rsidRPr="00C2421B">
              <w:rPr>
                <w:sz w:val="22"/>
                <w:szCs w:val="22"/>
              </w:rPr>
              <w:t>Cooling log including cooling time and temperature checks.</w:t>
            </w:r>
          </w:p>
          <w:p w14:paraId="6638169C" w14:textId="77777777" w:rsidR="00C2421B" w:rsidRPr="00C2421B" w:rsidRDefault="00C2421B" w:rsidP="00C2421B">
            <w:pPr>
              <w:spacing w:before="240"/>
              <w:rPr>
                <w:sz w:val="22"/>
                <w:szCs w:val="22"/>
              </w:rPr>
            </w:pPr>
            <w:r w:rsidRPr="00C2421B">
              <w:rPr>
                <w:sz w:val="22"/>
                <w:szCs w:val="22"/>
              </w:rPr>
              <w:t>Corrective action records, as necessary.</w:t>
            </w:r>
          </w:p>
          <w:p w14:paraId="10C85CDB" w14:textId="77777777" w:rsidR="00C2421B" w:rsidRPr="00C2421B" w:rsidRDefault="00C2421B" w:rsidP="00C2421B">
            <w:pPr>
              <w:spacing w:before="240"/>
              <w:rPr>
                <w:sz w:val="22"/>
                <w:szCs w:val="22"/>
              </w:rPr>
            </w:pPr>
            <w:r w:rsidRPr="00C2421B">
              <w:rPr>
                <w:sz w:val="22"/>
                <w:szCs w:val="22"/>
              </w:rPr>
              <w:t>Verification records, including thermometer accuracy checks and calibration records.</w:t>
            </w:r>
          </w:p>
          <w:p w14:paraId="0E58CD41" w14:textId="719EEC89" w:rsidR="00C2421B" w:rsidRPr="00677CAA" w:rsidRDefault="00C2421B" w:rsidP="00C2421B">
            <w:pPr>
              <w:spacing w:before="240"/>
              <w:rPr>
                <w:sz w:val="22"/>
                <w:szCs w:val="22"/>
              </w:rPr>
            </w:pPr>
            <w:r w:rsidRPr="00C2421B">
              <w:rPr>
                <w:sz w:val="22"/>
                <w:szCs w:val="22"/>
              </w:rPr>
              <w:t>PCQI training records (PCHF only)</w:t>
            </w:r>
          </w:p>
        </w:tc>
      </w:tr>
    </w:tbl>
    <w:p w14:paraId="7D288311" w14:textId="77777777" w:rsidR="00C2421B" w:rsidRDefault="00C2421B" w:rsidP="00C2421B"/>
    <w:p w14:paraId="4028EFDD" w14:textId="77777777" w:rsidR="00C2421B" w:rsidRDefault="00C2421B" w:rsidP="00C2421B">
      <w:pPr>
        <w:sectPr w:rsidR="00C2421B" w:rsidSect="00C2421B">
          <w:pgSz w:w="15840" w:h="12240" w:orient="landscape"/>
          <w:pgMar w:top="1440" w:right="1440" w:bottom="1440" w:left="1440" w:header="720" w:footer="720" w:gutter="0"/>
          <w:pgNumType w:chapStyle="1"/>
          <w:cols w:space="720"/>
          <w:docGrid w:linePitch="360"/>
        </w:sectPr>
      </w:pPr>
    </w:p>
    <w:p w14:paraId="29626E29" w14:textId="4A7169D8" w:rsidR="00C2421B" w:rsidRDefault="00C2421B" w:rsidP="00691E23">
      <w:pPr>
        <w:pStyle w:val="Heading3"/>
      </w:pPr>
      <w:bookmarkStart w:id="193" w:name="_Toc208503273"/>
      <w:r>
        <w:lastRenderedPageBreak/>
        <w:t>Control Strategy 4 – Unrefrigerated Processing Control</w:t>
      </w:r>
      <w:bookmarkEnd w:id="193"/>
    </w:p>
    <w:p w14:paraId="5F2B10C2" w14:textId="4B17756B" w:rsidR="00C2421B" w:rsidRDefault="00C2421B" w:rsidP="00B64049">
      <w:pPr>
        <w:spacing w:before="240"/>
        <w:sectPr w:rsidR="00C2421B" w:rsidSect="0099497E">
          <w:pgSz w:w="12240" w:h="15840"/>
          <w:pgMar w:top="1440" w:right="1440" w:bottom="1440" w:left="1440" w:header="720" w:footer="720" w:gutter="0"/>
          <w:pgNumType w:chapStyle="1"/>
          <w:cols w:space="720"/>
          <w:docGrid w:linePitch="360"/>
        </w:sectPr>
      </w:pPr>
      <w:r w:rsidRPr="00C2421B">
        <w:t>When processing raw ready-to-eat products, it is essential to prevent significant pathogen growth throughout the process. For cooked ready-to-eat products, this also applies after the cook step. If any unrefrigerated processing steps occur, producers must assess the associated risks and implement appropriate controls to prevent pathogen growth during these steps. For detailed guidance, refer to Chapter 12 of the</w:t>
      </w:r>
      <w:r w:rsidR="00D31328">
        <w:t xml:space="preserve"> FDA’s</w:t>
      </w:r>
      <w:r w:rsidRPr="00C2421B">
        <w:t xml:space="preserve"> </w:t>
      </w:r>
      <w:r w:rsidRPr="00C2421B">
        <w:rPr>
          <w:i/>
          <w:iCs/>
        </w:rPr>
        <w:t>Fish and Fishery Products Hazards and Controls Guidance</w:t>
      </w:r>
      <w:r w:rsidRPr="00C2421B">
        <w:t xml:space="preserve"> (USFDA, 2022b). A seaweed-specific example food safety plan for a cooked ready-to-eat seaweed product is provided on the following page.</w:t>
      </w:r>
    </w:p>
    <w:p w14:paraId="384726EB" w14:textId="4654441F" w:rsidR="00C2421B" w:rsidRDefault="00C2421B" w:rsidP="00846B8F">
      <w:pPr>
        <w:pStyle w:val="Heading4"/>
        <w:numPr>
          <w:ilvl w:val="3"/>
          <w:numId w:val="125"/>
        </w:numPr>
      </w:pPr>
      <w:r>
        <w:lastRenderedPageBreak/>
        <w:t>Example HACCP/Food Safety Plan for Unrefrigerated Processing Control</w:t>
      </w:r>
    </w:p>
    <w:p w14:paraId="1CACD95E" w14:textId="29C62923" w:rsidR="00C2421B" w:rsidRDefault="00C2421B" w:rsidP="00C2421B">
      <w:pPr>
        <w:ind w:left="-810" w:right="-900"/>
        <w:rPr>
          <w:b/>
          <w:bCs/>
        </w:rPr>
      </w:pPr>
      <w:r w:rsidRPr="00AC2821">
        <w:t xml:space="preserve">Below is an example showing what a food safety plan could look like. It is intended for illustrative purposes only. Each producer must develop a plan tailored to their unique products, production and processing methods, and regulatory requirements. </w:t>
      </w:r>
      <w:r w:rsidRPr="00AC2821">
        <w:rPr>
          <w:b/>
          <w:bCs/>
        </w:rPr>
        <w:t>This example should not be copied and used without modification to fit your specific operation.</w:t>
      </w:r>
    </w:p>
    <w:p w14:paraId="4117A679" w14:textId="77777777" w:rsidR="00EF43EE" w:rsidRPr="00B47DD8" w:rsidRDefault="00EF43EE" w:rsidP="00EF43EE">
      <w:pPr>
        <w:ind w:left="-810" w:right="-900"/>
        <w:jc w:val="center"/>
        <w:rPr>
          <w:b/>
          <w:bCs/>
        </w:rPr>
        <w:sectPr w:rsidR="00EF43EE" w:rsidRPr="00B47DD8" w:rsidSect="00C2421B">
          <w:pgSz w:w="15840" w:h="12240" w:orient="landscape"/>
          <w:pgMar w:top="1440" w:right="1440" w:bottom="1440" w:left="1440" w:header="720" w:footer="720" w:gutter="0"/>
          <w:pgNumType w:chapStyle="1"/>
          <w:cols w:space="720"/>
          <w:docGrid w:linePitch="360"/>
        </w:sectPr>
      </w:pPr>
      <w:r w:rsidRPr="00B47DD8">
        <w:rPr>
          <w:b/>
          <w:bCs/>
        </w:rPr>
        <w:t>This example is continued on the next page.</w:t>
      </w:r>
    </w:p>
    <w:p w14:paraId="2E0558C5" w14:textId="240EDF02" w:rsidR="00EF43EE" w:rsidRPr="00EF43EE" w:rsidRDefault="00EF43EE" w:rsidP="00846B8F">
      <w:pPr>
        <w:pStyle w:val="Heading4"/>
        <w:numPr>
          <w:ilvl w:val="3"/>
          <w:numId w:val="125"/>
        </w:numPr>
      </w:pPr>
      <w:r>
        <w:lastRenderedPageBreak/>
        <w:t>Example HACCP/Food Safety Plan for Unrefrigerated Processing Control (continued)</w:t>
      </w:r>
    </w:p>
    <w:p w14:paraId="2E1BB661" w14:textId="2608788C" w:rsidR="00C2421B" w:rsidRDefault="00C2421B" w:rsidP="00C2421B">
      <w:pPr>
        <w:spacing w:before="240"/>
        <w:ind w:left="-806"/>
        <w:contextualSpacing/>
      </w:pPr>
      <w:r w:rsidRPr="00E579E8">
        <w:rPr>
          <w:b/>
          <w:bCs/>
        </w:rPr>
        <w:t>Control Strategy:</w:t>
      </w:r>
      <w:r>
        <w:t xml:space="preserve"> Unrefrigerated Processing Control</w:t>
      </w:r>
    </w:p>
    <w:p w14:paraId="783068CC" w14:textId="39D26B45" w:rsidR="00C2421B" w:rsidRDefault="00C2421B" w:rsidP="00C2421B">
      <w:pPr>
        <w:spacing w:before="240"/>
        <w:ind w:left="-806"/>
        <w:contextualSpacing/>
      </w:pPr>
      <w:r w:rsidRPr="007235FC">
        <w:rPr>
          <w:b/>
          <w:bCs/>
        </w:rPr>
        <w:t>Critical Control Point</w:t>
      </w:r>
      <w:r>
        <w:rPr>
          <w:b/>
          <w:bCs/>
        </w:rPr>
        <w:t>/Process Preventive Control</w:t>
      </w:r>
      <w:r w:rsidRPr="007235FC">
        <w:rPr>
          <w:b/>
          <w:bCs/>
        </w:rPr>
        <w:t xml:space="preserve">: </w:t>
      </w:r>
      <w:r>
        <w:t>Packing Step</w:t>
      </w:r>
    </w:p>
    <w:p w14:paraId="2507620D" w14:textId="601D10CE" w:rsidR="00EF43EE" w:rsidRPr="00AD559E" w:rsidRDefault="00C2421B" w:rsidP="00EF43EE">
      <w:pPr>
        <w:spacing w:before="240"/>
        <w:ind w:left="-806"/>
        <w:contextualSpacing/>
      </w:pPr>
      <w:r w:rsidRPr="00E579E8">
        <w:rPr>
          <w:b/>
          <w:bCs/>
        </w:rPr>
        <w:t>Hazard:</w:t>
      </w:r>
      <w:r>
        <w:t xml:space="preserve"> Pathogen Growth Due to Temperature Abuse</w:t>
      </w:r>
    </w:p>
    <w:tbl>
      <w:tblPr>
        <w:tblStyle w:val="TableGrid"/>
        <w:tblW w:w="14735" w:type="dxa"/>
        <w:tblInd w:w="-81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left w:w="43" w:type="dxa"/>
          <w:right w:w="43" w:type="dxa"/>
        </w:tblCellMar>
        <w:tblLook w:val="04A0" w:firstRow="1" w:lastRow="0" w:firstColumn="1" w:lastColumn="0" w:noHBand="0" w:noVBand="1"/>
        <w:tblCaption w:val="Example HACCP/Food Safety Plan for Urefrigerated Processing Control: Pathogen Growth Due to Temperature Abuse"/>
        <w:tblDescription w:val="Column Headers: Parameters/Values/Critical Limits, Monitoring (What/How/When/Who as subheader columns within), Corrective Action, Verification, Records."/>
      </w:tblPr>
      <w:tblGrid>
        <w:gridCol w:w="2135"/>
        <w:gridCol w:w="1440"/>
        <w:gridCol w:w="1710"/>
        <w:gridCol w:w="1440"/>
        <w:gridCol w:w="1350"/>
        <w:gridCol w:w="2275"/>
        <w:gridCol w:w="1890"/>
        <w:gridCol w:w="2495"/>
      </w:tblGrid>
      <w:tr w:rsidR="00C2421B" w14:paraId="03567226" w14:textId="77777777" w:rsidTr="00A61B74">
        <w:trPr>
          <w:trHeight w:val="390"/>
        </w:trPr>
        <w:tc>
          <w:tcPr>
            <w:tcW w:w="2135" w:type="dxa"/>
            <w:vMerge w:val="restart"/>
            <w:shd w:val="clear" w:color="auto" w:fill="D1D1D1" w:themeFill="background2" w:themeFillShade="E6"/>
          </w:tcPr>
          <w:p w14:paraId="2403A527" w14:textId="77777777" w:rsidR="00C2421B" w:rsidRPr="0001662C" w:rsidRDefault="00C2421B" w:rsidP="00DF5603">
            <w:pPr>
              <w:jc w:val="center"/>
              <w:rPr>
                <w:b/>
                <w:bCs/>
              </w:rPr>
            </w:pPr>
            <w:r w:rsidRPr="0001662C">
              <w:rPr>
                <w:b/>
                <w:bCs/>
              </w:rPr>
              <w:t>Parameters, Values, Critical Limits</w:t>
            </w:r>
          </w:p>
        </w:tc>
        <w:tc>
          <w:tcPr>
            <w:tcW w:w="5940" w:type="dxa"/>
            <w:gridSpan w:val="4"/>
            <w:shd w:val="clear" w:color="auto" w:fill="D1D1D1" w:themeFill="background2" w:themeFillShade="E6"/>
          </w:tcPr>
          <w:p w14:paraId="3AE39F1D" w14:textId="77777777" w:rsidR="00C2421B" w:rsidRPr="0001662C" w:rsidRDefault="00C2421B" w:rsidP="00DF5603">
            <w:pPr>
              <w:jc w:val="center"/>
              <w:rPr>
                <w:b/>
                <w:bCs/>
              </w:rPr>
            </w:pPr>
            <w:r w:rsidRPr="0001662C">
              <w:rPr>
                <w:b/>
                <w:bCs/>
              </w:rPr>
              <w:t>Monitoring</w:t>
            </w:r>
          </w:p>
        </w:tc>
        <w:tc>
          <w:tcPr>
            <w:tcW w:w="2275" w:type="dxa"/>
            <w:vMerge w:val="restart"/>
            <w:shd w:val="clear" w:color="auto" w:fill="D1D1D1" w:themeFill="background2" w:themeFillShade="E6"/>
          </w:tcPr>
          <w:p w14:paraId="495BDC20" w14:textId="77777777" w:rsidR="00C2421B" w:rsidRPr="0001662C" w:rsidRDefault="00C2421B" w:rsidP="00DF5603">
            <w:pPr>
              <w:jc w:val="center"/>
              <w:rPr>
                <w:b/>
                <w:bCs/>
              </w:rPr>
            </w:pPr>
            <w:r w:rsidRPr="0001662C">
              <w:rPr>
                <w:b/>
                <w:bCs/>
              </w:rPr>
              <w:t>Corrective Action</w:t>
            </w:r>
          </w:p>
        </w:tc>
        <w:tc>
          <w:tcPr>
            <w:tcW w:w="1890" w:type="dxa"/>
            <w:vMerge w:val="restart"/>
            <w:shd w:val="clear" w:color="auto" w:fill="D1D1D1" w:themeFill="background2" w:themeFillShade="E6"/>
          </w:tcPr>
          <w:p w14:paraId="64188121" w14:textId="77777777" w:rsidR="00C2421B" w:rsidRPr="0001662C" w:rsidRDefault="00C2421B" w:rsidP="00DF5603">
            <w:pPr>
              <w:jc w:val="center"/>
              <w:rPr>
                <w:b/>
                <w:bCs/>
              </w:rPr>
            </w:pPr>
            <w:r w:rsidRPr="0001662C">
              <w:rPr>
                <w:b/>
                <w:bCs/>
              </w:rPr>
              <w:t>Verification</w:t>
            </w:r>
          </w:p>
        </w:tc>
        <w:tc>
          <w:tcPr>
            <w:tcW w:w="2495" w:type="dxa"/>
            <w:vMerge w:val="restart"/>
            <w:shd w:val="clear" w:color="auto" w:fill="D1D1D1" w:themeFill="background2" w:themeFillShade="E6"/>
          </w:tcPr>
          <w:p w14:paraId="1B1EB019" w14:textId="77777777" w:rsidR="00C2421B" w:rsidRPr="0001662C" w:rsidRDefault="00C2421B" w:rsidP="00DF5603">
            <w:pPr>
              <w:jc w:val="center"/>
              <w:rPr>
                <w:b/>
                <w:bCs/>
              </w:rPr>
            </w:pPr>
            <w:r w:rsidRPr="0001662C">
              <w:rPr>
                <w:b/>
                <w:bCs/>
              </w:rPr>
              <w:t>Records</w:t>
            </w:r>
          </w:p>
        </w:tc>
      </w:tr>
      <w:tr w:rsidR="00C2421B" w14:paraId="329CFDEA" w14:textId="77777777" w:rsidTr="00A61B74">
        <w:trPr>
          <w:trHeight w:val="20"/>
        </w:trPr>
        <w:tc>
          <w:tcPr>
            <w:tcW w:w="2135" w:type="dxa"/>
            <w:vMerge/>
          </w:tcPr>
          <w:p w14:paraId="2665BEB9" w14:textId="77777777" w:rsidR="00C2421B" w:rsidRPr="0001662C" w:rsidRDefault="00C2421B" w:rsidP="00DF5603">
            <w:pPr>
              <w:rPr>
                <w:b/>
                <w:bCs/>
              </w:rPr>
            </w:pPr>
          </w:p>
        </w:tc>
        <w:tc>
          <w:tcPr>
            <w:tcW w:w="1440" w:type="dxa"/>
            <w:shd w:val="clear" w:color="auto" w:fill="D1D1D1" w:themeFill="background2" w:themeFillShade="E6"/>
          </w:tcPr>
          <w:p w14:paraId="28528B69" w14:textId="77777777" w:rsidR="00C2421B" w:rsidRPr="0001662C" w:rsidRDefault="00C2421B" w:rsidP="00DF5603">
            <w:pPr>
              <w:jc w:val="center"/>
              <w:rPr>
                <w:b/>
                <w:bCs/>
              </w:rPr>
            </w:pPr>
            <w:r w:rsidRPr="0001662C">
              <w:rPr>
                <w:b/>
                <w:bCs/>
              </w:rPr>
              <w:t>What</w:t>
            </w:r>
          </w:p>
        </w:tc>
        <w:tc>
          <w:tcPr>
            <w:tcW w:w="1710" w:type="dxa"/>
            <w:shd w:val="clear" w:color="auto" w:fill="D1D1D1" w:themeFill="background2" w:themeFillShade="E6"/>
          </w:tcPr>
          <w:p w14:paraId="01BB0A93" w14:textId="77777777" w:rsidR="00C2421B" w:rsidRPr="0001662C" w:rsidRDefault="00C2421B" w:rsidP="00DF5603">
            <w:pPr>
              <w:jc w:val="center"/>
              <w:rPr>
                <w:b/>
                <w:bCs/>
              </w:rPr>
            </w:pPr>
            <w:r w:rsidRPr="0001662C">
              <w:rPr>
                <w:b/>
                <w:bCs/>
              </w:rPr>
              <w:t>How</w:t>
            </w:r>
          </w:p>
        </w:tc>
        <w:tc>
          <w:tcPr>
            <w:tcW w:w="1440" w:type="dxa"/>
            <w:shd w:val="clear" w:color="auto" w:fill="D1D1D1" w:themeFill="background2" w:themeFillShade="E6"/>
          </w:tcPr>
          <w:p w14:paraId="7F914B31" w14:textId="77777777" w:rsidR="00C2421B" w:rsidRPr="0001662C" w:rsidRDefault="00C2421B" w:rsidP="00DF5603">
            <w:pPr>
              <w:jc w:val="center"/>
              <w:rPr>
                <w:b/>
                <w:bCs/>
              </w:rPr>
            </w:pPr>
            <w:r w:rsidRPr="0001662C">
              <w:rPr>
                <w:b/>
                <w:bCs/>
              </w:rPr>
              <w:t>When</w:t>
            </w:r>
          </w:p>
        </w:tc>
        <w:tc>
          <w:tcPr>
            <w:tcW w:w="1350" w:type="dxa"/>
            <w:shd w:val="clear" w:color="auto" w:fill="D1D1D1" w:themeFill="background2" w:themeFillShade="E6"/>
          </w:tcPr>
          <w:p w14:paraId="03FE93F0" w14:textId="77777777" w:rsidR="00C2421B" w:rsidRPr="0001662C" w:rsidRDefault="00C2421B" w:rsidP="00DF5603">
            <w:pPr>
              <w:jc w:val="center"/>
              <w:rPr>
                <w:b/>
                <w:bCs/>
              </w:rPr>
            </w:pPr>
            <w:r w:rsidRPr="0001662C">
              <w:rPr>
                <w:b/>
                <w:bCs/>
              </w:rPr>
              <w:t>Who</w:t>
            </w:r>
          </w:p>
        </w:tc>
        <w:tc>
          <w:tcPr>
            <w:tcW w:w="2275" w:type="dxa"/>
            <w:vMerge/>
          </w:tcPr>
          <w:p w14:paraId="587E0F6A" w14:textId="77777777" w:rsidR="00C2421B" w:rsidRDefault="00C2421B" w:rsidP="00DF5603"/>
        </w:tc>
        <w:tc>
          <w:tcPr>
            <w:tcW w:w="1890" w:type="dxa"/>
            <w:vMerge/>
          </w:tcPr>
          <w:p w14:paraId="77223C4E" w14:textId="77777777" w:rsidR="00C2421B" w:rsidRDefault="00C2421B" w:rsidP="00DF5603"/>
        </w:tc>
        <w:tc>
          <w:tcPr>
            <w:tcW w:w="2495" w:type="dxa"/>
            <w:vMerge/>
          </w:tcPr>
          <w:p w14:paraId="777084A1" w14:textId="77777777" w:rsidR="00C2421B" w:rsidRDefault="00C2421B" w:rsidP="00DF5603"/>
        </w:tc>
      </w:tr>
      <w:tr w:rsidR="00C2421B" w14:paraId="4E8D5B2B" w14:textId="77777777" w:rsidTr="00A61B74">
        <w:trPr>
          <w:trHeight w:val="4809"/>
        </w:trPr>
        <w:tc>
          <w:tcPr>
            <w:tcW w:w="2135" w:type="dxa"/>
          </w:tcPr>
          <w:p w14:paraId="7CE499F4" w14:textId="5628D213" w:rsidR="00C2421B" w:rsidRPr="00677CAA" w:rsidRDefault="00C2421B" w:rsidP="00DF5603">
            <w:pPr>
              <w:spacing w:before="240"/>
              <w:rPr>
                <w:sz w:val="22"/>
                <w:szCs w:val="22"/>
              </w:rPr>
            </w:pPr>
            <w:r w:rsidRPr="00C2421B">
              <w:rPr>
                <w:sz w:val="22"/>
                <w:szCs w:val="22"/>
              </w:rPr>
              <w:t>The seaweed is held at internal temperatures below 50°F (10°C) throughout packing.</w:t>
            </w:r>
          </w:p>
        </w:tc>
        <w:tc>
          <w:tcPr>
            <w:tcW w:w="1440" w:type="dxa"/>
          </w:tcPr>
          <w:p w14:paraId="50D1FA4E" w14:textId="0C9418D9" w:rsidR="00C2421B" w:rsidRPr="00677CAA" w:rsidRDefault="00C2421B" w:rsidP="00DF5603">
            <w:pPr>
              <w:spacing w:before="240"/>
              <w:rPr>
                <w:sz w:val="22"/>
                <w:szCs w:val="22"/>
              </w:rPr>
            </w:pPr>
            <w:r>
              <w:rPr>
                <w:sz w:val="22"/>
                <w:szCs w:val="22"/>
              </w:rPr>
              <w:t>Temperature</w:t>
            </w:r>
          </w:p>
        </w:tc>
        <w:tc>
          <w:tcPr>
            <w:tcW w:w="1710" w:type="dxa"/>
          </w:tcPr>
          <w:p w14:paraId="17F75B60" w14:textId="77777777" w:rsidR="00C2421B" w:rsidRPr="00677CAA" w:rsidRDefault="00C2421B" w:rsidP="00DF5603">
            <w:pPr>
              <w:spacing w:before="240"/>
              <w:rPr>
                <w:sz w:val="22"/>
                <w:szCs w:val="22"/>
              </w:rPr>
            </w:pPr>
            <w:r w:rsidRPr="00C2421B">
              <w:rPr>
                <w:sz w:val="22"/>
                <w:szCs w:val="22"/>
              </w:rPr>
              <w:t>Thermometer</w:t>
            </w:r>
          </w:p>
        </w:tc>
        <w:tc>
          <w:tcPr>
            <w:tcW w:w="1440" w:type="dxa"/>
          </w:tcPr>
          <w:p w14:paraId="077936AA" w14:textId="4BA1C4D3" w:rsidR="00C2421B" w:rsidRPr="00677CAA" w:rsidRDefault="00C2421B" w:rsidP="00DF5603">
            <w:pPr>
              <w:spacing w:before="240"/>
              <w:rPr>
                <w:sz w:val="22"/>
                <w:szCs w:val="22"/>
              </w:rPr>
            </w:pPr>
            <w:r w:rsidRPr="00C2421B">
              <w:rPr>
                <w:sz w:val="22"/>
                <w:szCs w:val="22"/>
              </w:rPr>
              <w:t>Continuously during packing, with visual checks at least every 30 minutes and just before returning to the refrigerated unit.</w:t>
            </w:r>
          </w:p>
        </w:tc>
        <w:tc>
          <w:tcPr>
            <w:tcW w:w="1350" w:type="dxa"/>
          </w:tcPr>
          <w:p w14:paraId="5032C17E" w14:textId="0A93273B" w:rsidR="00C2421B" w:rsidRPr="00677CAA" w:rsidRDefault="00C2421B" w:rsidP="00DF5603">
            <w:pPr>
              <w:spacing w:before="240"/>
              <w:rPr>
                <w:sz w:val="22"/>
                <w:szCs w:val="22"/>
              </w:rPr>
            </w:pPr>
            <w:r>
              <w:rPr>
                <w:sz w:val="22"/>
                <w:szCs w:val="22"/>
              </w:rPr>
              <w:t>QA Staff</w:t>
            </w:r>
          </w:p>
        </w:tc>
        <w:tc>
          <w:tcPr>
            <w:tcW w:w="2275" w:type="dxa"/>
          </w:tcPr>
          <w:p w14:paraId="1C4C0E66" w14:textId="77777777" w:rsidR="00C2421B" w:rsidRPr="00C2421B" w:rsidRDefault="00C2421B" w:rsidP="00C2421B">
            <w:pPr>
              <w:spacing w:before="240"/>
              <w:rPr>
                <w:sz w:val="22"/>
                <w:szCs w:val="22"/>
              </w:rPr>
            </w:pPr>
            <w:r w:rsidRPr="00C2421B">
              <w:rPr>
                <w:sz w:val="22"/>
                <w:szCs w:val="22"/>
              </w:rPr>
              <w:t xml:space="preserve">If the temperature exceeds 50°F (10°C) at any time, then the product is discarded </w:t>
            </w:r>
            <w:r w:rsidRPr="00C2421B">
              <w:rPr>
                <w:b/>
                <w:bCs/>
                <w:sz w:val="22"/>
                <w:szCs w:val="22"/>
              </w:rPr>
              <w:t>OR</w:t>
            </w:r>
            <w:r w:rsidRPr="00C2421B">
              <w:rPr>
                <w:sz w:val="22"/>
                <w:szCs w:val="22"/>
              </w:rPr>
              <w:t xml:space="preserve"> diverted to non-food use.</w:t>
            </w:r>
          </w:p>
          <w:p w14:paraId="639799BB" w14:textId="77777777" w:rsidR="00C2421B" w:rsidRDefault="00C2421B" w:rsidP="00C2421B">
            <w:pPr>
              <w:spacing w:before="240"/>
              <w:rPr>
                <w:sz w:val="22"/>
                <w:szCs w:val="22"/>
              </w:rPr>
            </w:pPr>
            <w:r w:rsidRPr="00C2421B">
              <w:rPr>
                <w:b/>
                <w:bCs/>
                <w:sz w:val="22"/>
                <w:szCs w:val="22"/>
              </w:rPr>
              <w:t>AND</w:t>
            </w:r>
            <w:r w:rsidRPr="00C2421B">
              <w:rPr>
                <w:sz w:val="22"/>
                <w:szCs w:val="22"/>
              </w:rPr>
              <w:t xml:space="preserve"> </w:t>
            </w:r>
          </w:p>
          <w:p w14:paraId="1BC3A533" w14:textId="5155A7DD" w:rsidR="00C2421B" w:rsidRPr="00677CAA" w:rsidRDefault="00C2421B" w:rsidP="00C2421B">
            <w:pPr>
              <w:spacing w:before="240"/>
              <w:rPr>
                <w:sz w:val="22"/>
                <w:szCs w:val="22"/>
              </w:rPr>
            </w:pPr>
            <w:r>
              <w:rPr>
                <w:sz w:val="22"/>
                <w:szCs w:val="22"/>
              </w:rPr>
              <w:t>T</w:t>
            </w:r>
            <w:r w:rsidRPr="00C2421B">
              <w:rPr>
                <w:sz w:val="22"/>
                <w:szCs w:val="22"/>
              </w:rPr>
              <w:t>he cause of the deviation is evaluated and identified. Procedures are updated to prevent future deviations from the critical limit.</w:t>
            </w:r>
          </w:p>
        </w:tc>
        <w:tc>
          <w:tcPr>
            <w:tcW w:w="1890" w:type="dxa"/>
          </w:tcPr>
          <w:p w14:paraId="21523EB0" w14:textId="77777777" w:rsidR="00C2421B" w:rsidRPr="00C2421B" w:rsidRDefault="00C2421B" w:rsidP="00C2421B">
            <w:pPr>
              <w:spacing w:before="240"/>
              <w:rPr>
                <w:sz w:val="22"/>
                <w:szCs w:val="22"/>
              </w:rPr>
            </w:pPr>
            <w:r w:rsidRPr="00C2421B">
              <w:rPr>
                <w:sz w:val="22"/>
                <w:szCs w:val="22"/>
              </w:rPr>
              <w:t>Weekly review of monitoring and corrective action records.</w:t>
            </w:r>
          </w:p>
          <w:p w14:paraId="516400B6" w14:textId="6B3BA4A6" w:rsidR="00C2421B" w:rsidRPr="00677CAA" w:rsidRDefault="00C2421B" w:rsidP="00C2421B">
            <w:pPr>
              <w:spacing w:before="240"/>
              <w:rPr>
                <w:sz w:val="22"/>
                <w:szCs w:val="22"/>
              </w:rPr>
            </w:pPr>
            <w:r w:rsidRPr="00C2421B">
              <w:rPr>
                <w:sz w:val="22"/>
                <w:szCs w:val="22"/>
              </w:rPr>
              <w:t>Thermometer accuracy checks daily before use and calibration checks as needed and at least once a year.</w:t>
            </w:r>
          </w:p>
        </w:tc>
        <w:tc>
          <w:tcPr>
            <w:tcW w:w="2495" w:type="dxa"/>
          </w:tcPr>
          <w:p w14:paraId="314922C6" w14:textId="15F29503" w:rsidR="00C2421B" w:rsidRPr="00C2421B" w:rsidRDefault="00C2421B" w:rsidP="00C2421B">
            <w:pPr>
              <w:spacing w:before="240"/>
              <w:rPr>
                <w:sz w:val="22"/>
                <w:szCs w:val="22"/>
              </w:rPr>
            </w:pPr>
            <w:r w:rsidRPr="00C2421B">
              <w:rPr>
                <w:sz w:val="22"/>
                <w:szCs w:val="22"/>
              </w:rPr>
              <w:t>Packing log including continuous temperature recording and visual checks throughout packing and just before returning to refrigeration.</w:t>
            </w:r>
          </w:p>
          <w:p w14:paraId="5DC7C910" w14:textId="77777777" w:rsidR="00C2421B" w:rsidRPr="00C2421B" w:rsidRDefault="00C2421B" w:rsidP="00C2421B">
            <w:pPr>
              <w:spacing w:before="240"/>
              <w:rPr>
                <w:sz w:val="22"/>
                <w:szCs w:val="22"/>
              </w:rPr>
            </w:pPr>
            <w:r w:rsidRPr="00C2421B">
              <w:rPr>
                <w:sz w:val="22"/>
                <w:szCs w:val="22"/>
              </w:rPr>
              <w:t>Corrective action records, as necessary</w:t>
            </w:r>
          </w:p>
          <w:p w14:paraId="5479616C" w14:textId="77777777" w:rsidR="00C2421B" w:rsidRPr="00C2421B" w:rsidRDefault="00C2421B" w:rsidP="00C2421B">
            <w:pPr>
              <w:spacing w:before="240"/>
              <w:rPr>
                <w:sz w:val="22"/>
                <w:szCs w:val="22"/>
              </w:rPr>
            </w:pPr>
            <w:r w:rsidRPr="00C2421B">
              <w:rPr>
                <w:sz w:val="22"/>
                <w:szCs w:val="22"/>
              </w:rPr>
              <w:t>Verification records, including thermometer accuracy checks and calibration records.</w:t>
            </w:r>
          </w:p>
          <w:p w14:paraId="46268371" w14:textId="4F9B5AAE" w:rsidR="00C2421B" w:rsidRPr="00677CAA" w:rsidRDefault="00C2421B" w:rsidP="00C2421B">
            <w:pPr>
              <w:spacing w:before="240"/>
              <w:rPr>
                <w:sz w:val="22"/>
                <w:szCs w:val="22"/>
              </w:rPr>
            </w:pPr>
            <w:r w:rsidRPr="00C2421B">
              <w:rPr>
                <w:sz w:val="22"/>
                <w:szCs w:val="22"/>
              </w:rPr>
              <w:t>PCQI training records (PCHF only)</w:t>
            </w:r>
          </w:p>
        </w:tc>
      </w:tr>
    </w:tbl>
    <w:p w14:paraId="439D1AE3" w14:textId="51AD0A74" w:rsidR="00C2421B" w:rsidRDefault="00C2421B" w:rsidP="00EF43EE">
      <w:pPr>
        <w:spacing w:before="240"/>
        <w:ind w:left="-810" w:right="-990"/>
      </w:pPr>
      <w:r w:rsidRPr="00C2421B">
        <w:rPr>
          <w:b/>
          <w:bCs/>
        </w:rPr>
        <w:t>NOTE:</w:t>
      </w:r>
      <w:r w:rsidRPr="00C2421B">
        <w:t xml:space="preserve"> Although pathogen growth is slow below 50°F (10°C), extended exposure at this temperature can still support growth. When unrefrigerated processing steps approach the </w:t>
      </w:r>
      <w:r w:rsidRPr="00C2421B">
        <w:rPr>
          <w:b/>
          <w:bCs/>
        </w:rPr>
        <w:t>maximum</w:t>
      </w:r>
      <w:r w:rsidRPr="00C2421B">
        <w:t xml:space="preserve"> </w:t>
      </w:r>
      <w:r w:rsidRPr="00C2421B">
        <w:rPr>
          <w:b/>
          <w:bCs/>
        </w:rPr>
        <w:t>cumulative</w:t>
      </w:r>
      <w:r w:rsidRPr="00C2421B">
        <w:t xml:space="preserve"> </w:t>
      </w:r>
      <w:r w:rsidRPr="00C2421B">
        <w:rPr>
          <w:b/>
          <w:bCs/>
        </w:rPr>
        <w:t>exposure</w:t>
      </w:r>
      <w:r w:rsidRPr="00C2421B">
        <w:t xml:space="preserve"> times outlined in</w:t>
      </w:r>
      <w:r w:rsidR="002033A6">
        <w:t xml:space="preserve"> Appendix C, Table C-B</w:t>
      </w:r>
      <w:r w:rsidRPr="00C2421B">
        <w:t xml:space="preserve"> of the FDA’s </w:t>
      </w:r>
      <w:r w:rsidRPr="00C2421B">
        <w:rPr>
          <w:i/>
          <w:iCs/>
        </w:rPr>
        <w:t xml:space="preserve">Hazard Analysis and Risk-Based Preventive Controls for Human Food: Guidance for Industry </w:t>
      </w:r>
      <w:r w:rsidRPr="00C2421B">
        <w:t>(USFDA, 2024), a more rigorous critical limit should be applied. This limit must closely monitor both internal product temperature and total exposure time to ensure food safety.</w:t>
      </w:r>
    </w:p>
    <w:p w14:paraId="6A21236F" w14:textId="77777777" w:rsidR="00C2421B" w:rsidRDefault="00C2421B" w:rsidP="00C2421B">
      <w:pPr>
        <w:sectPr w:rsidR="00C2421B" w:rsidSect="00C2421B">
          <w:pgSz w:w="15840" w:h="12240" w:orient="landscape"/>
          <w:pgMar w:top="1440" w:right="1440" w:bottom="1440" w:left="1440" w:header="720" w:footer="720" w:gutter="0"/>
          <w:pgNumType w:chapStyle="1"/>
          <w:cols w:space="720"/>
          <w:docGrid w:linePitch="360"/>
        </w:sectPr>
      </w:pPr>
    </w:p>
    <w:p w14:paraId="1CE07625" w14:textId="55FF194B" w:rsidR="00C2421B" w:rsidRDefault="00C2421B" w:rsidP="00846B8F">
      <w:pPr>
        <w:pStyle w:val="Heading2"/>
        <w:numPr>
          <w:ilvl w:val="1"/>
          <w:numId w:val="164"/>
        </w:numPr>
      </w:pPr>
      <w:bookmarkStart w:id="194" w:name="_Toc208503274"/>
      <w:r>
        <w:lastRenderedPageBreak/>
        <w:t>References</w:t>
      </w:r>
      <w:bookmarkEnd w:id="194"/>
    </w:p>
    <w:p w14:paraId="66D3F24E" w14:textId="77777777" w:rsidR="00FD1849" w:rsidRDefault="00FD1849" w:rsidP="00FD1849">
      <w:pPr>
        <w:rPr>
          <w:rFonts w:ascii="Times New Roman" w:hAnsi="Times New Roman"/>
        </w:rPr>
      </w:pPr>
      <w:r>
        <w:t xml:space="preserve">Akomea-Frempong, S., Skonberg, D. I., Arya, R., &amp; Perry, J. J. (2023). Survival of Inoculated Vibrio spp., Shigatoxigenic Escherichia coli, Listeria monocytogenes, and Salmonella spp. On Seaweed (Sugar Kelp) During Storage. </w:t>
      </w:r>
      <w:r>
        <w:rPr>
          <w:i/>
          <w:iCs/>
        </w:rPr>
        <w:t>Journal of Food Protection</w:t>
      </w:r>
      <w:r>
        <w:t xml:space="preserve">, </w:t>
      </w:r>
      <w:r>
        <w:rPr>
          <w:i/>
          <w:iCs/>
        </w:rPr>
        <w:t>86</w:t>
      </w:r>
      <w:r>
        <w:t>(7), 100096. https://doi.org/10.1016/j.jfp.2023.100096</w:t>
      </w:r>
    </w:p>
    <w:p w14:paraId="6C0378E5" w14:textId="77777777" w:rsidR="00FD1849" w:rsidRDefault="00FD1849" w:rsidP="00FD1849">
      <w:r>
        <w:t xml:space="preserve">Bayomy, H. M. (2022). Effects of culinary treatments on the physicochemical properties of </w:t>
      </w:r>
      <w:r>
        <w:rPr>
          <w:i/>
          <w:iCs/>
        </w:rPr>
        <w:t>Ulva lactuca</w:t>
      </w:r>
      <w:r>
        <w:t xml:space="preserve"> collected from Tabuk coast of Red sea in Saudi Arabia. </w:t>
      </w:r>
      <w:r>
        <w:rPr>
          <w:i/>
          <w:iCs/>
        </w:rPr>
        <w:t>Saudi Journal of Biological Sciences</w:t>
      </w:r>
      <w:r>
        <w:t xml:space="preserve">, </w:t>
      </w:r>
      <w:r>
        <w:rPr>
          <w:i/>
          <w:iCs/>
        </w:rPr>
        <w:t>29</w:t>
      </w:r>
      <w:r>
        <w:t>(4), 2355–2362. https://doi.org/10.1016/j.sjbs.2021.12.006</w:t>
      </w:r>
    </w:p>
    <w:p w14:paraId="5C41CBDF" w14:textId="77777777" w:rsidR="00FD1849" w:rsidRDefault="00FD1849" w:rsidP="00FD1849">
      <w:r>
        <w:t xml:space="preserve">Bergdoll, M. S., &amp; Wong, A. C. L. (2006). Staphylococcal intoxications. In </w:t>
      </w:r>
      <w:r>
        <w:rPr>
          <w:i/>
          <w:iCs/>
        </w:rPr>
        <w:t>Foodborne infections and intoxications</w:t>
      </w:r>
      <w:r>
        <w:t xml:space="preserve"> (3rd ed, pp. 532–562). Academic press.</w:t>
      </w:r>
    </w:p>
    <w:p w14:paraId="63370C64" w14:textId="77777777" w:rsidR="00FD1849" w:rsidRDefault="00FD1849" w:rsidP="00FD1849">
      <w:r>
        <w:t xml:space="preserve">Black, R. E., Levine, M. M., Clements, M. L., &amp; Hughes, T. P. (1988). Experimental Campylobacter jejuni Infection in Humans. </w:t>
      </w:r>
      <w:r>
        <w:rPr>
          <w:i/>
          <w:iCs/>
        </w:rPr>
        <w:t>The Journal of Infectious Diseases</w:t>
      </w:r>
      <w:r>
        <w:t xml:space="preserve">, </w:t>
      </w:r>
      <w:r>
        <w:rPr>
          <w:i/>
          <w:iCs/>
        </w:rPr>
        <w:t>157</w:t>
      </w:r>
      <w:r>
        <w:t>(3), 472–479.</w:t>
      </w:r>
    </w:p>
    <w:p w14:paraId="51E34520" w14:textId="77777777" w:rsidR="00FD1849" w:rsidRDefault="00FD1849" w:rsidP="00FD1849">
      <w:r>
        <w:t xml:space="preserve">CDC, C. for D. C. and P. (1997). Outbreak of Vibrio parahaemolyticus infections associated with eating raw oysters—Pacific Northwest, 1997. </w:t>
      </w:r>
      <w:r>
        <w:rPr>
          <w:i/>
          <w:iCs/>
        </w:rPr>
        <w:t>MMWR Morbidity and Mortality Weekly Report</w:t>
      </w:r>
      <w:r>
        <w:t xml:space="preserve">, </w:t>
      </w:r>
      <w:r>
        <w:rPr>
          <w:i/>
          <w:iCs/>
        </w:rPr>
        <w:t>12</w:t>
      </w:r>
      <w:r>
        <w:t>(47), 457–462.</w:t>
      </w:r>
    </w:p>
    <w:p w14:paraId="16DFAC94" w14:textId="77777777" w:rsidR="00FD1849" w:rsidRDefault="00FD1849" w:rsidP="00FD1849">
      <w:r>
        <w:t xml:space="preserve">Caron, G., Viveiros, B., Slaten, C., Borkman, D., Miller, A., &amp; Huard, R.C. (2023). </w:t>
      </w:r>
      <w:r>
        <w:rPr>
          <w:i/>
          <w:iCs/>
        </w:rPr>
        <w:t xml:space="preserve">Campylobacter jejuni </w:t>
      </w:r>
      <w:r>
        <w:t xml:space="preserve">Outbreak Linked to Raw Oysters in Rhode Island, 2021. </w:t>
      </w:r>
      <w:r>
        <w:rPr>
          <w:i/>
          <w:iCs/>
        </w:rPr>
        <w:t>Journal of Food Protection, 86</w:t>
      </w:r>
      <w:r>
        <w:t>, 100174.</w:t>
      </w:r>
    </w:p>
    <w:p w14:paraId="1DEC55FA" w14:textId="77777777" w:rsidR="00FD1849" w:rsidRDefault="00FD1849" w:rsidP="00FD1849">
      <w:r>
        <w:t xml:space="preserve">Cohen, M. B., Giannella, R. A., Losonsky, G. A., Lang, D. R., Parker, S., Hawkins, J. A., Gunther, C., &amp; Schiff, G. A. (1999). Validation and Characterization of a Human Volunteer Challenge Model for Cholera by Using Frozen Bacteria of the New </w:t>
      </w:r>
      <w:r>
        <w:rPr>
          <w:i/>
          <w:iCs/>
        </w:rPr>
        <w:t>Vibrio cholerae</w:t>
      </w:r>
      <w:r>
        <w:t xml:space="preserve"> Epidemic Serotype, O139. </w:t>
      </w:r>
      <w:r>
        <w:rPr>
          <w:i/>
          <w:iCs/>
        </w:rPr>
        <w:t>Infection and Immunity</w:t>
      </w:r>
      <w:r>
        <w:t xml:space="preserve">, </w:t>
      </w:r>
      <w:r>
        <w:rPr>
          <w:i/>
          <w:iCs/>
        </w:rPr>
        <w:t>67</w:t>
      </w:r>
      <w:r>
        <w:t>(12), 6346–6349. https://doi.org/10.1128/IAI.67.12.6346-6349.1999</w:t>
      </w:r>
    </w:p>
    <w:p w14:paraId="0EAB11BE" w14:textId="77777777" w:rsidR="00FD1849" w:rsidRDefault="00FD1849" w:rsidP="00FD1849">
      <w:r>
        <w:t xml:space="preserve">D’Aoust, J. Y., Aris, B. J., Thisdele, P., Durante, A., Brisson, N., Dragon, D., Lachapelle, G., Johnston, M., &amp; Laidley, R. (1975). Salmonella eastbourne outbreak associated with chocolate. </w:t>
      </w:r>
      <w:r>
        <w:rPr>
          <w:i/>
          <w:iCs/>
        </w:rPr>
        <w:t>Canadian Institute of Food Science and Technology Journal</w:t>
      </w:r>
      <w:r>
        <w:t xml:space="preserve">, </w:t>
      </w:r>
      <w:r>
        <w:rPr>
          <w:i/>
          <w:iCs/>
        </w:rPr>
        <w:t>8</w:t>
      </w:r>
      <w:r>
        <w:t>(4), 181–184. https://doi.org/10.1016/S0315-5463(75)73804-X</w:t>
      </w:r>
    </w:p>
    <w:p w14:paraId="53D46929" w14:textId="77777777" w:rsidR="00FD1849" w:rsidRDefault="00FD1849" w:rsidP="00FD1849">
      <w:r w:rsidRPr="00E125EA">
        <w:rPr>
          <w:lang w:val="es-ES"/>
        </w:rPr>
        <w:t xml:space="preserve">Del Olmo, A., Picon, A., &amp; Nuñez, M. (2019). </w:t>
      </w:r>
      <w:r>
        <w:t xml:space="preserve">High pressure processing for the extension of Laminaria ochroleuca (kombu) shelf-life: A comparative study with seaweed salting and freezing. </w:t>
      </w:r>
      <w:r>
        <w:rPr>
          <w:i/>
          <w:iCs/>
        </w:rPr>
        <w:t>Innovative Food Science &amp; Emerging Technologies</w:t>
      </w:r>
      <w:r>
        <w:t xml:space="preserve">, </w:t>
      </w:r>
      <w:r>
        <w:rPr>
          <w:i/>
          <w:iCs/>
        </w:rPr>
        <w:t>52</w:t>
      </w:r>
      <w:r>
        <w:t>, 420–428. https://doi.org/10.1016/j.ifset.2019.02.007</w:t>
      </w:r>
    </w:p>
    <w:p w14:paraId="16D31A25" w14:textId="77777777" w:rsidR="00FD1849" w:rsidRDefault="00FD1849" w:rsidP="00FD1849">
      <w:r>
        <w:t xml:space="preserve">Delbrassinne, L., Botteldoorn, N., Andjelkovic, M., Dierick, K., &amp; Denayer, S. (2015). An Emetic </w:t>
      </w:r>
      <w:r>
        <w:rPr>
          <w:i/>
          <w:iCs/>
        </w:rPr>
        <w:t>Bacillus cereus</w:t>
      </w:r>
      <w:r>
        <w:t xml:space="preserve"> Outbreak in a Kindergarten: Detection and Quantification of Critical Levels of </w:t>
      </w:r>
      <w:r>
        <w:lastRenderedPageBreak/>
        <w:t xml:space="preserve">Cereulide Toxin. </w:t>
      </w:r>
      <w:r>
        <w:rPr>
          <w:i/>
          <w:iCs/>
        </w:rPr>
        <w:t>Foodborne Pathogens and Disease</w:t>
      </w:r>
      <w:r>
        <w:t xml:space="preserve">, </w:t>
      </w:r>
      <w:r>
        <w:rPr>
          <w:i/>
          <w:iCs/>
        </w:rPr>
        <w:t>12</w:t>
      </w:r>
      <w:r>
        <w:t>(1), 84–87. https://doi.org/10.1089/fpd.2014.1788</w:t>
      </w:r>
    </w:p>
    <w:p w14:paraId="3B9EC586" w14:textId="77777777" w:rsidR="00FD1849" w:rsidRDefault="00FD1849" w:rsidP="00FD1849">
      <w:r>
        <w:t>Ershov, M., Kuranova, L., Smirnova, I., &amp; Alloyarova, J. (2023). Determination of kelp (</w:t>
      </w:r>
      <w:r>
        <w:rPr>
          <w:i/>
          <w:iCs/>
        </w:rPr>
        <w:t>Laminaria digitata</w:t>
      </w:r>
      <w:r>
        <w:t xml:space="preserve">) technological characteristics depending on the drying method. </w:t>
      </w:r>
      <w:r>
        <w:rPr>
          <w:i/>
          <w:iCs/>
        </w:rPr>
        <w:t>BIO Web of Conferences</w:t>
      </w:r>
      <w:r>
        <w:t xml:space="preserve">, </w:t>
      </w:r>
      <w:r>
        <w:rPr>
          <w:i/>
          <w:iCs/>
        </w:rPr>
        <w:t>71</w:t>
      </w:r>
      <w:r>
        <w:t>, 01060. https://doi.org/10.1051/bioconf/20237101060</w:t>
      </w:r>
    </w:p>
    <w:p w14:paraId="550C757A" w14:textId="77777777" w:rsidR="00FD1849" w:rsidRDefault="00FD1849" w:rsidP="00FD1849">
      <w:r>
        <w:t xml:space="preserve">Farakos, S. M. S., Pouillot, R., &amp; Keller, S. E. (2017). Salmonella Survival Kinetics on Pecans, Hazelnuts, and Pine Nuts at Various Water Activities and Temperatures. </w:t>
      </w:r>
      <w:r>
        <w:rPr>
          <w:i/>
          <w:iCs/>
        </w:rPr>
        <w:t>Journal of Food Protection</w:t>
      </w:r>
      <w:r>
        <w:t xml:space="preserve">, </w:t>
      </w:r>
      <w:r>
        <w:rPr>
          <w:i/>
          <w:iCs/>
        </w:rPr>
        <w:t>80</w:t>
      </w:r>
      <w:r>
        <w:t>(5), 879–886. https://doi.org/10.4315/0362-028X.JFP-16-392</w:t>
      </w:r>
    </w:p>
    <w:p w14:paraId="5A03B451" w14:textId="77777777" w:rsidR="00FD1849" w:rsidRDefault="00FD1849" w:rsidP="00FD1849">
      <w:r>
        <w:t xml:space="preserve">Greenwood, M. H., &amp; Hooper, W. L. (1983). Chocolate bars contaminated with Salmonella napoli: An infectivity study. </w:t>
      </w:r>
      <w:r>
        <w:rPr>
          <w:i/>
          <w:iCs/>
        </w:rPr>
        <w:t>British Medical Journal (Clinical Research Ed.)</w:t>
      </w:r>
      <w:r>
        <w:t xml:space="preserve">, </w:t>
      </w:r>
      <w:r>
        <w:rPr>
          <w:i/>
          <w:iCs/>
        </w:rPr>
        <w:t>286</w:t>
      </w:r>
      <w:r>
        <w:t>(6375), 1394.</w:t>
      </w:r>
    </w:p>
    <w:p w14:paraId="5B296FF3" w14:textId="77777777" w:rsidR="00FD1849" w:rsidRDefault="00FD1849" w:rsidP="00FD1849">
      <w:r>
        <w:t xml:space="preserve">Hamada, K., Tsuji, H., &amp; Shimada, K. (1999). Outbreaks of heat stable enterotoxin-producing Escherichia coli O169 in the Kinki District in Japan: Epidemiological analysis by pulsed-field gel electrophoresis. </w:t>
      </w:r>
      <w:r>
        <w:rPr>
          <w:i/>
          <w:iCs/>
        </w:rPr>
        <w:t>Japanese Journal of Infectious Disease</w:t>
      </w:r>
      <w:r>
        <w:t xml:space="preserve">, </w:t>
      </w:r>
      <w:r>
        <w:rPr>
          <w:i/>
          <w:iCs/>
        </w:rPr>
        <w:t>52</w:t>
      </w:r>
      <w:r>
        <w:t>, 165–167.</w:t>
      </w:r>
    </w:p>
    <w:p w14:paraId="5FB8A607" w14:textId="77777777" w:rsidR="00FD1849" w:rsidRDefault="00FD1849" w:rsidP="00FD1849">
      <w:r>
        <w:t xml:space="preserve">Hara-Kudo, Y., &amp; Takatori, K. (2011). Contamination level and ingestion dose of foodborne pathogens associated with infections. </w:t>
      </w:r>
      <w:r>
        <w:rPr>
          <w:i/>
          <w:iCs/>
        </w:rPr>
        <w:t>Epidemiology and Infection</w:t>
      </w:r>
      <w:r>
        <w:t xml:space="preserve">, </w:t>
      </w:r>
      <w:r>
        <w:rPr>
          <w:i/>
          <w:iCs/>
        </w:rPr>
        <w:t>139</w:t>
      </w:r>
      <w:r>
        <w:t>(10), 1505–1510. https://doi.org/10.1017/S095026881000292X</w:t>
      </w:r>
    </w:p>
    <w:p w14:paraId="49C631D6" w14:textId="317A68E6" w:rsidR="00FD1849" w:rsidRDefault="00FD1849" w:rsidP="00FD1849">
      <w:r>
        <w:t xml:space="preserve">Hennessy, T. W., Hedberg, C. W., Slutsker, L., White, K. E., Besser-Wiek, J. M., Moen, M. E., Feldman, J., Coleman, W. W., Edmonson, L. M., MacDonald, K. L., &amp; Osterholm, M. T. (1996). A National Outbreak of </w:t>
      </w:r>
      <w:r>
        <w:rPr>
          <w:i/>
          <w:iCs/>
        </w:rPr>
        <w:t>Salmonella enteritidis</w:t>
      </w:r>
      <w:r>
        <w:t xml:space="preserve"> Infections from Ice Cream. </w:t>
      </w:r>
      <w:r>
        <w:rPr>
          <w:i/>
          <w:iCs/>
        </w:rPr>
        <w:t>New England Journal of Medicine</w:t>
      </w:r>
      <w:r>
        <w:t xml:space="preserve">, </w:t>
      </w:r>
      <w:r>
        <w:rPr>
          <w:i/>
          <w:iCs/>
        </w:rPr>
        <w:t>334</w:t>
      </w:r>
      <w:r>
        <w:t>(20), 1281–1286.</w:t>
      </w:r>
    </w:p>
    <w:p w14:paraId="5372A9AB" w14:textId="77777777" w:rsidR="00FD1849" w:rsidRDefault="00FD1849" w:rsidP="00FD1849">
      <w:r>
        <w:t xml:space="preserve">Jordan, K. &amp; McAuliffe, O. (2018). </w:t>
      </w:r>
      <w:r>
        <w:rPr>
          <w:i/>
          <w:iCs/>
        </w:rPr>
        <w:t xml:space="preserve">Listeria monocytogenes </w:t>
      </w:r>
      <w:r>
        <w:t xml:space="preserve">in Foods. </w:t>
      </w:r>
      <w:r>
        <w:rPr>
          <w:i/>
          <w:iCs/>
        </w:rPr>
        <w:t xml:space="preserve">Advances in Food and Nutrition Research, 86, </w:t>
      </w:r>
      <w:r>
        <w:t>181-213.</w:t>
      </w:r>
    </w:p>
    <w:p w14:paraId="70E3F789" w14:textId="77777777" w:rsidR="00FD1849" w:rsidRDefault="00FD1849" w:rsidP="00FD1849">
      <w:r>
        <w:t xml:space="preserve">Kalvaitienė, G., Bučas, M., Vaičiūtė, D., Balčiūnas, A., Gyraitė, G., &amp; Kataržytė, M. (2024). Impact of beach wrack on microorganisms associated with faecal pollution at the Baltic Sea Sandy beaches. </w:t>
      </w:r>
      <w:r>
        <w:rPr>
          <w:i/>
          <w:iCs/>
        </w:rPr>
        <w:t>Science of The Total Environment</w:t>
      </w:r>
      <w:r>
        <w:t xml:space="preserve">, </w:t>
      </w:r>
      <w:r>
        <w:rPr>
          <w:i/>
          <w:iCs/>
        </w:rPr>
        <w:t>918</w:t>
      </w:r>
      <w:r>
        <w:t>, 170442. https://doi.org/10.1016/j.scitotenv.2024.170442</w:t>
      </w:r>
    </w:p>
    <w:p w14:paraId="749C2A9E" w14:textId="77777777" w:rsidR="00FD1849" w:rsidRDefault="00FD1849" w:rsidP="00FD1849">
      <w:r>
        <w:t xml:space="preserve">Kapperud, G., Gustavsen, S., Hellesnes, I., Hansen, A. H., Lassen, J., Hirn, J., Jahkola, M., Montenegro, M. A., &amp; Helmuth, R. (1990). Outbreak of Salmonella typhimurium infection traced to contaminated chocolate and caused by a strain lacking the 60-megadalton virulence plasmid. </w:t>
      </w:r>
      <w:r>
        <w:rPr>
          <w:i/>
          <w:iCs/>
        </w:rPr>
        <w:t>Journal of Clinical Microbiology</w:t>
      </w:r>
      <w:r>
        <w:t xml:space="preserve">, </w:t>
      </w:r>
      <w:r>
        <w:rPr>
          <w:i/>
          <w:iCs/>
        </w:rPr>
        <w:t>28</w:t>
      </w:r>
      <w:r>
        <w:t>(12), 2597–2601. https://doi.org/10.1128/jcm.28.12.2597-2601.1990</w:t>
      </w:r>
    </w:p>
    <w:p w14:paraId="261BE650" w14:textId="77777777" w:rsidR="00FD1849" w:rsidRDefault="00FD1849" w:rsidP="00FD1849">
      <w:r>
        <w:lastRenderedPageBreak/>
        <w:t xml:space="preserve">Kärenlampi, R., &amp; Hänninen, M.-L. (2004). Survival of Campylobacter jejuni on various fresh produce. </w:t>
      </w:r>
      <w:r>
        <w:rPr>
          <w:i/>
          <w:iCs/>
        </w:rPr>
        <w:t>International Journal of Food Microbiology</w:t>
      </w:r>
      <w:r>
        <w:t xml:space="preserve">, </w:t>
      </w:r>
      <w:r>
        <w:rPr>
          <w:i/>
          <w:iCs/>
        </w:rPr>
        <w:t>97</w:t>
      </w:r>
      <w:r>
        <w:t>(2), 187–195. https://doi.org/10.1016/j.ijfoodmicro.2004.04.019</w:t>
      </w:r>
    </w:p>
    <w:p w14:paraId="175F48BB" w14:textId="77777777" w:rsidR="00FD1849" w:rsidRDefault="00FD1849" w:rsidP="00FD1849">
      <w:r>
        <w:t xml:space="preserve">Kashima, K., Sato, M., Osaka, Y., Sakakida, N., Kando, S., Ohtsuka, K., Doi, R., Chiba, Y., Takase, S., Fujiwara, A., Shimada, S., Ishii, R., Mizokoshi, A., Takano, M., Lee, K., Iyoda, S., &amp; Honda, A. (2021). An outbreak of food poisoning due to </w:t>
      </w:r>
      <w:r>
        <w:rPr>
          <w:i/>
          <w:iCs/>
        </w:rPr>
        <w:t>Escherichia coli</w:t>
      </w:r>
      <w:r>
        <w:t xml:space="preserve"> serotype O7:H4 carrying </w:t>
      </w:r>
      <w:r>
        <w:rPr>
          <w:i/>
          <w:iCs/>
        </w:rPr>
        <w:t>astA</w:t>
      </w:r>
      <w:r>
        <w:t xml:space="preserve"> for enteroaggregative </w:t>
      </w:r>
      <w:r>
        <w:rPr>
          <w:i/>
          <w:iCs/>
        </w:rPr>
        <w:t>E. coli</w:t>
      </w:r>
      <w:r>
        <w:t xml:space="preserve"> heat-stable enterotoxin1 (EAST1). </w:t>
      </w:r>
      <w:r>
        <w:rPr>
          <w:i/>
          <w:iCs/>
        </w:rPr>
        <w:t>Epidemiology and Infection</w:t>
      </w:r>
      <w:r>
        <w:t xml:space="preserve">, </w:t>
      </w:r>
      <w:r>
        <w:rPr>
          <w:i/>
          <w:iCs/>
        </w:rPr>
        <w:t>149</w:t>
      </w:r>
      <w:r>
        <w:t>, e244. https://doi.org/10.1017/S0950268821002338</w:t>
      </w:r>
    </w:p>
    <w:p w14:paraId="3D75F438" w14:textId="77777777" w:rsidR="00FD1849" w:rsidRDefault="00FD1849" w:rsidP="00FD1849">
      <w:r>
        <w:t xml:space="preserve">Kim, S.-H., Kim, J.-S., Choi, J.-P., &amp; Park, J.-H. (2006). Prevalence and frequency of food-borne pathogens on unprocessed agricultural and marine products. </w:t>
      </w:r>
      <w:r>
        <w:rPr>
          <w:i/>
          <w:iCs/>
        </w:rPr>
        <w:t>Korean Journal of Food Science and Technology</w:t>
      </w:r>
      <w:r>
        <w:t xml:space="preserve">, </w:t>
      </w:r>
      <w:r>
        <w:rPr>
          <w:i/>
          <w:iCs/>
        </w:rPr>
        <w:t>38</w:t>
      </w:r>
      <w:r>
        <w:t>(4), 594–598.</w:t>
      </w:r>
    </w:p>
    <w:p w14:paraId="7126CA5A" w14:textId="77777777" w:rsidR="00FD1849" w:rsidRDefault="00FD1849" w:rsidP="00FD1849">
      <w:r>
        <w:t xml:space="preserve">Kothary, M. H., &amp; Babu, U. S. (2001). Infective dose of foodborne pathogens in volunteers: A review. </w:t>
      </w:r>
      <w:r>
        <w:rPr>
          <w:i/>
          <w:iCs/>
        </w:rPr>
        <w:t>Journal of Food Safety</w:t>
      </w:r>
      <w:r>
        <w:t xml:space="preserve">, </w:t>
      </w:r>
      <w:r>
        <w:rPr>
          <w:i/>
          <w:iCs/>
        </w:rPr>
        <w:t>21</w:t>
      </w:r>
      <w:r>
        <w:t>(1), 1–68.</w:t>
      </w:r>
    </w:p>
    <w:p w14:paraId="782DDFDE" w14:textId="77777777" w:rsidR="00FD1849" w:rsidRDefault="00FD1849" w:rsidP="00FD1849">
      <w:r>
        <w:t xml:space="preserve">Lehmacher, A., Bockemühl, J., &amp; Aleksic, S. (1995). Nationwide outbreak of human salmonellosis in Germany due to contaminated paprika and paprika-powdered potato chips. </w:t>
      </w:r>
      <w:r>
        <w:rPr>
          <w:i/>
          <w:iCs/>
        </w:rPr>
        <w:t>Epidemiology and Infection</w:t>
      </w:r>
      <w:r>
        <w:t xml:space="preserve">, </w:t>
      </w:r>
      <w:r>
        <w:rPr>
          <w:i/>
          <w:iCs/>
        </w:rPr>
        <w:t>115</w:t>
      </w:r>
      <w:r>
        <w:t>(3), 501–511. https://doi.org/10.1017/S0950268800058660</w:t>
      </w:r>
    </w:p>
    <w:p w14:paraId="12F24D8C" w14:textId="77777777" w:rsidR="00FD1849" w:rsidRDefault="00FD1849" w:rsidP="00FD1849">
      <w:r>
        <w:t xml:space="preserve">Liot, F., Colin, A., &amp; Mabeau, S. (1993). Microbiology and storage life of fresh edible seaweeds. </w:t>
      </w:r>
      <w:r>
        <w:rPr>
          <w:i/>
          <w:iCs/>
        </w:rPr>
        <w:t>Journal of Applied Phycology</w:t>
      </w:r>
      <w:r>
        <w:t xml:space="preserve">, </w:t>
      </w:r>
      <w:r>
        <w:rPr>
          <w:i/>
          <w:iCs/>
        </w:rPr>
        <w:t>5</w:t>
      </w:r>
      <w:r>
        <w:t>(2), 243–247. https://doi.org/10.1007/BF00004025</w:t>
      </w:r>
    </w:p>
    <w:p w14:paraId="7495BE1C" w14:textId="77777777" w:rsidR="00FD1849" w:rsidRDefault="00FD1849" w:rsidP="00FD1849">
      <w:r>
        <w:t xml:space="preserve">López-Pérez, O., Del Olmo, A., Picon, A., &amp; Nuñez, M. (2020). Volatile compounds and odour characteristics during long-term storage of kombu seaweed (Laminaria ochroleuca) preserved by high pressure processing, freezing and salting. </w:t>
      </w:r>
      <w:r>
        <w:rPr>
          <w:i/>
          <w:iCs/>
        </w:rPr>
        <w:t>LWT</w:t>
      </w:r>
      <w:r>
        <w:t xml:space="preserve">, </w:t>
      </w:r>
      <w:r>
        <w:rPr>
          <w:i/>
          <w:iCs/>
        </w:rPr>
        <w:t>118</w:t>
      </w:r>
      <w:r>
        <w:t>, 108710. https://doi.org/10.1016/j.lwt.2019.108710</w:t>
      </w:r>
    </w:p>
    <w:p w14:paraId="2FAB389A" w14:textId="77777777" w:rsidR="00FD1849" w:rsidRDefault="00FD1849" w:rsidP="00FD1849">
      <w:r>
        <w:t xml:space="preserve">Lytou, A. E., Tsakanikas, P., Lymperi, D., &amp; Nychas, G.-J. E. (2022). Rapid Assessment of Microbial Quality in Edible Seaweeds Using Sensor Techniques Based on Spectroscopy, Imaging Analysis and Sensors Mimicking Human Senses. </w:t>
      </w:r>
      <w:r>
        <w:rPr>
          <w:i/>
          <w:iCs/>
        </w:rPr>
        <w:t>Sensors</w:t>
      </w:r>
      <w:r>
        <w:t xml:space="preserve">, </w:t>
      </w:r>
      <w:r>
        <w:rPr>
          <w:i/>
          <w:iCs/>
        </w:rPr>
        <w:t>22</w:t>
      </w:r>
      <w:r>
        <w:t>(18), 7018. https://doi.org/10.3390/s22187018</w:t>
      </w:r>
    </w:p>
    <w:p w14:paraId="56A72C4F" w14:textId="77777777" w:rsidR="00FD1849" w:rsidRDefault="00FD1849" w:rsidP="00FD1849">
      <w:r>
        <w:t xml:space="preserve">Martelli, F., Marrella, M., Lazzi, C., Neviani, E., &amp; Bernini, V. (2021). Microbiological Contamination of Ready-to-Eat Algae and Evaluation of Bacillus cereus Behavior by Microbiological Challenge Test. </w:t>
      </w:r>
      <w:r>
        <w:rPr>
          <w:i/>
          <w:iCs/>
        </w:rPr>
        <w:t>Journal of Food Protection</w:t>
      </w:r>
      <w:r>
        <w:t xml:space="preserve">, </w:t>
      </w:r>
      <w:r>
        <w:rPr>
          <w:i/>
          <w:iCs/>
        </w:rPr>
        <w:t>84</w:t>
      </w:r>
      <w:r>
        <w:t>(7), 1275–1280. https://doi.org/10.4315/JFP-20-407</w:t>
      </w:r>
    </w:p>
    <w:p w14:paraId="665BADA9" w14:textId="77777777" w:rsidR="00FD1849" w:rsidRDefault="00FD1849" w:rsidP="00FD1849">
      <w:r>
        <w:t xml:space="preserve">Moreira-Leite, B., Antunes, R., Cotas, J., Martins, N., Costa, N., Noronha, J. P., Mata, P., &amp; Diniz, M. (2023). Modified Atmosphere Packaging (MAP) for Seaweed Conservation: Impact on Physicochemical Characteristics and Microbiological Activity. </w:t>
      </w:r>
      <w:r>
        <w:rPr>
          <w:i/>
          <w:iCs/>
        </w:rPr>
        <w:t>Foods</w:t>
      </w:r>
      <w:r>
        <w:t xml:space="preserve">, </w:t>
      </w:r>
      <w:r>
        <w:rPr>
          <w:i/>
          <w:iCs/>
        </w:rPr>
        <w:t>12</w:t>
      </w:r>
      <w:r>
        <w:t>(14), 2736. https://doi.org/10.3390/foods12142736</w:t>
      </w:r>
    </w:p>
    <w:p w14:paraId="662219DD" w14:textId="77777777" w:rsidR="00FD1849" w:rsidRDefault="00FD1849" w:rsidP="00FD1849">
      <w:r>
        <w:lastRenderedPageBreak/>
        <w:t xml:space="preserve">Nayyar, D., &amp; Skonberg, D. I. (2019). Contrasting effects of two storage temperatures on the microbial, physicochemical, and sensory properties of two fresh red seaweeds, Palmaria palmata and Gracilaria tikvahiae. </w:t>
      </w:r>
      <w:r>
        <w:rPr>
          <w:i/>
          <w:iCs/>
        </w:rPr>
        <w:t>Journal of Applied Phycology</w:t>
      </w:r>
      <w:r>
        <w:t xml:space="preserve">, </w:t>
      </w:r>
      <w:r>
        <w:rPr>
          <w:i/>
          <w:iCs/>
        </w:rPr>
        <w:t>31</w:t>
      </w:r>
      <w:r>
        <w:t>(1), 731–739. https://doi.org/10.1007/s10811-018-1545-8</w:t>
      </w:r>
    </w:p>
    <w:p w14:paraId="45471B96" w14:textId="77777777" w:rsidR="00FD1849" w:rsidRDefault="00FD1849" w:rsidP="00FD1849">
      <w:r>
        <w:t xml:space="preserve">Perry, J. J., Brodt, A., &amp; Skonberg, D. I. (2019). Influence of dry salting on quality attributes of farmed kelp (Alaria esculenta) during long-term refrigerated storage. </w:t>
      </w:r>
      <w:r>
        <w:rPr>
          <w:i/>
          <w:iCs/>
        </w:rPr>
        <w:t>LWT</w:t>
      </w:r>
      <w:r>
        <w:t xml:space="preserve">, </w:t>
      </w:r>
      <w:r>
        <w:rPr>
          <w:i/>
          <w:iCs/>
        </w:rPr>
        <w:t>114</w:t>
      </w:r>
      <w:r>
        <w:t>, 108362. https://doi.org/10.1016/j.lwt.2019.108362</w:t>
      </w:r>
    </w:p>
    <w:p w14:paraId="53FA1D56" w14:textId="77777777" w:rsidR="00FD1849" w:rsidRDefault="00FD1849" w:rsidP="00FD1849">
      <w:r>
        <w:t xml:space="preserve">Pouillot, R., Hoelzer, K., Chen, Y., &amp; Dennis, S. B. (2015). Listeria monocytogenes Dose Response Revisited—Incorporating Adjustments for Variability in Strain Virulence and Host Susceptibility. </w:t>
      </w:r>
      <w:r>
        <w:rPr>
          <w:i/>
          <w:iCs/>
        </w:rPr>
        <w:t>Risk Analysis</w:t>
      </w:r>
      <w:r>
        <w:t xml:space="preserve">, </w:t>
      </w:r>
      <w:r>
        <w:rPr>
          <w:i/>
          <w:iCs/>
        </w:rPr>
        <w:t>35</w:t>
      </w:r>
      <w:r>
        <w:t>(1), 90–108. https://doi.org/10.1111/risa.12235</w:t>
      </w:r>
    </w:p>
    <w:p w14:paraId="3D444FE6" w14:textId="77777777" w:rsidR="00FD1849" w:rsidRDefault="00FD1849" w:rsidP="00FD1849">
      <w:r>
        <w:t xml:space="preserve">Pouillot, R., Hoelzer, K., Chen, Y., &amp; Dennis, S. B. (2015). </w:t>
      </w:r>
      <w:r>
        <w:rPr>
          <w:i/>
          <w:iCs/>
        </w:rPr>
        <w:t>Listeria monocytogenes</w:t>
      </w:r>
      <w:r>
        <w:t xml:space="preserve"> Dose Response Revisited—Incorporating Adjustments for Variability in Strain Virulence and Host Susceptibility. </w:t>
      </w:r>
      <w:r>
        <w:rPr>
          <w:i/>
          <w:iCs/>
        </w:rPr>
        <w:t>Risk Analysis</w:t>
      </w:r>
      <w:r>
        <w:t xml:space="preserve">, </w:t>
      </w:r>
      <w:r>
        <w:rPr>
          <w:i/>
          <w:iCs/>
        </w:rPr>
        <w:t>35</w:t>
      </w:r>
      <w:r>
        <w:t>(1), 90–108. https://doi.org/10.1111/risa.12235</w:t>
      </w:r>
    </w:p>
    <w:p w14:paraId="00B9F45D" w14:textId="77777777" w:rsidR="00FD1849" w:rsidRDefault="00FD1849" w:rsidP="00FD1849">
      <w:r>
        <w:t xml:space="preserve">Ratnam, S., &amp; March, S. B. (1986). Laboratory studies on salmonella‐contaminated cheese involved in a major outbreak of gastroenteritis. </w:t>
      </w:r>
      <w:r>
        <w:rPr>
          <w:i/>
          <w:iCs/>
        </w:rPr>
        <w:t>Journal of Applied Bacteriology</w:t>
      </w:r>
      <w:r>
        <w:t xml:space="preserve">, </w:t>
      </w:r>
      <w:r>
        <w:rPr>
          <w:i/>
          <w:iCs/>
        </w:rPr>
        <w:t>61</w:t>
      </w:r>
      <w:r>
        <w:t>(1), 51–56. https://doi.org/10.1111/j.1365-2672.1986.tb03757.x</w:t>
      </w:r>
    </w:p>
    <w:p w14:paraId="78E04409" w14:textId="77777777" w:rsidR="00FD1849" w:rsidRDefault="00FD1849" w:rsidP="00FD1849">
      <w:r w:rsidRPr="00F85DE5">
        <w:t xml:space="preserve">Sánchez-García, F., Hernández, I., Palacios, V. M., &amp; Roldán, A. M. (2021). </w:t>
      </w:r>
      <w:r>
        <w:t xml:space="preserve">Freshness Quality and Shelf Life Evaluation of the Seaweed Ulva rigida through Physical, Chemical, Microbiological, and Sensory Methods. </w:t>
      </w:r>
      <w:r>
        <w:rPr>
          <w:i/>
          <w:iCs/>
        </w:rPr>
        <w:t>Foods</w:t>
      </w:r>
      <w:r>
        <w:t xml:space="preserve">, </w:t>
      </w:r>
      <w:r>
        <w:rPr>
          <w:i/>
          <w:iCs/>
        </w:rPr>
        <w:t>10</w:t>
      </w:r>
      <w:r>
        <w:t>(1), 181. https://doi.org/10.3390/foods10010181</w:t>
      </w:r>
    </w:p>
    <w:p w14:paraId="4E9F0C93" w14:textId="77777777" w:rsidR="00FD1849" w:rsidRDefault="00FD1849" w:rsidP="00FD1849">
      <w:r>
        <w:t xml:space="preserve">Sanyal, S., &amp; Sen, P. (1974). Human volunteer study on the pathogenicity of Vibrio parahaemolyticus. </w:t>
      </w:r>
      <w:r>
        <w:rPr>
          <w:i/>
          <w:iCs/>
        </w:rPr>
        <w:t>International Symposium on Vibrio Parahaemolyticus.</w:t>
      </w:r>
      <w:r>
        <w:t>, 227–230.</w:t>
      </w:r>
    </w:p>
    <w:p w14:paraId="46B239CB" w14:textId="77777777" w:rsidR="00FD1849" w:rsidRDefault="00FD1849" w:rsidP="00FD1849">
      <w:r>
        <w:t xml:space="preserve">Schraft, H., &amp; Griffiths, M. W. (2006). Bacillus cereus gastroenteritis. In </w:t>
      </w:r>
      <w:r>
        <w:rPr>
          <w:i/>
          <w:iCs/>
        </w:rPr>
        <w:t>Foodborne infections and intoxications</w:t>
      </w:r>
      <w:r>
        <w:t xml:space="preserve"> (3rd ed, pp. 563–582). Academic press.</w:t>
      </w:r>
    </w:p>
    <w:p w14:paraId="3E600B25" w14:textId="77777777" w:rsidR="00FD1849" w:rsidRPr="00E125EA" w:rsidRDefault="00FD1849" w:rsidP="00FD1849">
      <w:pPr>
        <w:rPr>
          <w:lang w:val="es-ES"/>
        </w:rPr>
      </w:pPr>
      <w:r>
        <w:t xml:space="preserve">Silva, V. M. D., Silva, L. A., Andrade, J. B. D., Veloso, M. C. D. C., &amp; Santos, G. V. (2008). Determination of moisture content and water activity in algae and fish by thermoanalytical techniques. </w:t>
      </w:r>
      <w:r w:rsidRPr="00E125EA">
        <w:rPr>
          <w:i/>
          <w:iCs/>
          <w:lang w:val="es-ES"/>
        </w:rPr>
        <w:t>Química Nova</w:t>
      </w:r>
      <w:r w:rsidRPr="00E125EA">
        <w:rPr>
          <w:lang w:val="es-ES"/>
        </w:rPr>
        <w:t xml:space="preserve">, </w:t>
      </w:r>
      <w:r w:rsidRPr="00E125EA">
        <w:rPr>
          <w:i/>
          <w:iCs/>
          <w:lang w:val="es-ES"/>
        </w:rPr>
        <w:t>31</w:t>
      </w:r>
      <w:r w:rsidRPr="00E125EA">
        <w:rPr>
          <w:lang w:val="es-ES"/>
        </w:rPr>
        <w:t>(4), 901–905. https://doi.org/10.1590/S0100-40422008000400030</w:t>
      </w:r>
    </w:p>
    <w:p w14:paraId="05986196" w14:textId="77777777" w:rsidR="00FD1849" w:rsidRDefault="00FD1849" w:rsidP="00FD1849">
      <w:r w:rsidRPr="00E125EA">
        <w:rPr>
          <w:lang w:val="es-ES"/>
        </w:rPr>
        <w:t xml:space="preserve">Standal, I. B., Slizyte, R., Mozuraityte, R., Kirkholt, E. M., Shumilina, E., &amp; Dikiy, A. (2024). </w:t>
      </w:r>
      <w:r>
        <w:t xml:space="preserve">Quality Changes of Cultivated </w:t>
      </w:r>
      <w:r>
        <w:rPr>
          <w:i/>
          <w:iCs/>
        </w:rPr>
        <w:t>Saccharina latissima</w:t>
      </w:r>
      <w:r>
        <w:t xml:space="preserve"> as Influenced by Preservation Method During Short Term Storage. </w:t>
      </w:r>
      <w:r>
        <w:rPr>
          <w:i/>
          <w:iCs/>
        </w:rPr>
        <w:t>Journal of Aquatic Food Product Technology</w:t>
      </w:r>
      <w:r>
        <w:t xml:space="preserve">, </w:t>
      </w:r>
      <w:r>
        <w:rPr>
          <w:i/>
          <w:iCs/>
        </w:rPr>
        <w:t>33</w:t>
      </w:r>
      <w:r>
        <w:t>(1), 1–18. https://doi.org/10.1080/10498850.2023.2236099</w:t>
      </w:r>
    </w:p>
    <w:p w14:paraId="41E4747C" w14:textId="77777777" w:rsidR="00FD1849" w:rsidRDefault="00FD1849" w:rsidP="00FD1849">
      <w:r>
        <w:lastRenderedPageBreak/>
        <w:t xml:space="preserve">Teunis, P. F. M., Kasuga, F., Fazil, A., Ogden, I. D., Rotariu, O., &amp; Strachan, N. J. C. (2010). Dose–response modeling of Salmonella using outbreak data. </w:t>
      </w:r>
      <w:r>
        <w:rPr>
          <w:i/>
          <w:iCs/>
        </w:rPr>
        <w:t>International Journal of Food Microbiology</w:t>
      </w:r>
      <w:r>
        <w:t xml:space="preserve">, </w:t>
      </w:r>
      <w:r>
        <w:rPr>
          <w:i/>
          <w:iCs/>
        </w:rPr>
        <w:t>144</w:t>
      </w:r>
      <w:r>
        <w:t>(2), 243–249. https://doi.org/10.1016/j.ijfoodmicro.2010.09.026</w:t>
      </w:r>
    </w:p>
    <w:p w14:paraId="74558D57" w14:textId="77777777" w:rsidR="00FD1849" w:rsidRDefault="00FD1849" w:rsidP="00FD1849">
      <w:r>
        <w:t xml:space="preserve">Teunis, P., Takumi, K., &amp; Shinagawa, K. (2004). Dose Response for Infection by </w:t>
      </w:r>
      <w:r>
        <w:rPr>
          <w:i/>
          <w:iCs/>
        </w:rPr>
        <w:t>Escherichia coli</w:t>
      </w:r>
      <w:r>
        <w:t xml:space="preserve"> O157:H7 from Outbreak Data. </w:t>
      </w:r>
      <w:r>
        <w:rPr>
          <w:i/>
          <w:iCs/>
        </w:rPr>
        <w:t>Risk Analysis</w:t>
      </w:r>
      <w:r>
        <w:t xml:space="preserve">, </w:t>
      </w:r>
      <w:r>
        <w:rPr>
          <w:i/>
          <w:iCs/>
        </w:rPr>
        <w:t>24</w:t>
      </w:r>
      <w:r>
        <w:t>(2), 401–407. https://doi.org/10.1111/j.0272-4332.2004.00441.x</w:t>
      </w:r>
    </w:p>
    <w:p w14:paraId="111C29B6" w14:textId="77777777" w:rsidR="00FD1849" w:rsidRDefault="00FD1849" w:rsidP="00FD1849">
      <w:r>
        <w:t xml:space="preserve">USDA. (2020, October 19). </w:t>
      </w:r>
      <w:r>
        <w:rPr>
          <w:i/>
          <w:iCs/>
        </w:rPr>
        <w:t>How Temperatures Affect Food</w:t>
      </w:r>
      <w:r>
        <w:t>. Food Safety and Inspection Service, US Department of Agriculture. http://www.fsis.usda.gov/food-safety/safe-food-handling-and-preparation/food-safety-basics/how-temperatures-affect-food</w:t>
      </w:r>
    </w:p>
    <w:p w14:paraId="0078DC33" w14:textId="77777777" w:rsidR="00FD1849" w:rsidRDefault="00FD1849" w:rsidP="00FD1849">
      <w:r>
        <w:t xml:space="preserve">USFDA, (2024). </w:t>
      </w:r>
      <w:r>
        <w:rPr>
          <w:i/>
          <w:iCs/>
        </w:rPr>
        <w:t>Draft guidance for industry: Hazard analysis and risk-based preventive controls for human food</w:t>
      </w:r>
      <w:r>
        <w:t xml:space="preserve">. United States Food and Drug Administration. May 30, 2024. (USFDA). </w:t>
      </w:r>
      <w:hyperlink r:id="rId172" w:history="1">
        <w:r>
          <w:rPr>
            <w:rStyle w:val="Hyperlink"/>
            <w:rFonts w:cs="Calibri"/>
            <w:color w:val="1155CC"/>
          </w:rPr>
          <w:t>https://www.fda.gov/regulatory-information/search-fda-guidance-documents/draft-guidance-industry-hazard-analysis-and-risk-based-preventive-controls-human-food</w:t>
        </w:r>
      </w:hyperlink>
    </w:p>
    <w:p w14:paraId="37A44308" w14:textId="40171C3E" w:rsidR="00FD1849" w:rsidRDefault="00FD1849" w:rsidP="00FD1849">
      <w:r>
        <w:t xml:space="preserve">USFDA. (2022a). Fish and Fishery Products Hazard and Control Guidance. June 2022 Edition. United States Food and Drug Administration (USFDA). </w:t>
      </w:r>
      <w:hyperlink r:id="rId173" w:history="1">
        <w:r>
          <w:rPr>
            <w:rStyle w:val="Hyperlink"/>
            <w:rFonts w:cs="Calibri"/>
            <w:color w:val="1155CC"/>
          </w:rPr>
          <w:t>https://www.fda.gov/media/80637/download</w:t>
        </w:r>
      </w:hyperlink>
    </w:p>
    <w:p w14:paraId="33AC4DB8" w14:textId="51A34473" w:rsidR="00FD1849" w:rsidRDefault="00FD1849" w:rsidP="00FD1849">
      <w:r>
        <w:t xml:space="preserve">USFDA. (2022b). CHAPTER 12: Pathogenic Bacteria Growth and Toxin Formation (Other Than Clostridium botulinum) as a Result of Time and Temperature Abuse. In Fish and Fishery Products Hazard and Control Guidance. June 2022 Edition. United States Food and Drug Administration (USFDA). </w:t>
      </w:r>
      <w:hyperlink r:id="rId174" w:history="1">
        <w:r>
          <w:rPr>
            <w:rStyle w:val="Hyperlink"/>
            <w:rFonts w:cs="Calibri"/>
            <w:color w:val="1155CC"/>
          </w:rPr>
          <w:t>https://www.fda.gov/media/80305/download</w:t>
        </w:r>
      </w:hyperlink>
    </w:p>
    <w:p w14:paraId="742E598B" w14:textId="77777777" w:rsidR="00FD1849" w:rsidRDefault="00FD1849" w:rsidP="00FD1849">
      <w:r>
        <w:t xml:space="preserve">Vall-llosera, M., Steinhagen, S., Pavia, H., &amp; Undeland, I. (2024). Brining as an effective method to stabilise sea lettuce (Ulva fenestrata) -impact on colour, texture, chemical characteristics and microbial dynamics. </w:t>
      </w:r>
      <w:r>
        <w:rPr>
          <w:i/>
          <w:iCs/>
        </w:rPr>
        <w:t>Algal Research</w:t>
      </w:r>
      <w:r>
        <w:t xml:space="preserve">, </w:t>
      </w:r>
      <w:r>
        <w:rPr>
          <w:i/>
          <w:iCs/>
        </w:rPr>
        <w:t>83</w:t>
      </w:r>
      <w:r>
        <w:t>, 103700. https://doi.org/10.1016/j.algal.2024.103700</w:t>
      </w:r>
    </w:p>
    <w:p w14:paraId="312E1133" w14:textId="77777777" w:rsidR="00FD1849" w:rsidRDefault="00FD1849" w:rsidP="00FD1849">
      <w:r>
        <w:t xml:space="preserve">Vorse, J. G., Moody, C. T., Massoia, L. C., Perry, J. J., Burkholder, K. M., &amp; Byron, C. J. (2023). Effect of post-harvest processing methods on the microbial safety of edible seaweed. </w:t>
      </w:r>
      <w:r>
        <w:rPr>
          <w:i/>
          <w:iCs/>
        </w:rPr>
        <w:t>Journal of Applied Phycology</w:t>
      </w:r>
      <w:r>
        <w:t xml:space="preserve">, </w:t>
      </w:r>
      <w:r>
        <w:rPr>
          <w:i/>
          <w:iCs/>
        </w:rPr>
        <w:t>35</w:t>
      </w:r>
      <w:r>
        <w:t>(3), 1331–1346. https://doi.org/10.1007/s10811-023-02937-w</w:t>
      </w:r>
    </w:p>
    <w:p w14:paraId="4F5693FD" w14:textId="77777777" w:rsidR="00FD1849" w:rsidRDefault="00FD1849" w:rsidP="00FD1849">
      <w:r>
        <w:t xml:space="preserve">Webb, M. D., Barker, G. C., Goodburn, K. E., &amp; Peck, M. W. (2019). Risk Presented to Minimally Processed Chilled Foods by Psychrotrophic </w:t>
      </w:r>
      <w:r>
        <w:rPr>
          <w:i/>
          <w:iCs/>
        </w:rPr>
        <w:t xml:space="preserve">Bacillus cereus. Trends in Food Science &amp; Technology, 93, </w:t>
      </w:r>
      <w:r>
        <w:t>94-105.</w:t>
      </w:r>
    </w:p>
    <w:p w14:paraId="47782F2B" w14:textId="77777777" w:rsidR="00FD1849" w:rsidRDefault="00FD1849" w:rsidP="00FD1849">
      <w:r>
        <w:t xml:space="preserve">WHO, W. H. O. of the U. N. (2002). </w:t>
      </w:r>
      <w:r>
        <w:rPr>
          <w:i/>
          <w:iCs/>
        </w:rPr>
        <w:t>Risk Assessments of Salmonella in Eggs and Broiler Chickens</w:t>
      </w:r>
      <w:r>
        <w:t>. Food &amp; Agriculture Org.</w:t>
      </w:r>
    </w:p>
    <w:p w14:paraId="68B671CA" w14:textId="77777777" w:rsidR="00FD1849" w:rsidRDefault="00FD1849" w:rsidP="00FD1849">
      <w:r>
        <w:t xml:space="preserve">Wirenfeldt, C. B., Sørensen, J. S., Kreissig, K. J., Hyldig, G., Holdt, S. L., &amp; Hansen, L. T. (2022). Post-harvest quality changes and shelf-life determination of washed and blanched sugar kelp </w:t>
      </w:r>
      <w:r>
        <w:lastRenderedPageBreak/>
        <w:t xml:space="preserve">(Saccharina latissima). </w:t>
      </w:r>
      <w:r>
        <w:rPr>
          <w:i/>
          <w:iCs/>
        </w:rPr>
        <w:t>Frontiers in Food Science and Technology</w:t>
      </w:r>
      <w:r>
        <w:t xml:space="preserve">, </w:t>
      </w:r>
      <w:r>
        <w:rPr>
          <w:i/>
          <w:iCs/>
        </w:rPr>
        <w:t>2</w:t>
      </w:r>
      <w:r>
        <w:t>, 1030229. https://doi.org/10.3389/frfst.2022.1030229</w:t>
      </w:r>
    </w:p>
    <w:p w14:paraId="2C78B8D4" w14:textId="3A38452C" w:rsidR="00FD1849" w:rsidRPr="00FD1849" w:rsidRDefault="00FD1849" w:rsidP="00FD1849">
      <w:r w:rsidRPr="00E125EA">
        <w:rPr>
          <w:lang w:val="es-ES"/>
        </w:rPr>
        <w:t xml:space="preserve">Xie, Y., Zhang, S., Sun, S., Zhu, M.-J., Sablani, S., &amp; Tang, J. (2022). </w:t>
      </w:r>
      <w:r>
        <w:t xml:space="preserve">Survivability of Salmonella and Enterococcus faecium in chili, cinnamon and black pepper powders during storage and isothermal treatments. </w:t>
      </w:r>
      <w:r>
        <w:rPr>
          <w:i/>
          <w:iCs/>
        </w:rPr>
        <w:t>Food Control</w:t>
      </w:r>
      <w:r>
        <w:t xml:space="preserve">, </w:t>
      </w:r>
      <w:r>
        <w:rPr>
          <w:i/>
          <w:iCs/>
        </w:rPr>
        <w:t>137</w:t>
      </w:r>
      <w:r>
        <w:t>, 108935. https://doi.org/10.1016/j.foodcont.2022.108935</w:t>
      </w:r>
    </w:p>
    <w:p w14:paraId="0B6F71D6" w14:textId="77777777" w:rsidR="00C2421B" w:rsidRDefault="00C2421B" w:rsidP="00C2421B"/>
    <w:p w14:paraId="5912444F" w14:textId="77777777" w:rsidR="00C2421B" w:rsidRDefault="00C2421B" w:rsidP="00C2421B">
      <w:pPr>
        <w:sectPr w:rsidR="00C2421B" w:rsidSect="0099497E">
          <w:pgSz w:w="12240" w:h="15840"/>
          <w:pgMar w:top="1440" w:right="1440" w:bottom="1440" w:left="1440" w:header="720" w:footer="720" w:gutter="0"/>
          <w:pgNumType w:chapStyle="1"/>
          <w:cols w:space="720"/>
          <w:docGrid w:linePitch="360"/>
        </w:sectPr>
      </w:pPr>
    </w:p>
    <w:p w14:paraId="2EF3C67C" w14:textId="3EB878AE" w:rsidR="00C2421B" w:rsidRDefault="00C2421B" w:rsidP="00691E23">
      <w:pPr>
        <w:pStyle w:val="Heading1"/>
      </w:pPr>
      <w:bookmarkStart w:id="195" w:name="_Pathogen_Contamination"/>
      <w:bookmarkStart w:id="196" w:name="_Toc208503275"/>
      <w:bookmarkStart w:id="197" w:name="_Toc210042860"/>
      <w:bookmarkEnd w:id="195"/>
      <w:r>
        <w:lastRenderedPageBreak/>
        <w:t>Pathogen Contamination</w:t>
      </w:r>
      <w:bookmarkEnd w:id="196"/>
      <w:bookmarkEnd w:id="197"/>
    </w:p>
    <w:p w14:paraId="29481BB0" w14:textId="77777777" w:rsidR="001F3866" w:rsidRDefault="001F3866" w:rsidP="00441BE0">
      <w:pPr>
        <w:pStyle w:val="Heading2"/>
      </w:pPr>
      <w:bookmarkStart w:id="198" w:name="_Toc208503276"/>
      <w:r>
        <w:t>General Background: Understanding the Potential Hazard</w:t>
      </w:r>
      <w:bookmarkEnd w:id="198"/>
    </w:p>
    <w:p w14:paraId="4E5AF1EC" w14:textId="0CBF9567" w:rsidR="001F3866" w:rsidRDefault="001F3866" w:rsidP="00B64049">
      <w:pPr>
        <w:spacing w:before="240"/>
      </w:pPr>
      <w:r>
        <w:t xml:space="preserve">As discussed in </w:t>
      </w:r>
      <w:hyperlink w:anchor="_Pathogens_in_the" w:history="1">
        <w:r w:rsidRPr="002033A6">
          <w:rPr>
            <w:rStyle w:val="Hyperlink"/>
          </w:rPr>
          <w:t>Chapter 5</w:t>
        </w:r>
      </w:hyperlink>
      <w:r>
        <w:t xml:space="preserve">, several bacterial, viral, and fungal </w:t>
      </w:r>
      <w:hyperlink w:anchor="_Pathogens" w:tooltip="Microorganisms that cause disease." w:history="1">
        <w:r w:rsidRPr="00A90B55">
          <w:rPr>
            <w:rStyle w:val="Hyperlink"/>
          </w:rPr>
          <w:t>pathogens</w:t>
        </w:r>
      </w:hyperlink>
      <w:r>
        <w:t xml:space="preserve"> can be present in seaweed cultivation and harvest areas. Pathogens can also be introduced post-harvest during handling, transport, processing or storage. The risk of postharvest contamination is particularly important when the final processing step is not a kill step designed to reduce or eliminate pathogens of concern.</w:t>
      </w:r>
    </w:p>
    <w:p w14:paraId="11FFD36A" w14:textId="77777777" w:rsidR="001F3866" w:rsidRDefault="001F3866" w:rsidP="001F3866">
      <w:r>
        <w:t xml:space="preserve">The level of risk from various microbial pathogens depends on the type of processing applied and the storage conditions of the finished product. For example, </w:t>
      </w:r>
      <w:r w:rsidRPr="001F3866">
        <w:rPr>
          <w:i/>
          <w:iCs/>
        </w:rPr>
        <w:t>Bacillus</w:t>
      </w:r>
      <w:r>
        <w:t xml:space="preserve"> </w:t>
      </w:r>
      <w:r w:rsidRPr="001F3866">
        <w:rPr>
          <w:i/>
          <w:iCs/>
        </w:rPr>
        <w:t>cereus</w:t>
      </w:r>
      <w:r>
        <w:t xml:space="preserve"> contamination is of particular concern for dried food products, whereas </w:t>
      </w:r>
      <w:r w:rsidRPr="001F3866">
        <w:rPr>
          <w:i/>
          <w:iCs/>
        </w:rPr>
        <w:t>Listeria</w:t>
      </w:r>
      <w:r>
        <w:t xml:space="preserve"> </w:t>
      </w:r>
      <w:r w:rsidRPr="001F3866">
        <w:rPr>
          <w:i/>
          <w:iCs/>
        </w:rPr>
        <w:t>monocytogenes</w:t>
      </w:r>
      <w:r>
        <w:t xml:space="preserve"> contamination is of particular concern in refrigerated food products. Certain pathogens, such as </w:t>
      </w:r>
      <w:r w:rsidRPr="001F3866">
        <w:rPr>
          <w:i/>
          <w:iCs/>
        </w:rPr>
        <w:t>Staphylococcus</w:t>
      </w:r>
      <w:r>
        <w:t xml:space="preserve"> </w:t>
      </w:r>
      <w:r w:rsidRPr="001F3866">
        <w:rPr>
          <w:i/>
          <w:iCs/>
        </w:rPr>
        <w:t>aureus</w:t>
      </w:r>
      <w:r>
        <w:t xml:space="preserve"> and Norovirus, are directly linked to human handling, while others, such as </w:t>
      </w:r>
      <w:r w:rsidRPr="001F3866">
        <w:rPr>
          <w:i/>
          <w:iCs/>
        </w:rPr>
        <w:t>Vibrio</w:t>
      </w:r>
      <w:r>
        <w:t xml:space="preserve"> </w:t>
      </w:r>
      <w:r w:rsidRPr="001F3866">
        <w:rPr>
          <w:i/>
          <w:iCs/>
        </w:rPr>
        <w:t>parahaemolyticus</w:t>
      </w:r>
      <w:r>
        <w:t xml:space="preserve">, are more likely to pose a risk through </w:t>
      </w:r>
      <w:r w:rsidRPr="001F3866">
        <w:rPr>
          <w:b/>
          <w:bCs/>
        </w:rPr>
        <w:t>cross-contamination</w:t>
      </w:r>
      <w:r>
        <w:t xml:space="preserve"> during processing steps like washing or cutting, where multiple lots are combined (comingled).</w:t>
      </w:r>
    </w:p>
    <w:p w14:paraId="1E5E3378" w14:textId="77777777" w:rsidR="001F3866" w:rsidRDefault="001F3866" w:rsidP="001F3866">
      <w:r>
        <w:t>This chapter will review processing technologies that are currently used in the production of seaweed products, highlighting pathogens relevant to these processes and summarizing their effects on pathogen presence on seaweeds whenever possible.</w:t>
      </w:r>
    </w:p>
    <w:p w14:paraId="1EE951A5" w14:textId="77777777" w:rsidR="001F3866" w:rsidRDefault="001F3866" w:rsidP="00846B8F">
      <w:pPr>
        <w:pStyle w:val="Heading2"/>
        <w:numPr>
          <w:ilvl w:val="1"/>
          <w:numId w:val="165"/>
        </w:numPr>
      </w:pPr>
      <w:bookmarkStart w:id="199" w:name="_Toc208503277"/>
      <w:r>
        <w:t>Maintenance of Clean and Sanitary Equipment and Facility</w:t>
      </w:r>
      <w:bookmarkEnd w:id="199"/>
    </w:p>
    <w:p w14:paraId="77EDF29E" w14:textId="77777777" w:rsidR="001F3866" w:rsidRDefault="001F3866" w:rsidP="00B64049">
      <w:pPr>
        <w:spacing w:before="240"/>
        <w:contextualSpacing/>
      </w:pPr>
      <w:r>
        <w:t>Many instances of contamination during handling, processing and storage of foods occur because proper cleaning and sanitation procedures are not followed. Compliance with current Good Manufacturing Practices (GMPs), which includes establishment of and adherence to sanitation standard operating procedures (SSOPs), is required for food processors subject to FDA oversight and helps minimize this risk. Key practices include:</w:t>
      </w:r>
    </w:p>
    <w:p w14:paraId="7E8182C4" w14:textId="4D235E58" w:rsidR="001F3866" w:rsidRDefault="001F3866" w:rsidP="00846B8F">
      <w:pPr>
        <w:pStyle w:val="ListParagraph"/>
        <w:numPr>
          <w:ilvl w:val="0"/>
          <w:numId w:val="77"/>
        </w:numPr>
      </w:pPr>
      <w:r>
        <w:t>All equipment and surfaces should be easily cleanable and maintained in good condition.</w:t>
      </w:r>
    </w:p>
    <w:p w14:paraId="4982A4A5" w14:textId="52B62EBB" w:rsidR="001F3866" w:rsidRDefault="001F3866" w:rsidP="00846B8F">
      <w:pPr>
        <w:pStyle w:val="ListParagraph"/>
        <w:numPr>
          <w:ilvl w:val="0"/>
          <w:numId w:val="77"/>
        </w:numPr>
      </w:pPr>
      <w:r>
        <w:t>Any equipment or surfaces coming into direct contact with seaweeds for human consumption should be maintained in a visually clean state and should be sanitized frequently.</w:t>
      </w:r>
    </w:p>
    <w:p w14:paraId="33F32921" w14:textId="3AEA89D3" w:rsidR="001F3866" w:rsidRDefault="001F3866" w:rsidP="00846B8F">
      <w:pPr>
        <w:pStyle w:val="ListParagraph"/>
        <w:numPr>
          <w:ilvl w:val="0"/>
          <w:numId w:val="77"/>
        </w:numPr>
      </w:pPr>
      <w:r>
        <w:t>Avoid contact between harvested seaweeds and non-potable water.</w:t>
      </w:r>
    </w:p>
    <w:p w14:paraId="127DB301" w14:textId="322B95EC" w:rsidR="001F3866" w:rsidRDefault="001F3866" w:rsidP="00846B8F">
      <w:pPr>
        <w:pStyle w:val="ListParagraph"/>
        <w:numPr>
          <w:ilvl w:val="0"/>
          <w:numId w:val="77"/>
        </w:numPr>
      </w:pPr>
      <w:r>
        <w:t>Harvested seaweeds should be protected from contact with adulterants such as petroleum products.</w:t>
      </w:r>
    </w:p>
    <w:p w14:paraId="732865C5" w14:textId="2A272606" w:rsidR="001F3866" w:rsidRDefault="001F3866" w:rsidP="00846B8F">
      <w:pPr>
        <w:pStyle w:val="ListParagraph"/>
        <w:numPr>
          <w:ilvl w:val="0"/>
          <w:numId w:val="77"/>
        </w:numPr>
      </w:pPr>
      <w:r>
        <w:lastRenderedPageBreak/>
        <w:t>All personnel within a facility should be trained on good hygiene practices including proper hand washing and sanitizing.</w:t>
      </w:r>
    </w:p>
    <w:p w14:paraId="6FD51D37" w14:textId="6E319238" w:rsidR="001F3866" w:rsidRDefault="001F3866" w:rsidP="001F3866">
      <w:r>
        <w:t>Proper sanitation is particularly important for reducing viral contamination, as viruses are often introduced through human handling or contact with contaminated water and may not be inactivated by heat processing. Hepatitis A virus (HAV) and Norovirus remain infectious at pH as low as 3.0 (Cliver et al., 2006). HAV can survive in ambient temperature tap water for up to 50 days (Enriquez et al., 1995), and refrigeration only extends the amount of time it survives.</w:t>
      </w:r>
    </w:p>
    <w:p w14:paraId="5DCEC17D" w14:textId="497AADC4" w:rsidR="001F3866" w:rsidRDefault="001F3866" w:rsidP="001F3866">
      <w:r w:rsidRPr="001F3866">
        <w:rPr>
          <w:i/>
          <w:iCs/>
        </w:rPr>
        <w:t>Listeria</w:t>
      </w:r>
      <w:r>
        <w:t xml:space="preserve"> </w:t>
      </w:r>
      <w:r w:rsidRPr="001F3866">
        <w:rPr>
          <w:i/>
          <w:iCs/>
        </w:rPr>
        <w:t>monocytogenes</w:t>
      </w:r>
      <w:r>
        <w:t xml:space="preserve"> is a high-risk pathogen during processing. Due to several unique characteristics of this pathogen, such as its ability to grow at refrigerated temperatures (Walker et al., 1990), and its high tolerance to salt and sanitizers (McClure et al., 1989 and Aase et al., 2000, respectively), </w:t>
      </w:r>
      <w:r w:rsidRPr="001F3866">
        <w:rPr>
          <w:i/>
          <w:iCs/>
        </w:rPr>
        <w:t>Listeria</w:t>
      </w:r>
      <w:r>
        <w:t xml:space="preserve"> </w:t>
      </w:r>
      <w:r w:rsidRPr="001F3866">
        <w:rPr>
          <w:i/>
          <w:iCs/>
        </w:rPr>
        <w:t>monocytogenes</w:t>
      </w:r>
      <w:r>
        <w:t xml:space="preserve"> is commonly found in processing environments (Tompkin, 2002) and persists long-term in commercial processing facilities (Ferreira et al., 2014; Malley et al., 2015). Listeriosis, the illness caused by </w:t>
      </w:r>
      <w:r w:rsidRPr="001F3866">
        <w:rPr>
          <w:i/>
          <w:iCs/>
        </w:rPr>
        <w:t>Listeria</w:t>
      </w:r>
      <w:r>
        <w:t xml:space="preserve"> </w:t>
      </w:r>
      <w:r w:rsidRPr="001F3866">
        <w:rPr>
          <w:i/>
          <w:iCs/>
        </w:rPr>
        <w:t>monocytogenes</w:t>
      </w:r>
      <w:r>
        <w:t xml:space="preserve">, has an estimated mortality rate of approximately 20% (CDC, 2024). As a result, vegetative </w:t>
      </w:r>
      <w:r w:rsidRPr="001F3866">
        <w:rPr>
          <w:i/>
          <w:iCs/>
        </w:rPr>
        <w:t>Listeria</w:t>
      </w:r>
      <w:r>
        <w:t xml:space="preserve"> </w:t>
      </w:r>
      <w:r w:rsidRPr="001F3866">
        <w:rPr>
          <w:i/>
          <w:iCs/>
        </w:rPr>
        <w:t>monocytogenes</w:t>
      </w:r>
      <w:r>
        <w:t xml:space="preserve"> in </w:t>
      </w:r>
      <w:hyperlink w:anchor="RTE" w:tooltip="Foods being sold with the intention of being consumed without any further processing or preparation." w:history="1">
        <w:r w:rsidRPr="00AE1C32">
          <w:rPr>
            <w:rStyle w:val="Hyperlink"/>
          </w:rPr>
          <w:t>ready-to-eat (RTE)</w:t>
        </w:r>
      </w:hyperlink>
      <w:r>
        <w:t xml:space="preserve"> foods is considered unacceptable (“zero tolerance”) in the U.S. and most Western nations.</w:t>
      </w:r>
    </w:p>
    <w:p w14:paraId="5FE1B1A6" w14:textId="77777777" w:rsidR="001F3866" w:rsidRDefault="001F3866" w:rsidP="00441BE0">
      <w:pPr>
        <w:pStyle w:val="Heading2"/>
      </w:pPr>
      <w:bookmarkStart w:id="200" w:name="_Toc208503278"/>
      <w:r>
        <w:t>Contamination After Application of Process Controls</w:t>
      </w:r>
      <w:bookmarkEnd w:id="200"/>
    </w:p>
    <w:p w14:paraId="706913F4" w14:textId="77777777" w:rsidR="001F3866" w:rsidRDefault="001F3866" w:rsidP="00B64049">
      <w:pPr>
        <w:spacing w:before="240"/>
      </w:pPr>
      <w:r>
        <w:t>It is important to note that even when process controls are applied correctly, contamination can still occur due to the processing environment or improper handling of the product. Common causes include:</w:t>
      </w:r>
    </w:p>
    <w:p w14:paraId="0A2F7201" w14:textId="77777777" w:rsidR="001F3866" w:rsidRDefault="001F3866" w:rsidP="00846B8F">
      <w:pPr>
        <w:pStyle w:val="ListParagraph"/>
        <w:numPr>
          <w:ilvl w:val="0"/>
          <w:numId w:val="78"/>
        </w:numPr>
        <w:spacing w:before="240"/>
      </w:pPr>
      <w:r>
        <w:t>Poor cleaning and/or sanitation of equipment and surfaces</w:t>
      </w:r>
    </w:p>
    <w:p w14:paraId="5935354D" w14:textId="77777777" w:rsidR="001F3866" w:rsidRDefault="001F3866" w:rsidP="00846B8F">
      <w:pPr>
        <w:pStyle w:val="ListParagraph"/>
        <w:numPr>
          <w:ilvl w:val="0"/>
          <w:numId w:val="78"/>
        </w:numPr>
        <w:spacing w:before="240"/>
      </w:pPr>
      <w:r>
        <w:t>Addition of contaminated ingredients after the process control step</w:t>
      </w:r>
    </w:p>
    <w:p w14:paraId="694AB9DD" w14:textId="77777777" w:rsidR="001F3866" w:rsidRDefault="001F3866" w:rsidP="00846B8F">
      <w:pPr>
        <w:pStyle w:val="ListParagraph"/>
        <w:numPr>
          <w:ilvl w:val="0"/>
          <w:numId w:val="78"/>
        </w:numPr>
        <w:spacing w:before="240"/>
      </w:pPr>
      <w:r>
        <w:t>Improper storage or temperature control following the process control step</w:t>
      </w:r>
    </w:p>
    <w:p w14:paraId="72C94CE4" w14:textId="77777777" w:rsidR="001F3866" w:rsidRDefault="001F3866" w:rsidP="00846B8F">
      <w:pPr>
        <w:pStyle w:val="ListParagraph"/>
        <w:numPr>
          <w:ilvl w:val="0"/>
          <w:numId w:val="78"/>
        </w:numPr>
        <w:spacing w:before="240"/>
      </w:pPr>
      <w:r>
        <w:t>Lack of or compromised packaging integrity</w:t>
      </w:r>
    </w:p>
    <w:p w14:paraId="6B98FCCA" w14:textId="32A77FD3" w:rsidR="001F3866" w:rsidRDefault="001F3866" w:rsidP="00B64049">
      <w:pPr>
        <w:spacing w:before="240"/>
      </w:pPr>
      <w:r>
        <w:t>Producers should take reasonable steps to minimize the risk of post-process contamination.</w:t>
      </w:r>
    </w:p>
    <w:p w14:paraId="6726B2F0" w14:textId="77777777" w:rsidR="001F3866" w:rsidRDefault="001F3866" w:rsidP="00441BE0">
      <w:pPr>
        <w:pStyle w:val="Heading2"/>
      </w:pPr>
      <w:bookmarkStart w:id="201" w:name="_Toc208503279"/>
      <w:r>
        <w:t>Processes Commonly Applied to Commercial Seaweed Products</w:t>
      </w:r>
      <w:bookmarkEnd w:id="201"/>
    </w:p>
    <w:p w14:paraId="52AB8E35" w14:textId="77777777" w:rsidR="001F3866" w:rsidRDefault="001F3866" w:rsidP="00691E23">
      <w:pPr>
        <w:pStyle w:val="Heading3"/>
      </w:pPr>
      <w:bookmarkStart w:id="202" w:name="_Toc208503280"/>
      <w:r>
        <w:t>Washing</w:t>
      </w:r>
      <w:bookmarkEnd w:id="202"/>
    </w:p>
    <w:p w14:paraId="1A7B6C1C" w14:textId="2CD35009" w:rsidR="001F3866" w:rsidRDefault="001F3866" w:rsidP="00B64049">
      <w:pPr>
        <w:spacing w:before="240"/>
      </w:pPr>
      <w:r>
        <w:t xml:space="preserve">Raw seaweeds may be washed before further processing to remove epiphytes and marine invertebrates. Washing can be carried out using either potable or treated seawater. Seawater can be rendered safe for washing using technologies such as filtration and ultraviolet (UV) light. Untreated seawater should not be used, unless it is from the certified harvest area, as it may contain pathogens (see </w:t>
      </w:r>
      <w:hyperlink w:anchor="_Pathogens_in_the" w:history="1">
        <w:r w:rsidRPr="002033A6">
          <w:rPr>
            <w:rStyle w:val="Hyperlink"/>
          </w:rPr>
          <w:t>Chapter 5</w:t>
        </w:r>
      </w:hyperlink>
      <w:r>
        <w:t xml:space="preserve">). Re-use of wash water should be managed to limit the </w:t>
      </w:r>
      <w:r>
        <w:lastRenderedPageBreak/>
        <w:t>potential for cross-contamination in the event that a small portion of harvested seaweed contains pathogens from the harvest area. Sanitizers such as chlorine or peracetic acid can be added to wash water to minimize the risk of cross-contamination (Good et al., 2021), however, sanitizers used in this way are generally not effective at reducing pathogen loads. Limited data exist on the efficacy and quality effects of sanitizers on seaweed, although one study reported potential benefits of aqueous hydrogen peroxide and sodium hypochlorite for maintaining microbial quality during storage (Kim et al., 2008).</w:t>
      </w:r>
    </w:p>
    <w:p w14:paraId="0BEF3462" w14:textId="394F5B36" w:rsidR="001F3866" w:rsidRDefault="001F3866" w:rsidP="001F3866">
      <w:r>
        <w:t xml:space="preserve">Multiple studies have found that washing increases the levels of spoilage organisms and coliforms in sugar kelp and laver in laboratory (Wirenfeldt et al., 2022) and commercial settings (Son et al., 2014; Wang et al., 2023). Similarly, inoculation studies have shown that washing does not reduce levels of key pathogens, including </w:t>
      </w:r>
      <w:r w:rsidRPr="001F3866">
        <w:rPr>
          <w:i/>
          <w:iCs/>
        </w:rPr>
        <w:t>E</w:t>
      </w:r>
      <w:r w:rsidRPr="001F3866">
        <w:t>.</w:t>
      </w:r>
      <w:r>
        <w:t xml:space="preserve"> </w:t>
      </w:r>
      <w:r w:rsidRPr="001F3866">
        <w:rPr>
          <w:i/>
          <w:iCs/>
        </w:rPr>
        <w:t>coli</w:t>
      </w:r>
      <w:r>
        <w:t xml:space="preserve"> O157:H7, </w:t>
      </w:r>
      <w:r w:rsidRPr="001F3866">
        <w:rPr>
          <w:i/>
          <w:iCs/>
        </w:rPr>
        <w:t>Listeria</w:t>
      </w:r>
      <w:r>
        <w:t xml:space="preserve"> </w:t>
      </w:r>
      <w:r w:rsidRPr="001F3866">
        <w:rPr>
          <w:i/>
          <w:iCs/>
        </w:rPr>
        <w:t>monocytogenes</w:t>
      </w:r>
      <w:r>
        <w:t xml:space="preserve">, and </w:t>
      </w:r>
      <w:r w:rsidRPr="001F3866">
        <w:rPr>
          <w:i/>
          <w:iCs/>
        </w:rPr>
        <w:t>Vibrio</w:t>
      </w:r>
      <w:r>
        <w:t xml:space="preserve"> </w:t>
      </w:r>
      <w:r w:rsidRPr="001F3866">
        <w:rPr>
          <w:i/>
          <w:iCs/>
        </w:rPr>
        <w:t>parahaemolyticus</w:t>
      </w:r>
      <w:r>
        <w:t xml:space="preserve"> (Swinscoe et al., 2020). Collectively, these findings indicate that washing of seaweed is more likely to facilitate cross-contamination than it is to reduce microbial loads.</w:t>
      </w:r>
    </w:p>
    <w:p w14:paraId="72B94EA4" w14:textId="798DF5EF" w:rsidR="001F3866" w:rsidRDefault="001F3866" w:rsidP="00691E23">
      <w:pPr>
        <w:pStyle w:val="Heading3"/>
      </w:pPr>
      <w:bookmarkStart w:id="203" w:name="_Toc208503281"/>
      <w:r>
        <w:t>Thermal Processes: Blanching, Cooking</w:t>
      </w:r>
      <w:r w:rsidR="00E1536C">
        <w:t xml:space="preserve">, </w:t>
      </w:r>
      <w:r>
        <w:t>and Pasteurization</w:t>
      </w:r>
      <w:bookmarkEnd w:id="203"/>
    </w:p>
    <w:p w14:paraId="4A0AEEE0" w14:textId="6A3EEEF6" w:rsidR="001F3866" w:rsidRDefault="001F3866" w:rsidP="00B64049">
      <w:pPr>
        <w:spacing w:before="240"/>
      </w:pPr>
      <w:r>
        <w:t>Heat-based processes are widely recognized for their ability to reduce overall microbial loads in most foods. When conducted properly—without exposure to non-potable cooling water—</w:t>
      </w:r>
      <w:hyperlink w:anchor="_Blanching" w:tooltip="Submersion of foods in boiling water or exposure to steam for a short period of time before rapidly cooling. Blanching is commonly done to fix color and stop enzymatic activity. " w:history="1">
        <w:r w:rsidRPr="000B284B">
          <w:rPr>
            <w:rStyle w:val="Hyperlink"/>
          </w:rPr>
          <w:t>blanching</w:t>
        </w:r>
      </w:hyperlink>
      <w:r>
        <w:t xml:space="preserve"> and cooking present minimal risk of contamination. However, post-process contamination can still occur if there is a lack of adequate sanitary controls in place. It is important to note that most heat treatments do not inactivate bacterial spores produced by certain pathogens, such as </w:t>
      </w:r>
      <w:r w:rsidRPr="001F3866">
        <w:rPr>
          <w:i/>
          <w:iCs/>
        </w:rPr>
        <w:t>Bacillus</w:t>
      </w:r>
      <w:r>
        <w:t xml:space="preserve"> </w:t>
      </w:r>
      <w:r w:rsidRPr="001F3866">
        <w:rPr>
          <w:i/>
          <w:iCs/>
        </w:rPr>
        <w:t>cereus</w:t>
      </w:r>
      <w:r>
        <w:t xml:space="preserve"> and </w:t>
      </w:r>
      <w:r w:rsidRPr="001F3866">
        <w:rPr>
          <w:i/>
          <w:iCs/>
        </w:rPr>
        <w:t>Clostridium</w:t>
      </w:r>
      <w:r>
        <w:t xml:space="preserve"> </w:t>
      </w:r>
      <w:r w:rsidRPr="001F3866">
        <w:rPr>
          <w:i/>
          <w:iCs/>
        </w:rPr>
        <w:t>perfringens</w:t>
      </w:r>
      <w:r>
        <w:t xml:space="preserve">, which may be able to germinate after processing depending on the characteristics of the resulting food product (pH, salinity, etc.). For heat treatments to serve as an effective processing control, procedures must be validated to confirm that they achieve the intended level of hazard reduction. Cooking and pasteurization are discussed in greater detail in </w:t>
      </w:r>
      <w:hyperlink w:anchor="_Pathogen_Survival_Through" w:history="1">
        <w:r w:rsidRPr="002033A6">
          <w:rPr>
            <w:rStyle w:val="Hyperlink"/>
          </w:rPr>
          <w:t>Chapter 13</w:t>
        </w:r>
      </w:hyperlink>
      <w:r>
        <w:t>.</w:t>
      </w:r>
    </w:p>
    <w:p w14:paraId="207AE69C" w14:textId="77777777" w:rsidR="001F3866" w:rsidRDefault="001F3866" w:rsidP="001F3866">
      <w:r>
        <w:t xml:space="preserve">Blanching is a heat process used primarily for food quality preservation, usually either to inactivate enzymes or to decrease the population of spoilage organisms, not as a kill step. Results from studies on </w:t>
      </w:r>
      <w:r w:rsidRPr="001F3866">
        <w:rPr>
          <w:i/>
          <w:iCs/>
        </w:rPr>
        <w:t>Saccharina</w:t>
      </w:r>
      <w:r>
        <w:t xml:space="preserve"> </w:t>
      </w:r>
      <w:r w:rsidRPr="001F3866">
        <w:rPr>
          <w:i/>
          <w:iCs/>
        </w:rPr>
        <w:t>latissima</w:t>
      </w:r>
      <w:r>
        <w:t xml:space="preserve"> (whole blades and shredded) indicate variable effectiveness. Treatments using hot water at 140–212°F (60–100°C) for durations ranging from 5 seconds to 5 minutes produced inconsistent outcomes: two studies reported no significant microbial reduction (Akomea-Frempong et al., 2022; Stévant et al., 2024), while one observed measurable decreases (Wirenfeldt et al., 2022). These findings demonstrate that the effectiveness of heat treatment depends on specific processing parameters and must be validated before it can be relied upon for microbial hazard control.</w:t>
      </w:r>
    </w:p>
    <w:p w14:paraId="25EDC358" w14:textId="77777777" w:rsidR="001F3866" w:rsidRDefault="001F3866" w:rsidP="00691E23">
      <w:pPr>
        <w:pStyle w:val="Heading3"/>
      </w:pPr>
      <w:bookmarkStart w:id="204" w:name="_Toc208503282"/>
      <w:r>
        <w:lastRenderedPageBreak/>
        <w:t>Reduction of Water Activity</w:t>
      </w:r>
      <w:bookmarkEnd w:id="204"/>
    </w:p>
    <w:p w14:paraId="2D6BC430" w14:textId="70A72C60" w:rsidR="001F3866" w:rsidRDefault="001F3866" w:rsidP="00B64049">
      <w:pPr>
        <w:spacing w:before="240"/>
        <w:contextualSpacing/>
      </w:pPr>
      <w:r>
        <w:t>Moisture content refers to the total amount of water contained in a food product. Some of this water is “bound” by its interaction with other components of the food and some of the water is “free.” Water activity is a measure of free water in food, which is available for microbial growth. Because of this, it is a more relevant indicator of food safety than total moisture content. Water activity is expressed as a unitless number ranging from 0 to 1, where 1 represents pure water. According to USFDA (2024), foods can be categorized as:</w:t>
      </w:r>
    </w:p>
    <w:p w14:paraId="1A522847" w14:textId="30B64E2F" w:rsidR="001F3866" w:rsidRDefault="001F3866" w:rsidP="00846B8F">
      <w:pPr>
        <w:pStyle w:val="ListParagraph"/>
        <w:numPr>
          <w:ilvl w:val="0"/>
          <w:numId w:val="79"/>
        </w:numPr>
      </w:pPr>
      <w:r w:rsidRPr="00B64049">
        <w:rPr>
          <w:b/>
          <w:bCs/>
        </w:rPr>
        <w:t>Moist foods</w:t>
      </w:r>
      <w:r>
        <w:t>, which have water activity above 0.85 and require refrigeration.</w:t>
      </w:r>
    </w:p>
    <w:p w14:paraId="5CDFE02B" w14:textId="77777777" w:rsidR="001F3866" w:rsidRDefault="001F3866" w:rsidP="00846B8F">
      <w:pPr>
        <w:pStyle w:val="ListParagraph"/>
        <w:numPr>
          <w:ilvl w:val="0"/>
          <w:numId w:val="79"/>
        </w:numPr>
      </w:pPr>
      <w:r w:rsidRPr="00B64049">
        <w:rPr>
          <w:b/>
          <w:bCs/>
        </w:rPr>
        <w:t>Intermediate-moisture foods (IMF),</w:t>
      </w:r>
      <w:r>
        <w:t xml:space="preserve"> which have water activity between 0.60 and 0.85. These foods do not require refrigeration, are susceptible to fungal spoilage, and may also utilize other strategies for microbial stability in addition to control of moisture.</w:t>
      </w:r>
    </w:p>
    <w:p w14:paraId="13A7AA30" w14:textId="607613C6" w:rsidR="001F3866" w:rsidRDefault="001F3866" w:rsidP="00846B8F">
      <w:pPr>
        <w:pStyle w:val="ListParagraph"/>
        <w:numPr>
          <w:ilvl w:val="0"/>
          <w:numId w:val="79"/>
        </w:numPr>
      </w:pPr>
      <w:r w:rsidRPr="00B64049">
        <w:rPr>
          <w:b/>
          <w:bCs/>
        </w:rPr>
        <w:t>Low-moisture foods,</w:t>
      </w:r>
      <w:r>
        <w:t xml:space="preserve"> which have a water activity below 0.60 and do not require refrigeration. These foods are generally resistant to microbial spoilage and are considered shelf stable.</w:t>
      </w:r>
    </w:p>
    <w:p w14:paraId="2238C1BD" w14:textId="0B6237ED" w:rsidR="001F3866" w:rsidRDefault="001F3866" w:rsidP="00B64049">
      <w:pPr>
        <w:contextualSpacing/>
      </w:pPr>
      <w:r>
        <w:t xml:space="preserve">The number of bacterial pathogens will not increase at a water activity below 0.85, but importantly, reducing water activity alone will not inactivate pathogens. For example, </w:t>
      </w:r>
      <w:r w:rsidR="00AF729A">
        <w:t>Shiga</w:t>
      </w:r>
      <w:r>
        <w:t xml:space="preserve"> toxin producing </w:t>
      </w:r>
      <w:r w:rsidRPr="001F3866">
        <w:rPr>
          <w:i/>
          <w:iCs/>
        </w:rPr>
        <w:t xml:space="preserve">E. coli </w:t>
      </w:r>
      <w:r>
        <w:t xml:space="preserve">has caused outbreaks from wheat flour with water activity as low as 0.341 (Gill et al., 2019) and has been shown to survive in flour for at least two years (Gill et al., 2020). Both </w:t>
      </w:r>
      <w:hyperlink w:anchor="Salting" w:tooltip="Adding salt to foods to preserve or enhance the food, sometimes referred to as dry brining" w:history="1">
        <w:r w:rsidRPr="003E23E8">
          <w:rPr>
            <w:rStyle w:val="Hyperlink"/>
          </w:rPr>
          <w:t>salting</w:t>
        </w:r>
      </w:hyperlink>
      <w:r>
        <w:t xml:space="preserve"> and </w:t>
      </w:r>
      <w:hyperlink w:anchor="DryingDehydrating" w:tooltip="The natural (sun or air drying) or mechanical (dehydrator, oven, freeze drying, etc.) removal of water from a food or food product to reduce the water available for microbial growth (Aw). A commonly used method of food preservation." w:history="1">
        <w:r w:rsidRPr="00E1536C">
          <w:rPr>
            <w:rStyle w:val="Hyperlink"/>
          </w:rPr>
          <w:t>drying</w:t>
        </w:r>
      </w:hyperlink>
      <w:r>
        <w:t xml:space="preserve"> are common processing methods for reducing water activity in foods, including seaweeds.</w:t>
      </w:r>
    </w:p>
    <w:p w14:paraId="766D4261" w14:textId="067D61DD" w:rsidR="001F3866" w:rsidRDefault="001F3866" w:rsidP="00691E23">
      <w:pPr>
        <w:pStyle w:val="Heading3"/>
      </w:pPr>
      <w:bookmarkStart w:id="205" w:name="_Toc208503283"/>
      <w:r>
        <w:t>Salting</w:t>
      </w:r>
      <w:r w:rsidR="003E23E8">
        <w:t>—</w:t>
      </w:r>
      <w:r>
        <w:t>Brining or Dry Salting</w:t>
      </w:r>
      <w:bookmarkEnd w:id="205"/>
    </w:p>
    <w:p w14:paraId="58987175" w14:textId="5208296E" w:rsidR="001F3866" w:rsidRDefault="001F3866" w:rsidP="00B64049">
      <w:pPr>
        <w:spacing w:before="240"/>
      </w:pPr>
      <w:r>
        <w:t>Salting is a long-established method of processing seaweeds. Salt may be applied directly to seaweed (e.g., dry salting) or by immersion into a salt brine solution. This process may also be referred to as “</w:t>
      </w:r>
      <w:hyperlink w:anchor="Pickling" w:tooltip="The process of preserving food by reducing its pH either by natural fermentation or acidification with vinegar." w:history="1">
        <w:r w:rsidRPr="0051253B">
          <w:rPr>
            <w:rStyle w:val="Hyperlink"/>
          </w:rPr>
          <w:t>pickling</w:t>
        </w:r>
      </w:hyperlink>
      <w:r>
        <w:t>” but in this context does not involve the use of acid</w:t>
      </w:r>
      <w:r w:rsidR="004A0675">
        <w:t>—</w:t>
      </w:r>
      <w:r>
        <w:t>either by direct addition or through bacterial fermentation</w:t>
      </w:r>
      <w:r w:rsidR="004A0675">
        <w:t>—</w:t>
      </w:r>
      <w:r>
        <w:t>for preservation. Most salting processes produce intermediate-moisture products which can be stored at ambient temperature, reducing the need for refrigeration while significantly extending the shelf life compared to fresh seaweed. Refrigeration of these products, although not required, can help delay fungal growth and further enhance food safety.</w:t>
      </w:r>
    </w:p>
    <w:p w14:paraId="76FEDF17" w14:textId="54F0E7AD" w:rsidR="00DD6EE3" w:rsidRPr="00DD6EE3" w:rsidRDefault="001F3866" w:rsidP="00045395">
      <w:r>
        <w:t>Several studies have shown that salting extends the shelf life of seaweeds with most experiments yielding positive results, however, data on the survival or growth of human pathogens in salted seaweeds remain limited. This knowledge gap prevents a comprehensive assessment of the safety of these products at this time.</w:t>
      </w:r>
    </w:p>
    <w:p w14:paraId="32482454" w14:textId="0796B7B6" w:rsidR="00045395" w:rsidRDefault="00045395" w:rsidP="00C54E07">
      <w:pPr>
        <w:pStyle w:val="Caption"/>
      </w:pPr>
      <w:r w:rsidRPr="00045395">
        <w:rPr>
          <w:b/>
          <w:bCs/>
        </w:rPr>
        <w:lastRenderedPageBreak/>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11</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1</w:t>
      </w:r>
      <w:r w:rsidR="00896F22">
        <w:rPr>
          <w:b/>
          <w:bCs/>
        </w:rPr>
        <w:fldChar w:fldCharType="end"/>
      </w:r>
      <w:r w:rsidRPr="00045395">
        <w:rPr>
          <w:b/>
          <w:bCs/>
        </w:rPr>
        <w:t>:</w:t>
      </w:r>
      <w:r>
        <w:t xml:space="preserve"> </w:t>
      </w:r>
      <w:r w:rsidRPr="005415DB">
        <w:t xml:space="preserve">Summary of published studies investigating </w:t>
      </w:r>
      <w:hyperlink w:anchor="Salting" w:history="1">
        <w:r w:rsidRPr="00045395">
          <w:rPr>
            <w:rStyle w:val="Hyperlink"/>
          </w:rPr>
          <w:t>salting</w:t>
        </w:r>
      </w:hyperlink>
      <w:r w:rsidRPr="005415DB">
        <w:t xml:space="preserve"> treatments of seaweed.</w:t>
      </w:r>
    </w:p>
    <w:tbl>
      <w:tblPr>
        <w:tblStyle w:val="TableGrid"/>
        <w:tblW w:w="9715" w:type="dxa"/>
        <w:tblCellMar>
          <w:top w:w="14" w:type="dxa"/>
          <w:left w:w="72" w:type="dxa"/>
          <w:bottom w:w="14" w:type="dxa"/>
          <w:right w:w="72" w:type="dxa"/>
        </w:tblCellMar>
        <w:tblLook w:val="04A0" w:firstRow="1" w:lastRow="0" w:firstColumn="1" w:lastColumn="0" w:noHBand="0" w:noVBand="1"/>
      </w:tblPr>
      <w:tblGrid>
        <w:gridCol w:w="1283"/>
        <w:gridCol w:w="1398"/>
        <w:gridCol w:w="1454"/>
        <w:gridCol w:w="1440"/>
        <w:gridCol w:w="2610"/>
        <w:gridCol w:w="1530"/>
      </w:tblGrid>
      <w:tr w:rsidR="00154E38" w14:paraId="5986DA7B" w14:textId="77777777" w:rsidTr="00A61B74">
        <w:trPr>
          <w:tblHeader/>
        </w:trPr>
        <w:tc>
          <w:tcPr>
            <w:tcW w:w="1283" w:type="dxa"/>
            <w:tcBorders>
              <w:top w:val="single" w:sz="8" w:space="0" w:color="0D0D0D" w:themeColor="text1" w:themeTint="F2"/>
              <w:left w:val="single" w:sz="8" w:space="0" w:color="0D0D0D" w:themeColor="text1" w:themeTint="F2"/>
              <w:bottom w:val="single" w:sz="8" w:space="0" w:color="0D0D0D" w:themeColor="text1" w:themeTint="F2"/>
            </w:tcBorders>
            <w:shd w:val="clear" w:color="auto" w:fill="28666E"/>
            <w:vAlign w:val="center"/>
          </w:tcPr>
          <w:p w14:paraId="26F02544" w14:textId="4B0D1FF9" w:rsidR="00154E38" w:rsidRPr="00F9694B" w:rsidRDefault="00154E38" w:rsidP="0054509C">
            <w:pPr>
              <w:rPr>
                <w:b/>
                <w:bCs/>
                <w:color w:val="FFFFFF" w:themeColor="background1"/>
              </w:rPr>
            </w:pPr>
            <w:r w:rsidRPr="00F9694B">
              <w:rPr>
                <w:b/>
                <w:bCs/>
                <w:color w:val="FFFFFF" w:themeColor="background1"/>
              </w:rPr>
              <w:t>Species</w:t>
            </w:r>
          </w:p>
        </w:tc>
        <w:tc>
          <w:tcPr>
            <w:tcW w:w="1398" w:type="dxa"/>
            <w:tcBorders>
              <w:top w:val="single" w:sz="8" w:space="0" w:color="0D0D0D" w:themeColor="text1" w:themeTint="F2"/>
              <w:bottom w:val="single" w:sz="8" w:space="0" w:color="0D0D0D" w:themeColor="text1" w:themeTint="F2"/>
            </w:tcBorders>
            <w:shd w:val="clear" w:color="auto" w:fill="28666E"/>
            <w:vAlign w:val="center"/>
          </w:tcPr>
          <w:p w14:paraId="65D274A6" w14:textId="5CAA72A6" w:rsidR="00154E38" w:rsidRPr="00F9694B" w:rsidRDefault="00154E38" w:rsidP="0054509C">
            <w:pPr>
              <w:rPr>
                <w:b/>
                <w:bCs/>
                <w:color w:val="FFFFFF" w:themeColor="background1"/>
              </w:rPr>
            </w:pPr>
            <w:r w:rsidRPr="00F9694B">
              <w:rPr>
                <w:b/>
                <w:bCs/>
                <w:color w:val="FFFFFF" w:themeColor="background1"/>
              </w:rPr>
              <w:t xml:space="preserve">Salt Level: </w:t>
            </w:r>
            <w:r w:rsidRPr="00045395">
              <w:rPr>
                <w:b/>
                <w:bCs/>
                <w:color w:val="FFFFFF" w:themeColor="background1"/>
              </w:rPr>
              <w:t>Dry Salting</w:t>
            </w:r>
          </w:p>
        </w:tc>
        <w:tc>
          <w:tcPr>
            <w:tcW w:w="1454" w:type="dxa"/>
            <w:tcBorders>
              <w:top w:val="single" w:sz="8" w:space="0" w:color="0D0D0D" w:themeColor="text1" w:themeTint="F2"/>
              <w:bottom w:val="single" w:sz="8" w:space="0" w:color="0D0D0D" w:themeColor="text1" w:themeTint="F2"/>
            </w:tcBorders>
            <w:shd w:val="clear" w:color="auto" w:fill="28666E"/>
            <w:vAlign w:val="center"/>
          </w:tcPr>
          <w:p w14:paraId="55D1E111" w14:textId="1D5BBD64" w:rsidR="00154E38" w:rsidRPr="00F9694B" w:rsidRDefault="00154E38" w:rsidP="0054509C">
            <w:pPr>
              <w:rPr>
                <w:b/>
                <w:bCs/>
                <w:color w:val="FFFFFF" w:themeColor="background1"/>
              </w:rPr>
            </w:pPr>
            <w:r w:rsidRPr="00F9694B">
              <w:rPr>
                <w:b/>
                <w:bCs/>
                <w:color w:val="FFFFFF" w:themeColor="background1"/>
              </w:rPr>
              <w:t xml:space="preserve">Salt Level: </w:t>
            </w:r>
            <w:r w:rsidRPr="00045395">
              <w:rPr>
                <w:b/>
                <w:bCs/>
                <w:color w:val="FFFFFF" w:themeColor="background1"/>
              </w:rPr>
              <w:t>Brining</w:t>
            </w:r>
          </w:p>
        </w:tc>
        <w:tc>
          <w:tcPr>
            <w:tcW w:w="1440" w:type="dxa"/>
            <w:tcBorders>
              <w:top w:val="single" w:sz="8" w:space="0" w:color="0D0D0D" w:themeColor="text1" w:themeTint="F2"/>
              <w:bottom w:val="single" w:sz="8" w:space="0" w:color="0D0D0D" w:themeColor="text1" w:themeTint="F2"/>
            </w:tcBorders>
            <w:shd w:val="clear" w:color="auto" w:fill="28666E"/>
            <w:vAlign w:val="center"/>
          </w:tcPr>
          <w:p w14:paraId="6BF26AA8" w14:textId="796E7BF0" w:rsidR="00154E38" w:rsidRPr="00F9694B" w:rsidRDefault="00154E38" w:rsidP="0054509C">
            <w:pPr>
              <w:rPr>
                <w:b/>
                <w:bCs/>
                <w:color w:val="FFFFFF" w:themeColor="background1"/>
              </w:rPr>
            </w:pPr>
            <w:r w:rsidRPr="00F9694B">
              <w:rPr>
                <w:b/>
                <w:bCs/>
                <w:color w:val="FFFFFF" w:themeColor="background1"/>
              </w:rPr>
              <w:t>Final Water Activity</w:t>
            </w:r>
          </w:p>
        </w:tc>
        <w:tc>
          <w:tcPr>
            <w:tcW w:w="2610" w:type="dxa"/>
            <w:tcBorders>
              <w:top w:val="single" w:sz="8" w:space="0" w:color="0D0D0D" w:themeColor="text1" w:themeTint="F2"/>
              <w:bottom w:val="single" w:sz="8" w:space="0" w:color="0D0D0D" w:themeColor="text1" w:themeTint="F2"/>
            </w:tcBorders>
            <w:shd w:val="clear" w:color="auto" w:fill="28666E"/>
            <w:vAlign w:val="center"/>
          </w:tcPr>
          <w:p w14:paraId="4DF2B23B" w14:textId="44DF91F9" w:rsidR="00154E38" w:rsidRPr="00F9694B" w:rsidRDefault="00154E38" w:rsidP="0054509C">
            <w:pPr>
              <w:rPr>
                <w:b/>
                <w:bCs/>
                <w:color w:val="FFFFFF" w:themeColor="background1"/>
              </w:rPr>
            </w:pPr>
            <w:r w:rsidRPr="00F9694B">
              <w:rPr>
                <w:b/>
                <w:bCs/>
                <w:color w:val="FFFFFF" w:themeColor="background1"/>
              </w:rPr>
              <w:t>Result</w:t>
            </w:r>
          </w:p>
        </w:tc>
        <w:tc>
          <w:tcPr>
            <w:tcW w:w="1530" w:type="dxa"/>
            <w:tcBorders>
              <w:top w:val="single" w:sz="8" w:space="0" w:color="0D0D0D" w:themeColor="text1" w:themeTint="F2"/>
              <w:bottom w:val="single" w:sz="8" w:space="0" w:color="0D0D0D" w:themeColor="text1" w:themeTint="F2"/>
              <w:right w:val="single" w:sz="8" w:space="0" w:color="0D0D0D" w:themeColor="text1" w:themeTint="F2"/>
            </w:tcBorders>
            <w:shd w:val="clear" w:color="auto" w:fill="28666E"/>
            <w:vAlign w:val="center"/>
          </w:tcPr>
          <w:p w14:paraId="72AC5D5E" w14:textId="5B8475EF" w:rsidR="00154E38" w:rsidRPr="00F9694B" w:rsidRDefault="00154E38" w:rsidP="0054509C">
            <w:pPr>
              <w:rPr>
                <w:b/>
                <w:bCs/>
                <w:color w:val="FFFFFF" w:themeColor="background1"/>
              </w:rPr>
            </w:pPr>
            <w:r w:rsidRPr="00F9694B">
              <w:rPr>
                <w:b/>
                <w:bCs/>
                <w:color w:val="FFFFFF" w:themeColor="background1"/>
              </w:rPr>
              <w:t>Reference</w:t>
            </w:r>
          </w:p>
        </w:tc>
      </w:tr>
      <w:tr w:rsidR="00154E38" w14:paraId="7B242D03" w14:textId="77777777" w:rsidTr="00A61B74">
        <w:tc>
          <w:tcPr>
            <w:tcW w:w="1283" w:type="dxa"/>
            <w:tcBorders>
              <w:top w:val="single" w:sz="8" w:space="0" w:color="0D0D0D" w:themeColor="text1" w:themeTint="F2"/>
              <w:left w:val="single" w:sz="8" w:space="0" w:color="0D0D0D" w:themeColor="text1" w:themeTint="F2"/>
            </w:tcBorders>
            <w:shd w:val="clear" w:color="auto" w:fill="D9D9D9" w:themeFill="background1" w:themeFillShade="D9"/>
            <w:vAlign w:val="center"/>
          </w:tcPr>
          <w:p w14:paraId="257879ED" w14:textId="54EA225C" w:rsidR="00154E38" w:rsidRPr="001F3866" w:rsidRDefault="00154E38" w:rsidP="00154E38">
            <w:pPr>
              <w:rPr>
                <w:i/>
                <w:iCs/>
              </w:rPr>
            </w:pPr>
            <w:r>
              <w:rPr>
                <w:i/>
                <w:iCs/>
              </w:rPr>
              <w:t>Alaria esculenta</w:t>
            </w:r>
          </w:p>
        </w:tc>
        <w:tc>
          <w:tcPr>
            <w:tcW w:w="1398" w:type="dxa"/>
            <w:tcBorders>
              <w:top w:val="single" w:sz="8" w:space="0" w:color="0D0D0D" w:themeColor="text1" w:themeTint="F2"/>
            </w:tcBorders>
            <w:shd w:val="clear" w:color="auto" w:fill="D9D9D9" w:themeFill="background1" w:themeFillShade="D9"/>
            <w:vAlign w:val="center"/>
          </w:tcPr>
          <w:p w14:paraId="19EA3964" w14:textId="253DE534" w:rsidR="00154E38" w:rsidRDefault="00154E38" w:rsidP="00154E38">
            <w:r>
              <w:t>3</w:t>
            </w:r>
            <w:r w:rsidRPr="001F3866">
              <w:t>–</w:t>
            </w:r>
            <w:r>
              <w:t>20% (wt/wt)</w:t>
            </w:r>
          </w:p>
        </w:tc>
        <w:tc>
          <w:tcPr>
            <w:tcW w:w="1454" w:type="dxa"/>
            <w:tcBorders>
              <w:top w:val="single" w:sz="8" w:space="0" w:color="0D0D0D" w:themeColor="text1" w:themeTint="F2"/>
            </w:tcBorders>
            <w:shd w:val="clear" w:color="auto" w:fill="D9D9D9" w:themeFill="background1" w:themeFillShade="D9"/>
            <w:vAlign w:val="center"/>
          </w:tcPr>
          <w:p w14:paraId="49A85EF6" w14:textId="38B0F5FD" w:rsidR="00154E38" w:rsidRDefault="00DD6EE3" w:rsidP="00154E38">
            <w:r>
              <w:t>Not measured</w:t>
            </w:r>
          </w:p>
        </w:tc>
        <w:tc>
          <w:tcPr>
            <w:tcW w:w="1440" w:type="dxa"/>
            <w:tcBorders>
              <w:top w:val="single" w:sz="8" w:space="0" w:color="0D0D0D" w:themeColor="text1" w:themeTint="F2"/>
            </w:tcBorders>
            <w:shd w:val="clear" w:color="auto" w:fill="D9D9D9" w:themeFill="background1" w:themeFillShade="D9"/>
            <w:vAlign w:val="center"/>
          </w:tcPr>
          <w:p w14:paraId="1FB58526" w14:textId="7EEB667A" w:rsidR="00154E38" w:rsidRDefault="00154E38" w:rsidP="00154E38">
            <w:r>
              <w:t>0.97</w:t>
            </w:r>
            <w:r w:rsidRPr="00154E38">
              <w:t>–</w:t>
            </w:r>
            <w:r>
              <w:t>0.84</w:t>
            </w:r>
          </w:p>
        </w:tc>
        <w:tc>
          <w:tcPr>
            <w:tcW w:w="2610" w:type="dxa"/>
            <w:tcBorders>
              <w:top w:val="single" w:sz="8" w:space="0" w:color="0D0D0D" w:themeColor="text1" w:themeTint="F2"/>
            </w:tcBorders>
            <w:shd w:val="clear" w:color="auto" w:fill="D9D9D9" w:themeFill="background1" w:themeFillShade="D9"/>
            <w:vAlign w:val="center"/>
          </w:tcPr>
          <w:p w14:paraId="11C1B3D0" w14:textId="032DDDF4" w:rsidR="00154E38" w:rsidRDefault="00154E38" w:rsidP="00154E38">
            <w:r w:rsidRPr="00154E38">
              <w:t>No changes in microbial populations during 12 weeks of storage at 40°F</w:t>
            </w:r>
          </w:p>
        </w:tc>
        <w:tc>
          <w:tcPr>
            <w:tcW w:w="1530" w:type="dxa"/>
            <w:tcBorders>
              <w:top w:val="single" w:sz="8" w:space="0" w:color="0D0D0D" w:themeColor="text1" w:themeTint="F2"/>
              <w:right w:val="single" w:sz="8" w:space="0" w:color="0D0D0D" w:themeColor="text1" w:themeTint="F2"/>
            </w:tcBorders>
            <w:shd w:val="clear" w:color="auto" w:fill="D9D9D9" w:themeFill="background1" w:themeFillShade="D9"/>
            <w:vAlign w:val="center"/>
          </w:tcPr>
          <w:p w14:paraId="4F1BDE18" w14:textId="66CEB426" w:rsidR="00154E38" w:rsidRDefault="00154E38" w:rsidP="00154E38">
            <w:r w:rsidRPr="00154E38">
              <w:t>Perry, Brodt et al., 2019</w:t>
            </w:r>
          </w:p>
        </w:tc>
      </w:tr>
      <w:tr w:rsidR="00154E38" w14:paraId="2553AD52" w14:textId="77777777" w:rsidTr="00A61B74">
        <w:tc>
          <w:tcPr>
            <w:tcW w:w="1283" w:type="dxa"/>
            <w:tcBorders>
              <w:left w:val="single" w:sz="8" w:space="0" w:color="0D0D0D" w:themeColor="text1" w:themeTint="F2"/>
            </w:tcBorders>
            <w:vAlign w:val="center"/>
          </w:tcPr>
          <w:p w14:paraId="35DFB451" w14:textId="3BE38FFB" w:rsidR="00154E38" w:rsidRPr="00154E38" w:rsidRDefault="00154E38" w:rsidP="00154E38">
            <w:pPr>
              <w:rPr>
                <w:i/>
                <w:iCs/>
              </w:rPr>
            </w:pPr>
            <w:r>
              <w:rPr>
                <w:i/>
                <w:iCs/>
              </w:rPr>
              <w:t>Alaria esculenta</w:t>
            </w:r>
          </w:p>
        </w:tc>
        <w:tc>
          <w:tcPr>
            <w:tcW w:w="1398" w:type="dxa"/>
            <w:vAlign w:val="center"/>
          </w:tcPr>
          <w:p w14:paraId="62155460" w14:textId="528ECE9C" w:rsidR="00154E38" w:rsidRDefault="00154E38" w:rsidP="00154E38">
            <w:r w:rsidRPr="00154E38">
              <w:t>3–20% (wt/wt)</w:t>
            </w:r>
          </w:p>
        </w:tc>
        <w:tc>
          <w:tcPr>
            <w:tcW w:w="1454" w:type="dxa"/>
            <w:vAlign w:val="center"/>
          </w:tcPr>
          <w:p w14:paraId="6752D59E" w14:textId="77D9B8E8" w:rsidR="00154E38" w:rsidRDefault="00DD6EE3" w:rsidP="00154E38">
            <w:r>
              <w:t>Not measured</w:t>
            </w:r>
          </w:p>
        </w:tc>
        <w:tc>
          <w:tcPr>
            <w:tcW w:w="1440" w:type="dxa"/>
            <w:vAlign w:val="center"/>
          </w:tcPr>
          <w:p w14:paraId="185B5F0E" w14:textId="45171414" w:rsidR="00154E38" w:rsidRDefault="00154E38" w:rsidP="00154E38">
            <w:r w:rsidRPr="00154E38">
              <w:t>0.97–0.84</w:t>
            </w:r>
          </w:p>
        </w:tc>
        <w:tc>
          <w:tcPr>
            <w:tcW w:w="2610" w:type="dxa"/>
            <w:vAlign w:val="center"/>
          </w:tcPr>
          <w:p w14:paraId="72540445" w14:textId="77777777" w:rsidR="00154E38" w:rsidRDefault="00154E38" w:rsidP="00154E38">
            <w:r>
              <w:t>Significant decreases in population over time recorded for all inoculated pathogens</w:t>
            </w:r>
          </w:p>
          <w:p w14:paraId="045A5FC0" w14:textId="51883626" w:rsidR="00154E38" w:rsidRDefault="00154E38" w:rsidP="00154E38">
            <w:r w:rsidRPr="00154E38">
              <w:rPr>
                <w:i/>
                <w:iCs/>
              </w:rPr>
              <w:t>Vibrio</w:t>
            </w:r>
            <w:r>
              <w:t xml:space="preserve"> species, </w:t>
            </w:r>
            <w:r w:rsidRPr="00154E38">
              <w:rPr>
                <w:i/>
                <w:iCs/>
              </w:rPr>
              <w:t>Listeria</w:t>
            </w:r>
            <w:r>
              <w:t xml:space="preserve"> </w:t>
            </w:r>
            <w:r w:rsidRPr="00154E38">
              <w:rPr>
                <w:i/>
                <w:iCs/>
              </w:rPr>
              <w:t>monocytogenes</w:t>
            </w:r>
            <w:r>
              <w:t xml:space="preserve">, </w:t>
            </w:r>
            <w:r w:rsidRPr="00154E38">
              <w:rPr>
                <w:i/>
                <w:iCs/>
              </w:rPr>
              <w:t>S. aureus</w:t>
            </w:r>
            <w:r>
              <w:t xml:space="preserve"> and </w:t>
            </w:r>
            <w:r w:rsidRPr="00154E38">
              <w:rPr>
                <w:i/>
                <w:iCs/>
              </w:rPr>
              <w:t>Salmonella</w:t>
            </w:r>
            <w:r>
              <w:t xml:space="preserve"> remained detectable for up to 7, 26, 28, and 36 days, respectively, with no statistical impact of salt concentration</w:t>
            </w:r>
          </w:p>
        </w:tc>
        <w:tc>
          <w:tcPr>
            <w:tcW w:w="1530" w:type="dxa"/>
            <w:tcBorders>
              <w:right w:val="single" w:sz="8" w:space="0" w:color="0D0D0D" w:themeColor="text1" w:themeTint="F2"/>
            </w:tcBorders>
            <w:vAlign w:val="center"/>
          </w:tcPr>
          <w:p w14:paraId="1A17FD0D" w14:textId="48FBFB82" w:rsidR="00154E38" w:rsidRDefault="00154E38" w:rsidP="00154E38">
            <w:r>
              <w:t>Perry, Nile et al., 2019</w:t>
            </w:r>
          </w:p>
        </w:tc>
      </w:tr>
      <w:tr w:rsidR="00154E38" w14:paraId="2353066E" w14:textId="77777777" w:rsidTr="00A61B74">
        <w:tc>
          <w:tcPr>
            <w:tcW w:w="1283" w:type="dxa"/>
            <w:tcBorders>
              <w:left w:val="single" w:sz="8" w:space="0" w:color="0D0D0D" w:themeColor="text1" w:themeTint="F2"/>
            </w:tcBorders>
            <w:shd w:val="clear" w:color="auto" w:fill="D9D9D9" w:themeFill="background1" w:themeFillShade="D9"/>
            <w:vAlign w:val="center"/>
          </w:tcPr>
          <w:p w14:paraId="162CF537" w14:textId="2AEDFC45" w:rsidR="00154E38" w:rsidRPr="00154E38" w:rsidRDefault="00154E38" w:rsidP="00154E38">
            <w:r>
              <w:rPr>
                <w:i/>
                <w:iCs/>
              </w:rPr>
              <w:t>Caulerpa</w:t>
            </w:r>
            <w:r>
              <w:t xml:space="preserve"> species</w:t>
            </w:r>
          </w:p>
        </w:tc>
        <w:tc>
          <w:tcPr>
            <w:tcW w:w="1398" w:type="dxa"/>
            <w:shd w:val="clear" w:color="auto" w:fill="D9D9D9" w:themeFill="background1" w:themeFillShade="D9"/>
            <w:vAlign w:val="center"/>
          </w:tcPr>
          <w:p w14:paraId="55C7EAF6" w14:textId="76979FDA" w:rsidR="00154E38" w:rsidRDefault="00DD6EE3" w:rsidP="00154E38">
            <w:r>
              <w:t>Not measured</w:t>
            </w:r>
          </w:p>
        </w:tc>
        <w:tc>
          <w:tcPr>
            <w:tcW w:w="1454" w:type="dxa"/>
            <w:shd w:val="clear" w:color="auto" w:fill="D9D9D9" w:themeFill="background1" w:themeFillShade="D9"/>
            <w:vAlign w:val="center"/>
          </w:tcPr>
          <w:p w14:paraId="718DD11B" w14:textId="4D292016" w:rsidR="00154E38" w:rsidRDefault="00154E38" w:rsidP="00154E38">
            <w:r>
              <w:t>10</w:t>
            </w:r>
            <w:r w:rsidRPr="00154E38">
              <w:t>–</w:t>
            </w:r>
            <w:r>
              <w:t>3</w:t>
            </w:r>
            <w:r w:rsidRPr="00154E38">
              <w:t>0% (wt/wt)</w:t>
            </w:r>
          </w:p>
        </w:tc>
        <w:tc>
          <w:tcPr>
            <w:tcW w:w="1440" w:type="dxa"/>
            <w:shd w:val="clear" w:color="auto" w:fill="D9D9D9" w:themeFill="background1" w:themeFillShade="D9"/>
            <w:vAlign w:val="center"/>
          </w:tcPr>
          <w:p w14:paraId="41200BAF" w14:textId="7EA0E93B" w:rsidR="00154E38" w:rsidRDefault="00154E38" w:rsidP="00154E38">
            <w:r>
              <w:t>Not measured</w:t>
            </w:r>
          </w:p>
        </w:tc>
        <w:tc>
          <w:tcPr>
            <w:tcW w:w="2610" w:type="dxa"/>
            <w:shd w:val="clear" w:color="auto" w:fill="D9D9D9" w:themeFill="background1" w:themeFillShade="D9"/>
            <w:vAlign w:val="center"/>
          </w:tcPr>
          <w:p w14:paraId="056D1231" w14:textId="45A777CD" w:rsidR="00154E38" w:rsidRDefault="00154E38" w:rsidP="00154E38">
            <w:r w:rsidRPr="00154E38">
              <w:t>Low levels of bacteria and yeast maintained for 12 weeks of storage at 77°F</w:t>
            </w:r>
          </w:p>
        </w:tc>
        <w:tc>
          <w:tcPr>
            <w:tcW w:w="1530" w:type="dxa"/>
            <w:tcBorders>
              <w:right w:val="single" w:sz="8" w:space="0" w:color="0D0D0D" w:themeColor="text1" w:themeTint="F2"/>
            </w:tcBorders>
            <w:shd w:val="clear" w:color="auto" w:fill="D9D9D9" w:themeFill="background1" w:themeFillShade="D9"/>
            <w:vAlign w:val="center"/>
          </w:tcPr>
          <w:p w14:paraId="445F9E91" w14:textId="0FD5FEB6" w:rsidR="00154E38" w:rsidRDefault="00154E38" w:rsidP="00154E38">
            <w:r w:rsidRPr="00154E38">
              <w:t>Pan-utai et al., 2023</w:t>
            </w:r>
          </w:p>
        </w:tc>
      </w:tr>
      <w:tr w:rsidR="00154E38" w14:paraId="5E306B4B" w14:textId="77777777" w:rsidTr="00A61B74">
        <w:tc>
          <w:tcPr>
            <w:tcW w:w="1283" w:type="dxa"/>
            <w:tcBorders>
              <w:left w:val="single" w:sz="8" w:space="0" w:color="0D0D0D" w:themeColor="text1" w:themeTint="F2"/>
            </w:tcBorders>
            <w:vAlign w:val="center"/>
          </w:tcPr>
          <w:p w14:paraId="432A7710" w14:textId="0A97A238" w:rsidR="00154E38" w:rsidRPr="00154E38" w:rsidRDefault="00154E38" w:rsidP="00154E38">
            <w:pPr>
              <w:rPr>
                <w:i/>
                <w:iCs/>
              </w:rPr>
            </w:pPr>
            <w:r>
              <w:rPr>
                <w:i/>
                <w:iCs/>
              </w:rPr>
              <w:t>Laminaria ochroleuca</w:t>
            </w:r>
          </w:p>
        </w:tc>
        <w:tc>
          <w:tcPr>
            <w:tcW w:w="1398" w:type="dxa"/>
            <w:vAlign w:val="center"/>
          </w:tcPr>
          <w:p w14:paraId="4F267721" w14:textId="215AB86A" w:rsidR="00154E38" w:rsidRDefault="00154E38" w:rsidP="00154E38">
            <w:r>
              <w:t>40% (wt/wt)</w:t>
            </w:r>
          </w:p>
        </w:tc>
        <w:tc>
          <w:tcPr>
            <w:tcW w:w="1454" w:type="dxa"/>
            <w:vAlign w:val="center"/>
          </w:tcPr>
          <w:p w14:paraId="11B5106C" w14:textId="31DC6CE6" w:rsidR="00154E38" w:rsidRDefault="00DD6EE3" w:rsidP="00154E38">
            <w:r>
              <w:t>Not measured</w:t>
            </w:r>
          </w:p>
        </w:tc>
        <w:tc>
          <w:tcPr>
            <w:tcW w:w="1440" w:type="dxa"/>
            <w:vAlign w:val="center"/>
          </w:tcPr>
          <w:p w14:paraId="42625F55" w14:textId="311048D6" w:rsidR="00154E38" w:rsidRDefault="00154E38" w:rsidP="00154E38">
            <w:r>
              <w:t>0.742</w:t>
            </w:r>
          </w:p>
        </w:tc>
        <w:tc>
          <w:tcPr>
            <w:tcW w:w="2610" w:type="dxa"/>
            <w:vAlign w:val="center"/>
          </w:tcPr>
          <w:p w14:paraId="52F017B2" w14:textId="09EACF2F" w:rsidR="00154E38" w:rsidRDefault="00154E38" w:rsidP="00154E38">
            <w:r w:rsidRPr="00154E38">
              <w:t>No change in microbial levels but decrease observed during subsequent refrigerated storage</w:t>
            </w:r>
          </w:p>
        </w:tc>
        <w:tc>
          <w:tcPr>
            <w:tcW w:w="1530" w:type="dxa"/>
            <w:tcBorders>
              <w:right w:val="single" w:sz="8" w:space="0" w:color="0D0D0D" w:themeColor="text1" w:themeTint="F2"/>
            </w:tcBorders>
            <w:vAlign w:val="center"/>
          </w:tcPr>
          <w:p w14:paraId="5FC9DD01" w14:textId="0F12A34A" w:rsidR="00154E38" w:rsidRDefault="00154E38" w:rsidP="00154E38">
            <w:r w:rsidRPr="00154E38">
              <w:t>Del Olmo et al., 2019</w:t>
            </w:r>
          </w:p>
        </w:tc>
      </w:tr>
      <w:tr w:rsidR="00154E38" w14:paraId="673F626B" w14:textId="77777777" w:rsidTr="00A61B74">
        <w:tc>
          <w:tcPr>
            <w:tcW w:w="1283" w:type="dxa"/>
            <w:tcBorders>
              <w:left w:val="single" w:sz="8" w:space="0" w:color="0D0D0D" w:themeColor="text1" w:themeTint="F2"/>
            </w:tcBorders>
            <w:shd w:val="clear" w:color="auto" w:fill="D9D9D9" w:themeFill="background1" w:themeFillShade="D9"/>
            <w:vAlign w:val="center"/>
          </w:tcPr>
          <w:p w14:paraId="029106B9" w14:textId="7A7957AC" w:rsidR="00154E38" w:rsidRPr="00154E38" w:rsidRDefault="00154E38" w:rsidP="00154E38">
            <w:pPr>
              <w:rPr>
                <w:i/>
                <w:iCs/>
              </w:rPr>
            </w:pPr>
            <w:r>
              <w:rPr>
                <w:i/>
                <w:iCs/>
              </w:rPr>
              <w:t>Saccharina latissima</w:t>
            </w:r>
          </w:p>
        </w:tc>
        <w:tc>
          <w:tcPr>
            <w:tcW w:w="1398" w:type="dxa"/>
            <w:shd w:val="clear" w:color="auto" w:fill="D9D9D9" w:themeFill="background1" w:themeFillShade="D9"/>
            <w:vAlign w:val="center"/>
          </w:tcPr>
          <w:p w14:paraId="10BB9EF5" w14:textId="19EFEA96" w:rsidR="00154E38" w:rsidRDefault="00154E38" w:rsidP="00154E38">
            <w:r>
              <w:t>30% (wt/wt)</w:t>
            </w:r>
          </w:p>
        </w:tc>
        <w:tc>
          <w:tcPr>
            <w:tcW w:w="1454" w:type="dxa"/>
            <w:shd w:val="clear" w:color="auto" w:fill="D9D9D9" w:themeFill="background1" w:themeFillShade="D9"/>
            <w:vAlign w:val="center"/>
          </w:tcPr>
          <w:p w14:paraId="08CDD5E1" w14:textId="077497C8" w:rsidR="00154E38" w:rsidRDefault="00154E38" w:rsidP="00154E38">
            <w:r>
              <w:t>40% (wt/wt)</w:t>
            </w:r>
          </w:p>
        </w:tc>
        <w:tc>
          <w:tcPr>
            <w:tcW w:w="1440" w:type="dxa"/>
            <w:shd w:val="clear" w:color="auto" w:fill="D9D9D9" w:themeFill="background1" w:themeFillShade="D9"/>
            <w:vAlign w:val="center"/>
          </w:tcPr>
          <w:p w14:paraId="2C5D4CE0" w14:textId="09930C87" w:rsidR="00154E38" w:rsidRDefault="00154E38" w:rsidP="00154E38">
            <w:r>
              <w:t>&lt;0.77</w:t>
            </w:r>
          </w:p>
        </w:tc>
        <w:tc>
          <w:tcPr>
            <w:tcW w:w="2610" w:type="dxa"/>
            <w:shd w:val="clear" w:color="auto" w:fill="D9D9D9" w:themeFill="background1" w:themeFillShade="D9"/>
            <w:vAlign w:val="center"/>
          </w:tcPr>
          <w:p w14:paraId="125AF10A" w14:textId="3B36BE0D" w:rsidR="00154E38" w:rsidRDefault="00154E38" w:rsidP="00154E38">
            <w:r w:rsidRPr="00154E38">
              <w:t>Significant decrease in microbial levels, no increase observed for 60 days under ambient (72°F) storage or 90 days under refrigeration (40°F)</w:t>
            </w:r>
          </w:p>
        </w:tc>
        <w:tc>
          <w:tcPr>
            <w:tcW w:w="1530" w:type="dxa"/>
            <w:tcBorders>
              <w:right w:val="single" w:sz="8" w:space="0" w:color="0D0D0D" w:themeColor="text1" w:themeTint="F2"/>
            </w:tcBorders>
            <w:shd w:val="clear" w:color="auto" w:fill="D9D9D9" w:themeFill="background1" w:themeFillShade="D9"/>
            <w:vAlign w:val="center"/>
          </w:tcPr>
          <w:p w14:paraId="45DDC0EF" w14:textId="631777D7" w:rsidR="00154E38" w:rsidRDefault="00154E38" w:rsidP="00154E38">
            <w:r>
              <w:t>Arya, 2025</w:t>
            </w:r>
          </w:p>
        </w:tc>
      </w:tr>
      <w:tr w:rsidR="00154E38" w14:paraId="121B8B95" w14:textId="77777777" w:rsidTr="00A61B74">
        <w:tc>
          <w:tcPr>
            <w:tcW w:w="1283" w:type="dxa"/>
            <w:tcBorders>
              <w:left w:val="single" w:sz="8" w:space="0" w:color="0D0D0D" w:themeColor="text1" w:themeTint="F2"/>
            </w:tcBorders>
            <w:vAlign w:val="center"/>
          </w:tcPr>
          <w:p w14:paraId="05AF9BA9" w14:textId="39EEEB31" w:rsidR="00154E38" w:rsidRPr="00154E38" w:rsidRDefault="00154E38" w:rsidP="00154E38">
            <w:pPr>
              <w:rPr>
                <w:i/>
                <w:iCs/>
              </w:rPr>
            </w:pPr>
            <w:r>
              <w:rPr>
                <w:i/>
                <w:iCs/>
              </w:rPr>
              <w:t>Saccharina latissima</w:t>
            </w:r>
          </w:p>
        </w:tc>
        <w:tc>
          <w:tcPr>
            <w:tcW w:w="1398" w:type="dxa"/>
            <w:vAlign w:val="center"/>
          </w:tcPr>
          <w:p w14:paraId="3CF34E61" w14:textId="24D9E7F6" w:rsidR="00154E38" w:rsidRDefault="00154E38" w:rsidP="00154E38">
            <w:r>
              <w:t>5</w:t>
            </w:r>
            <w:r w:rsidRPr="00154E38">
              <w:t>–</w:t>
            </w:r>
            <w:r>
              <w:t>50% (wt/wt)</w:t>
            </w:r>
          </w:p>
        </w:tc>
        <w:tc>
          <w:tcPr>
            <w:tcW w:w="1454" w:type="dxa"/>
            <w:vAlign w:val="center"/>
          </w:tcPr>
          <w:p w14:paraId="5D12AA9D" w14:textId="704A9363" w:rsidR="00154E38" w:rsidRDefault="00DD6EE3" w:rsidP="00154E38">
            <w:r>
              <w:t>Not measured</w:t>
            </w:r>
          </w:p>
        </w:tc>
        <w:tc>
          <w:tcPr>
            <w:tcW w:w="1440" w:type="dxa"/>
            <w:vAlign w:val="center"/>
          </w:tcPr>
          <w:p w14:paraId="1301CCAF" w14:textId="37714EA6" w:rsidR="00154E38" w:rsidRDefault="00154E38" w:rsidP="00154E38">
            <w:r>
              <w:t>0.95</w:t>
            </w:r>
            <w:r w:rsidRPr="00154E38">
              <w:t>–</w:t>
            </w:r>
            <w:r>
              <w:t>0.75</w:t>
            </w:r>
          </w:p>
        </w:tc>
        <w:tc>
          <w:tcPr>
            <w:tcW w:w="2610" w:type="dxa"/>
            <w:vAlign w:val="center"/>
          </w:tcPr>
          <w:p w14:paraId="471601DB" w14:textId="21B2AAAE" w:rsidR="00154E38" w:rsidRDefault="00154E38" w:rsidP="00154E38">
            <w:r>
              <w:t>Extension of shelf life from 6 (untreated) to 19 days</w:t>
            </w:r>
          </w:p>
        </w:tc>
        <w:tc>
          <w:tcPr>
            <w:tcW w:w="1530" w:type="dxa"/>
            <w:tcBorders>
              <w:right w:val="single" w:sz="8" w:space="0" w:color="0D0D0D" w:themeColor="text1" w:themeTint="F2"/>
            </w:tcBorders>
            <w:vAlign w:val="center"/>
          </w:tcPr>
          <w:p w14:paraId="325215D0" w14:textId="0301BA39" w:rsidR="00154E38" w:rsidRDefault="00154E38" w:rsidP="00154E38">
            <w:r>
              <w:t>Klein et al., 2023</w:t>
            </w:r>
          </w:p>
        </w:tc>
      </w:tr>
      <w:tr w:rsidR="00154E38" w14:paraId="60797223" w14:textId="77777777" w:rsidTr="00A61B74">
        <w:tc>
          <w:tcPr>
            <w:tcW w:w="1283" w:type="dxa"/>
            <w:tcBorders>
              <w:left w:val="single" w:sz="8" w:space="0" w:color="0D0D0D" w:themeColor="text1" w:themeTint="F2"/>
              <w:bottom w:val="single" w:sz="8" w:space="0" w:color="0D0D0D" w:themeColor="text1" w:themeTint="F2"/>
            </w:tcBorders>
            <w:shd w:val="clear" w:color="auto" w:fill="D9D9D9" w:themeFill="background1" w:themeFillShade="D9"/>
            <w:vAlign w:val="center"/>
          </w:tcPr>
          <w:p w14:paraId="771B4B8A" w14:textId="33E26E82" w:rsidR="00154E38" w:rsidRDefault="00154E38" w:rsidP="00154E38">
            <w:pPr>
              <w:rPr>
                <w:i/>
                <w:iCs/>
              </w:rPr>
            </w:pPr>
            <w:r>
              <w:rPr>
                <w:i/>
                <w:iCs/>
              </w:rPr>
              <w:t>Ulva fenestrata</w:t>
            </w:r>
          </w:p>
        </w:tc>
        <w:tc>
          <w:tcPr>
            <w:tcW w:w="1398" w:type="dxa"/>
            <w:tcBorders>
              <w:bottom w:val="single" w:sz="8" w:space="0" w:color="0D0D0D" w:themeColor="text1" w:themeTint="F2"/>
            </w:tcBorders>
            <w:shd w:val="clear" w:color="auto" w:fill="D9D9D9" w:themeFill="background1" w:themeFillShade="D9"/>
            <w:vAlign w:val="center"/>
          </w:tcPr>
          <w:p w14:paraId="6D2DDC40" w14:textId="78052304" w:rsidR="00154E38" w:rsidRDefault="00DD6EE3" w:rsidP="00154E38">
            <w:r>
              <w:t>Not measured</w:t>
            </w:r>
          </w:p>
        </w:tc>
        <w:tc>
          <w:tcPr>
            <w:tcW w:w="1454" w:type="dxa"/>
            <w:tcBorders>
              <w:bottom w:val="single" w:sz="8" w:space="0" w:color="0D0D0D" w:themeColor="text1" w:themeTint="F2"/>
            </w:tcBorders>
            <w:shd w:val="clear" w:color="auto" w:fill="D9D9D9" w:themeFill="background1" w:themeFillShade="D9"/>
            <w:vAlign w:val="center"/>
          </w:tcPr>
          <w:p w14:paraId="13676B7A" w14:textId="27C7519C" w:rsidR="00154E38" w:rsidRDefault="00154E38" w:rsidP="00154E38">
            <w:r>
              <w:t>0</w:t>
            </w:r>
            <w:r w:rsidRPr="00154E38">
              <w:t>–</w:t>
            </w:r>
            <w:r>
              <w:t>25% (wt/wt)</w:t>
            </w:r>
          </w:p>
        </w:tc>
        <w:tc>
          <w:tcPr>
            <w:tcW w:w="1440" w:type="dxa"/>
            <w:tcBorders>
              <w:bottom w:val="single" w:sz="8" w:space="0" w:color="0D0D0D" w:themeColor="text1" w:themeTint="F2"/>
            </w:tcBorders>
            <w:shd w:val="clear" w:color="auto" w:fill="D9D9D9" w:themeFill="background1" w:themeFillShade="D9"/>
            <w:vAlign w:val="center"/>
          </w:tcPr>
          <w:p w14:paraId="0192F447" w14:textId="01C623B5" w:rsidR="00154E38" w:rsidRDefault="00154E38" w:rsidP="00154E38">
            <w:r>
              <w:t>0.98</w:t>
            </w:r>
            <w:r w:rsidRPr="00154E38">
              <w:t>–</w:t>
            </w:r>
            <w:r>
              <w:t>0.89</w:t>
            </w:r>
          </w:p>
        </w:tc>
        <w:tc>
          <w:tcPr>
            <w:tcW w:w="2610" w:type="dxa"/>
            <w:tcBorders>
              <w:bottom w:val="single" w:sz="8" w:space="0" w:color="0D0D0D" w:themeColor="text1" w:themeTint="F2"/>
            </w:tcBorders>
            <w:shd w:val="clear" w:color="auto" w:fill="D9D9D9" w:themeFill="background1" w:themeFillShade="D9"/>
            <w:vAlign w:val="center"/>
          </w:tcPr>
          <w:p w14:paraId="7DB1E9CF" w14:textId="52785F9C" w:rsidR="00154E38" w:rsidRDefault="00154E38" w:rsidP="00154E38">
            <w:r>
              <w:t xml:space="preserve">Brining with </w:t>
            </w:r>
            <w:r w:rsidR="00DD6EE3" w:rsidRPr="00DD6EE3">
              <w:t>≥</w:t>
            </w:r>
            <w:r w:rsidR="00DD6EE3">
              <w:t>15% NaCl resulted in refrigerated shelf life of 78 days</w:t>
            </w:r>
          </w:p>
        </w:tc>
        <w:tc>
          <w:tcPr>
            <w:tcW w:w="1530" w:type="dxa"/>
            <w:tcBorders>
              <w:bottom w:val="single" w:sz="8" w:space="0" w:color="0D0D0D" w:themeColor="text1" w:themeTint="F2"/>
              <w:right w:val="single" w:sz="8" w:space="0" w:color="0D0D0D" w:themeColor="text1" w:themeTint="F2"/>
            </w:tcBorders>
            <w:shd w:val="clear" w:color="auto" w:fill="D9D9D9" w:themeFill="background1" w:themeFillShade="D9"/>
            <w:vAlign w:val="center"/>
          </w:tcPr>
          <w:p w14:paraId="2D6395E0" w14:textId="673AE7CE" w:rsidR="00154E38" w:rsidRDefault="00DD6EE3" w:rsidP="00154E38">
            <w:r>
              <w:t>Vall-Ilosera et al., 2024</w:t>
            </w:r>
          </w:p>
        </w:tc>
      </w:tr>
    </w:tbl>
    <w:p w14:paraId="1953A8C7" w14:textId="3AED9DC3" w:rsidR="001F3866" w:rsidRDefault="00DD6EE3" w:rsidP="00691E23">
      <w:pPr>
        <w:pStyle w:val="Heading3"/>
      </w:pPr>
      <w:bookmarkStart w:id="206" w:name="_Toc208503284"/>
      <w:r>
        <w:lastRenderedPageBreak/>
        <w:t>Drying</w:t>
      </w:r>
      <w:bookmarkEnd w:id="206"/>
    </w:p>
    <w:p w14:paraId="373738CF" w14:textId="585E5C4E" w:rsidR="00DD6EE3" w:rsidRDefault="00DD6EE3" w:rsidP="00B64049">
      <w:pPr>
        <w:spacing w:before="240"/>
      </w:pPr>
      <w:r>
        <w:t xml:space="preserve">The term “drying” refers to a range of processes aimed at reducing </w:t>
      </w:r>
      <w:hyperlink w:anchor="WaterActivity" w:tooltip="A measure of free or available water in a food, which is different from total water in a food, which is referred to as moisture content. Available water is used by microorganisms for growth; by limiting available water, one reduces aW." w:history="1">
        <w:r w:rsidRPr="00AF729A">
          <w:rPr>
            <w:rStyle w:val="Hyperlink"/>
          </w:rPr>
          <w:t>water activity</w:t>
        </w:r>
      </w:hyperlink>
      <w:r>
        <w:t xml:space="preserve"> or moisture content of seaweed. Common methods include (but are not limited to) sun or static air drying, forced air drying, hot air drying, and freeze drying (USFDA, 2018). Drying is the most common postharvest process method for edible seaweeds and is most often followed by additional processing steps including milling. Seaweeds may be heat treated (e.g., </w:t>
      </w:r>
      <w:hyperlink w:anchor="_Blanching" w:tooltip="Submersion of foods in boiling water or exposure to steam for a short period of time before rapidly cooling. Blanching is commonly done to fix color and stop enzymatic activity. " w:history="1">
        <w:r w:rsidRPr="000B284B">
          <w:rPr>
            <w:rStyle w:val="Hyperlink"/>
          </w:rPr>
          <w:t>blanched</w:t>
        </w:r>
      </w:hyperlink>
      <w:r>
        <w:t xml:space="preserve"> or </w:t>
      </w:r>
      <w:hyperlink w:anchor="_Pasteurization" w:tooltip="A process (commonly heat) applied to foods to reduce the population of a target pathogen to a safe level." w:history="1">
        <w:r w:rsidRPr="00A90B55">
          <w:rPr>
            <w:rStyle w:val="Hyperlink"/>
          </w:rPr>
          <w:t>pasteurized</w:t>
        </w:r>
      </w:hyperlink>
      <w:r>
        <w:t xml:space="preserve">) before drying to enhance safety and/or color (see </w:t>
      </w:r>
      <w:hyperlink w:anchor="_Pathogen_Survival_Through" w:history="1">
        <w:r w:rsidRPr="002033A6">
          <w:rPr>
            <w:rStyle w:val="Hyperlink"/>
          </w:rPr>
          <w:t>Chapter 13</w:t>
        </w:r>
      </w:hyperlink>
      <w:r>
        <w:t>). Lowering water activity (a</w:t>
      </w:r>
      <w:r w:rsidRPr="00DD6EE3">
        <w:rPr>
          <w:vertAlign w:val="subscript"/>
        </w:rPr>
        <w:t>w</w:t>
      </w:r>
      <w:r>
        <w:t>) through drying renders seaweed shelf stable for long periods of time. At present, water activity of seaweeds cannot be accurately estimated from total moisture alone, so moisture contents should not be used to determine if a dried product is safe from microbial growth. Drying effectiveness depends on three main factors: the maximum temperature reached during drying, the time the product spends at temperature, and the final water activity of the finished product.</w:t>
      </w:r>
    </w:p>
    <w:p w14:paraId="5C8B3B62" w14:textId="58F7DC74" w:rsidR="00DD6EE3" w:rsidRDefault="00DD6EE3" w:rsidP="00DD6EE3">
      <w:r>
        <w:t>The FDA currently recommends drying to a water activity below 0.85 for products intended to be stored at ambient temperature (USFDA, 2024). As long as they are packaged to prevent moisture uptake from the environment, intermediate-moisture foods (IMF) should not support the growth of most microorganisms</w:t>
      </w:r>
      <w:r w:rsidR="005A4B2F">
        <w:t>—</w:t>
      </w:r>
      <w:r>
        <w:t xml:space="preserve">including bacterial pathogens. However, there are some microorganisms, like toxigenic fungi, that may grow at a water activity as low as 0.6. If packaging is improper or compromised, IMF can rehydrate by absorbing moisture from the air, potentially reaching water activity levels that support bacterial growth—especially under ambient storage conditions. </w:t>
      </w:r>
      <w:r w:rsidRPr="00DD6EE3">
        <w:rPr>
          <w:i/>
          <w:iCs/>
        </w:rPr>
        <w:t>Staphylococcus</w:t>
      </w:r>
      <w:r>
        <w:t xml:space="preserve"> </w:t>
      </w:r>
      <w:r w:rsidRPr="00DD6EE3">
        <w:rPr>
          <w:i/>
          <w:iCs/>
        </w:rPr>
        <w:t>aureus</w:t>
      </w:r>
      <w:r>
        <w:t xml:space="preserve"> can grow at a water activity as low as 0.84, even with salt levels above 10% wt/wt (USFDA, 2022). </w:t>
      </w:r>
      <w:r w:rsidRPr="00DD6EE3">
        <w:rPr>
          <w:i/>
          <w:iCs/>
        </w:rPr>
        <w:t>Aspergillus</w:t>
      </w:r>
      <w:r>
        <w:t xml:space="preserve"> </w:t>
      </w:r>
      <w:r w:rsidRPr="00DD6EE3">
        <w:rPr>
          <w:i/>
          <w:iCs/>
        </w:rPr>
        <w:t>flavus</w:t>
      </w:r>
      <w:r>
        <w:t>, a fungus that produces a potent carcinogen called aflatoxin, can grow at a water activity of 0.78 or higher and produce toxin at 0.83 or higher (Chu, 2006). Low-moisture foods, those with water activity less than 0.6, should be stable for extended periods even under ambient storage. Most dried seaweeds fall into this category.</w:t>
      </w:r>
    </w:p>
    <w:p w14:paraId="0B0525DD" w14:textId="75134068" w:rsidR="00DD6EE3" w:rsidRDefault="00DD6EE3" w:rsidP="00DD6EE3">
      <w:r>
        <w:t xml:space="preserve">However, as outlined in </w:t>
      </w:r>
      <w:hyperlink w:anchor="_Pathogen_Growth_Due" w:history="1">
        <w:r w:rsidRPr="002033A6">
          <w:rPr>
            <w:rStyle w:val="Hyperlink"/>
          </w:rPr>
          <w:t>Chapter 10</w:t>
        </w:r>
      </w:hyperlink>
      <w:r>
        <w:t xml:space="preserve">, some pathogens can cause illness without growing in the food. Low moisture products are often implicated in outbreaks and recalls. For example, </w:t>
      </w:r>
      <w:r w:rsidRPr="00DD6EE3">
        <w:rPr>
          <w:i/>
          <w:iCs/>
        </w:rPr>
        <w:t>Salmonella</w:t>
      </w:r>
      <w:r>
        <w:t xml:space="preserve"> cannot multiply in dried products but can survive long enough to cause outbreaks if present (Beuchat et al., 2011). For this reason, it is essential to prevent contamination after harvest, especially for dried seaweed that consumers may eat without cooking. Levels of microorganisms on dried seaweeds can be high even though they don’t allow for bacterial growth (see Table 11</w:t>
      </w:r>
      <w:r w:rsidR="002033A6">
        <w:t>-2</w:t>
      </w:r>
      <w:r>
        <w:t xml:space="preserve">). While there are no legal limits for indicator microorganisms, the FDA’s National Advisory Committee on Microbiological Criteria for Foods (MACMCF) suggests that fresh fruits and vegetables should contain less than 100 cells of </w:t>
      </w:r>
      <w:r w:rsidRPr="00DD6EE3">
        <w:rPr>
          <w:i/>
          <w:iCs/>
        </w:rPr>
        <w:t>E. coli</w:t>
      </w:r>
      <w:r>
        <w:t xml:space="preserve"> per gram; dried fruits and vegetables should contain less than 0.36 cells of </w:t>
      </w:r>
      <w:r w:rsidRPr="00DD6EE3">
        <w:rPr>
          <w:i/>
          <w:iCs/>
        </w:rPr>
        <w:t>E. coli</w:t>
      </w:r>
      <w:r>
        <w:t xml:space="preserve"> per gram, and heat-treated fruits and </w:t>
      </w:r>
      <w:r>
        <w:lastRenderedPageBreak/>
        <w:t>vegetables should contain less than 100 coliforms/gram (NACMCF, 2021). Seasonings produced under sanitary conditions should have less than 6-log CFU/g of aerobic mesophiles and less than 4-log CFU/g of coliforms.</w:t>
      </w:r>
    </w:p>
    <w:p w14:paraId="35B1457F" w14:textId="34B4ADD6" w:rsidR="00DD6EE3" w:rsidRDefault="00DD6EE3" w:rsidP="00DD6EE3">
      <w:r>
        <w:t>Concerns around microbial safety vary widely depending on the drying process that is used . Sun drying is the oldest method of drying, where harvested seaweed is either laid flat on a surface (such as a tarp) or hung on a structure (like a clothesline) to dry outdoors at ambient temperature. While this process does not require an energy input, it is dependent on unpredictable local weather conditions such as temperature, relative humidity, and sunlight (UV exposure). Because these factors can be unpredictable, sun drying may be inefficient in some locations and can result in inconsistent moisture content in the final product. In addition, sun drying exposes seaweeds to contamination from sources including animals, insects, and contact with soil.</w:t>
      </w:r>
    </w:p>
    <w:p w14:paraId="3AD24E55" w14:textId="2E9D60A2" w:rsidR="00697B0C" w:rsidRDefault="00DD6EE3" w:rsidP="00DD6EE3">
      <w:pPr>
        <w:sectPr w:rsidR="00697B0C" w:rsidSect="00EB5963">
          <w:pgSz w:w="12240" w:h="15840"/>
          <w:pgMar w:top="1440" w:right="1440" w:bottom="1440" w:left="1440" w:header="720" w:footer="720" w:gutter="0"/>
          <w:pgNumType w:start="1" w:chapStyle="1"/>
          <w:cols w:space="720"/>
          <w:docGrid w:linePitch="360"/>
        </w:sectPr>
      </w:pPr>
      <w:r>
        <w:t xml:space="preserve">Several pathogens of concern can be a problem in dried products, including dried seaweed products. </w:t>
      </w:r>
      <w:r w:rsidRPr="00DD6EE3">
        <w:rPr>
          <w:i/>
          <w:iCs/>
        </w:rPr>
        <w:t>Salmonella</w:t>
      </w:r>
      <w:r>
        <w:t xml:space="preserve"> can survive for long periods in dried foods and has a very low infectious dose—as few as 10 cells. It is often linked to contamination from birds and insects. </w:t>
      </w:r>
      <w:r w:rsidRPr="00DD6EE3">
        <w:rPr>
          <w:i/>
          <w:iCs/>
        </w:rPr>
        <w:t>Bacillus</w:t>
      </w:r>
      <w:r>
        <w:t xml:space="preserve"> </w:t>
      </w:r>
      <w:r w:rsidRPr="00DD6EE3">
        <w:rPr>
          <w:i/>
          <w:iCs/>
        </w:rPr>
        <w:t>cereus</w:t>
      </w:r>
      <w:r>
        <w:t xml:space="preserve"> is a spore forming pathogen commonly found in soil. Its spores can survive drying and may germinate when the product is rehydrated. Certain molds, like toxigenic fungi, are capable of reproducing in intermediate moisture foods (IMF) and produce harmful toxins. These fungi are also commonly associated with soil</w:t>
      </w:r>
      <w:r w:rsidR="00045395">
        <w:t>.</w:t>
      </w:r>
    </w:p>
    <w:p w14:paraId="609EED57" w14:textId="657DF1E7" w:rsidR="00045395" w:rsidRDefault="00045395" w:rsidP="00C54E07">
      <w:pPr>
        <w:pStyle w:val="Caption"/>
      </w:pPr>
      <w:r w:rsidRPr="00045395">
        <w:rPr>
          <w:b/>
          <w:bCs/>
        </w:rPr>
        <w:lastRenderedPageBreak/>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11</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2</w:t>
      </w:r>
      <w:r w:rsidR="00896F22">
        <w:rPr>
          <w:b/>
          <w:bCs/>
        </w:rPr>
        <w:fldChar w:fldCharType="end"/>
      </w:r>
      <w:r w:rsidRPr="00045395">
        <w:rPr>
          <w:b/>
          <w:bCs/>
        </w:rPr>
        <w:t>:</w:t>
      </w:r>
      <w:r>
        <w:t xml:space="preserve"> </w:t>
      </w:r>
      <w:r w:rsidRPr="00E3757B">
        <w:t>Reported microbial counts in dried seaweeds (log CFU/g). Cells labeled “</w:t>
      </w:r>
      <w:r w:rsidRPr="00045395">
        <w:rPr>
          <w:b/>
          <w:bCs/>
        </w:rPr>
        <w:t>NA</w:t>
      </w:r>
      <w:r w:rsidRPr="00E3757B">
        <w:t xml:space="preserve">” indicate </w:t>
      </w:r>
      <w:r>
        <w:t>the microbe was not assessed.</w:t>
      </w:r>
    </w:p>
    <w:tbl>
      <w:tblPr>
        <w:tblStyle w:val="TableGrid"/>
        <w:tblW w:w="14940" w:type="dxa"/>
        <w:tblInd w:w="-905" w:type="dxa"/>
        <w:tblLayout w:type="fixed"/>
        <w:tblLook w:val="04A0" w:firstRow="1" w:lastRow="0" w:firstColumn="1" w:lastColumn="0" w:noHBand="0" w:noVBand="1"/>
      </w:tblPr>
      <w:tblGrid>
        <w:gridCol w:w="1980"/>
        <w:gridCol w:w="2790"/>
        <w:gridCol w:w="990"/>
        <w:gridCol w:w="900"/>
        <w:gridCol w:w="900"/>
        <w:gridCol w:w="1170"/>
        <w:gridCol w:w="1080"/>
        <w:gridCol w:w="990"/>
        <w:gridCol w:w="1170"/>
        <w:gridCol w:w="1260"/>
        <w:gridCol w:w="1710"/>
      </w:tblGrid>
      <w:tr w:rsidR="004A78A0" w14:paraId="73E7D3CC" w14:textId="53F51601" w:rsidTr="008E2322">
        <w:trPr>
          <w:tblHeader/>
        </w:trPr>
        <w:tc>
          <w:tcPr>
            <w:tcW w:w="1980" w:type="dxa"/>
            <w:tcBorders>
              <w:top w:val="single" w:sz="12" w:space="0" w:color="0D0D0D" w:themeColor="text1" w:themeTint="F2"/>
              <w:left w:val="single" w:sz="12" w:space="0" w:color="0D0D0D" w:themeColor="text1" w:themeTint="F2"/>
              <w:bottom w:val="single" w:sz="12" w:space="0" w:color="0D0D0D" w:themeColor="text1" w:themeTint="F2"/>
            </w:tcBorders>
            <w:shd w:val="clear" w:color="auto" w:fill="28666E"/>
            <w:vAlign w:val="center"/>
          </w:tcPr>
          <w:p w14:paraId="3A3574AD" w14:textId="0225B259" w:rsidR="00430E92" w:rsidRPr="00F9694B" w:rsidRDefault="00430E92" w:rsidP="0054509C">
            <w:pPr>
              <w:rPr>
                <w:b/>
                <w:bCs/>
                <w:color w:val="FFFFFF" w:themeColor="background1"/>
              </w:rPr>
            </w:pPr>
            <w:r w:rsidRPr="00F9694B">
              <w:rPr>
                <w:b/>
                <w:bCs/>
                <w:color w:val="FFFFFF" w:themeColor="background1"/>
              </w:rPr>
              <w:t>Species</w:t>
            </w:r>
          </w:p>
        </w:tc>
        <w:tc>
          <w:tcPr>
            <w:tcW w:w="2790" w:type="dxa"/>
            <w:tcBorders>
              <w:top w:val="single" w:sz="12" w:space="0" w:color="0D0D0D" w:themeColor="text1" w:themeTint="F2"/>
              <w:bottom w:val="single" w:sz="12" w:space="0" w:color="0D0D0D" w:themeColor="text1" w:themeTint="F2"/>
            </w:tcBorders>
            <w:shd w:val="clear" w:color="auto" w:fill="28666E"/>
            <w:vAlign w:val="center"/>
          </w:tcPr>
          <w:p w14:paraId="2FC9E0A6" w14:textId="04389E28" w:rsidR="00430E92" w:rsidRPr="00F9694B" w:rsidRDefault="00430E92" w:rsidP="0054509C">
            <w:pPr>
              <w:rPr>
                <w:b/>
                <w:bCs/>
                <w:color w:val="FFFFFF" w:themeColor="background1"/>
              </w:rPr>
            </w:pPr>
            <w:r w:rsidRPr="00F9694B">
              <w:rPr>
                <w:b/>
                <w:bCs/>
                <w:color w:val="FFFFFF" w:themeColor="background1"/>
              </w:rPr>
              <w:t>Source of Sample</w:t>
            </w:r>
          </w:p>
        </w:tc>
        <w:tc>
          <w:tcPr>
            <w:tcW w:w="990" w:type="dxa"/>
            <w:tcBorders>
              <w:top w:val="single" w:sz="12" w:space="0" w:color="0D0D0D" w:themeColor="text1" w:themeTint="F2"/>
              <w:bottom w:val="single" w:sz="12" w:space="0" w:color="0D0D0D" w:themeColor="text1" w:themeTint="F2"/>
            </w:tcBorders>
            <w:shd w:val="clear" w:color="auto" w:fill="28666E"/>
            <w:vAlign w:val="center"/>
          </w:tcPr>
          <w:p w14:paraId="6EBC04F0" w14:textId="4F9E2E78" w:rsidR="00430E92" w:rsidRPr="00F9694B" w:rsidRDefault="00430E92" w:rsidP="0054509C">
            <w:pPr>
              <w:rPr>
                <w:b/>
                <w:bCs/>
                <w:color w:val="FFFFFF" w:themeColor="background1"/>
              </w:rPr>
            </w:pPr>
            <w:r w:rsidRPr="00F9694B">
              <w:rPr>
                <w:b/>
                <w:bCs/>
                <w:color w:val="FFFFFF" w:themeColor="background1"/>
              </w:rPr>
              <w:t>AMB</w:t>
            </w:r>
            <w:r w:rsidR="00E43BF4" w:rsidRPr="00F9694B">
              <w:rPr>
                <w:rStyle w:val="FootnoteReference"/>
                <w:b/>
                <w:bCs/>
                <w:color w:val="FFFFFF" w:themeColor="background1"/>
              </w:rPr>
              <w:footnoteReference w:id="28"/>
            </w:r>
            <w:r w:rsidR="00444472" w:rsidRPr="00F9694B">
              <w:rPr>
                <w:b/>
                <w:bCs/>
                <w:color w:val="FFFFFF" w:themeColor="background1"/>
                <w:vertAlign w:val="superscript"/>
              </w:rPr>
              <w:t>,d</w:t>
            </w:r>
          </w:p>
        </w:tc>
        <w:tc>
          <w:tcPr>
            <w:tcW w:w="900" w:type="dxa"/>
            <w:tcBorders>
              <w:top w:val="single" w:sz="12" w:space="0" w:color="0D0D0D" w:themeColor="text1" w:themeTint="F2"/>
              <w:bottom w:val="single" w:sz="12" w:space="0" w:color="0D0D0D" w:themeColor="text1" w:themeTint="F2"/>
            </w:tcBorders>
            <w:shd w:val="clear" w:color="auto" w:fill="28666E"/>
            <w:vAlign w:val="center"/>
          </w:tcPr>
          <w:p w14:paraId="3E1653B7" w14:textId="62AE27D6" w:rsidR="00430E92" w:rsidRPr="00F9694B" w:rsidRDefault="00430E92" w:rsidP="0054509C">
            <w:pPr>
              <w:rPr>
                <w:b/>
                <w:bCs/>
                <w:color w:val="FFFFFF" w:themeColor="background1"/>
              </w:rPr>
            </w:pPr>
            <w:r w:rsidRPr="00F9694B">
              <w:rPr>
                <w:b/>
                <w:bCs/>
                <w:color w:val="FFFFFF" w:themeColor="background1"/>
              </w:rPr>
              <w:t>HMB</w:t>
            </w:r>
            <w:r w:rsidR="00E43BF4" w:rsidRPr="00F9694B">
              <w:rPr>
                <w:rStyle w:val="FootnoteReference"/>
                <w:b/>
                <w:bCs/>
                <w:color w:val="FFFFFF" w:themeColor="background1"/>
              </w:rPr>
              <w:footnoteReference w:id="29"/>
            </w:r>
          </w:p>
        </w:tc>
        <w:tc>
          <w:tcPr>
            <w:tcW w:w="900" w:type="dxa"/>
            <w:tcBorders>
              <w:top w:val="single" w:sz="12" w:space="0" w:color="0D0D0D" w:themeColor="text1" w:themeTint="F2"/>
              <w:bottom w:val="single" w:sz="12" w:space="0" w:color="0D0D0D" w:themeColor="text1" w:themeTint="F2"/>
            </w:tcBorders>
            <w:shd w:val="clear" w:color="auto" w:fill="28666E"/>
            <w:vAlign w:val="center"/>
          </w:tcPr>
          <w:p w14:paraId="799655F0" w14:textId="57792169" w:rsidR="00430E92" w:rsidRPr="00F9694B" w:rsidRDefault="00430E92" w:rsidP="0054509C">
            <w:pPr>
              <w:rPr>
                <w:b/>
                <w:bCs/>
                <w:color w:val="FFFFFF" w:themeColor="background1"/>
              </w:rPr>
            </w:pPr>
            <w:r w:rsidRPr="00F9694B">
              <w:rPr>
                <w:b/>
                <w:bCs/>
                <w:color w:val="FFFFFF" w:themeColor="background1"/>
              </w:rPr>
              <w:t>Fungi</w:t>
            </w:r>
          </w:p>
        </w:tc>
        <w:tc>
          <w:tcPr>
            <w:tcW w:w="1170" w:type="dxa"/>
            <w:tcBorders>
              <w:top w:val="single" w:sz="12" w:space="0" w:color="0D0D0D" w:themeColor="text1" w:themeTint="F2"/>
              <w:bottom w:val="single" w:sz="12" w:space="0" w:color="0D0D0D" w:themeColor="text1" w:themeTint="F2"/>
            </w:tcBorders>
            <w:shd w:val="clear" w:color="auto" w:fill="28666E"/>
            <w:vAlign w:val="center"/>
          </w:tcPr>
          <w:p w14:paraId="176BDCD0" w14:textId="5C5952DA" w:rsidR="00430E92" w:rsidRPr="00F9694B" w:rsidRDefault="00430E92" w:rsidP="0054509C">
            <w:pPr>
              <w:rPr>
                <w:b/>
                <w:bCs/>
                <w:color w:val="FFFFFF" w:themeColor="background1"/>
              </w:rPr>
            </w:pPr>
            <w:r w:rsidRPr="00F9694B">
              <w:rPr>
                <w:b/>
                <w:bCs/>
                <w:color w:val="FFFFFF" w:themeColor="background1"/>
              </w:rPr>
              <w:t>Coliform</w:t>
            </w:r>
            <w:r w:rsidR="00E43BF4" w:rsidRPr="00F9694B">
              <w:rPr>
                <w:rStyle w:val="FootnoteReference"/>
                <w:b/>
                <w:bCs/>
                <w:color w:val="FFFFFF" w:themeColor="background1"/>
              </w:rPr>
              <w:footnoteReference w:id="30"/>
            </w:r>
          </w:p>
        </w:tc>
        <w:tc>
          <w:tcPr>
            <w:tcW w:w="1080" w:type="dxa"/>
            <w:tcBorders>
              <w:top w:val="single" w:sz="12" w:space="0" w:color="0D0D0D" w:themeColor="text1" w:themeTint="F2"/>
              <w:bottom w:val="single" w:sz="12" w:space="0" w:color="0D0D0D" w:themeColor="text1" w:themeTint="F2"/>
            </w:tcBorders>
            <w:shd w:val="clear" w:color="auto" w:fill="28666E"/>
            <w:vAlign w:val="center"/>
          </w:tcPr>
          <w:p w14:paraId="2002DE86" w14:textId="4A5498D9" w:rsidR="00430E92" w:rsidRPr="00F9694B" w:rsidRDefault="00430E92" w:rsidP="0054509C">
            <w:pPr>
              <w:rPr>
                <w:b/>
                <w:bCs/>
                <w:color w:val="FFFFFF" w:themeColor="background1"/>
              </w:rPr>
            </w:pPr>
            <w:r w:rsidRPr="00F9694B">
              <w:rPr>
                <w:b/>
                <w:bCs/>
                <w:color w:val="FFFFFF" w:themeColor="background1"/>
              </w:rPr>
              <w:t>Fecal Coliform</w:t>
            </w:r>
          </w:p>
        </w:tc>
        <w:tc>
          <w:tcPr>
            <w:tcW w:w="990" w:type="dxa"/>
            <w:tcBorders>
              <w:top w:val="single" w:sz="12" w:space="0" w:color="0D0D0D" w:themeColor="text1" w:themeTint="F2"/>
              <w:bottom w:val="single" w:sz="12" w:space="0" w:color="0D0D0D" w:themeColor="text1" w:themeTint="F2"/>
            </w:tcBorders>
            <w:shd w:val="clear" w:color="auto" w:fill="28666E"/>
            <w:vAlign w:val="center"/>
          </w:tcPr>
          <w:p w14:paraId="291F6EAF" w14:textId="699FF650" w:rsidR="00430E92" w:rsidRPr="00F9694B" w:rsidRDefault="00430E92" w:rsidP="0054509C">
            <w:pPr>
              <w:rPr>
                <w:b/>
                <w:bCs/>
                <w:i/>
                <w:iCs/>
                <w:color w:val="FFFFFF" w:themeColor="background1"/>
              </w:rPr>
            </w:pPr>
            <w:r w:rsidRPr="00F9694B">
              <w:rPr>
                <w:b/>
                <w:bCs/>
                <w:color w:val="FFFFFF" w:themeColor="background1"/>
              </w:rPr>
              <w:t xml:space="preserve">Generic </w:t>
            </w:r>
            <w:r w:rsidRPr="00F9694B">
              <w:rPr>
                <w:b/>
                <w:bCs/>
                <w:i/>
                <w:iCs/>
                <w:color w:val="FFFFFF" w:themeColor="background1"/>
              </w:rPr>
              <w:t>E. coli</w:t>
            </w:r>
            <w:r w:rsidR="00444472" w:rsidRPr="00F9694B">
              <w:rPr>
                <w:rStyle w:val="FootnoteReference"/>
                <w:b/>
                <w:bCs/>
                <w:i/>
                <w:iCs/>
                <w:color w:val="FFFFFF" w:themeColor="background1"/>
              </w:rPr>
              <w:footnoteReference w:id="31"/>
            </w:r>
          </w:p>
        </w:tc>
        <w:tc>
          <w:tcPr>
            <w:tcW w:w="1170" w:type="dxa"/>
            <w:tcBorders>
              <w:top w:val="single" w:sz="12" w:space="0" w:color="0D0D0D" w:themeColor="text1" w:themeTint="F2"/>
              <w:bottom w:val="single" w:sz="12" w:space="0" w:color="0D0D0D" w:themeColor="text1" w:themeTint="F2"/>
            </w:tcBorders>
            <w:shd w:val="clear" w:color="auto" w:fill="28666E"/>
            <w:vAlign w:val="center"/>
          </w:tcPr>
          <w:p w14:paraId="35E5E54C" w14:textId="51BE398F" w:rsidR="00430E92" w:rsidRPr="00F9694B" w:rsidRDefault="00430E92" w:rsidP="0054509C">
            <w:pPr>
              <w:rPr>
                <w:b/>
                <w:bCs/>
                <w:color w:val="FFFFFF" w:themeColor="background1"/>
              </w:rPr>
            </w:pPr>
            <w:r w:rsidRPr="00F9694B">
              <w:rPr>
                <w:b/>
                <w:bCs/>
                <w:i/>
                <w:iCs/>
                <w:color w:val="FFFFFF" w:themeColor="background1"/>
              </w:rPr>
              <w:t>Listeria</w:t>
            </w:r>
            <w:r w:rsidRPr="00F9694B">
              <w:rPr>
                <w:b/>
                <w:bCs/>
                <w:color w:val="FFFFFF" w:themeColor="background1"/>
              </w:rPr>
              <w:t xml:space="preserve"> species</w:t>
            </w:r>
          </w:p>
        </w:tc>
        <w:tc>
          <w:tcPr>
            <w:tcW w:w="1260" w:type="dxa"/>
            <w:tcBorders>
              <w:top w:val="single" w:sz="12" w:space="0" w:color="0D0D0D" w:themeColor="text1" w:themeTint="F2"/>
              <w:bottom w:val="single" w:sz="12" w:space="0" w:color="0D0D0D" w:themeColor="text1" w:themeTint="F2"/>
            </w:tcBorders>
            <w:shd w:val="clear" w:color="auto" w:fill="28666E"/>
            <w:vAlign w:val="center"/>
          </w:tcPr>
          <w:p w14:paraId="4F9A7784" w14:textId="44344CE6" w:rsidR="00430E92" w:rsidRPr="00F9694B" w:rsidRDefault="00430E92" w:rsidP="0054509C">
            <w:pPr>
              <w:rPr>
                <w:b/>
                <w:bCs/>
                <w:color w:val="FFFFFF" w:themeColor="background1"/>
              </w:rPr>
            </w:pPr>
            <w:r w:rsidRPr="00F9694B">
              <w:rPr>
                <w:b/>
                <w:bCs/>
                <w:i/>
                <w:iCs/>
                <w:color w:val="FFFFFF" w:themeColor="background1"/>
              </w:rPr>
              <w:t>Bacillus</w:t>
            </w:r>
            <w:r w:rsidRPr="00F9694B">
              <w:rPr>
                <w:b/>
                <w:bCs/>
                <w:color w:val="FFFFFF" w:themeColor="background1"/>
              </w:rPr>
              <w:t xml:space="preserve"> species</w:t>
            </w:r>
          </w:p>
        </w:tc>
        <w:tc>
          <w:tcPr>
            <w:tcW w:w="1710" w:type="dxa"/>
            <w:tcBorders>
              <w:top w:val="single" w:sz="12" w:space="0" w:color="0D0D0D" w:themeColor="text1" w:themeTint="F2"/>
              <w:bottom w:val="single" w:sz="12" w:space="0" w:color="0D0D0D" w:themeColor="text1" w:themeTint="F2"/>
              <w:right w:val="single" w:sz="12" w:space="0" w:color="0D0D0D" w:themeColor="text1" w:themeTint="F2"/>
            </w:tcBorders>
            <w:shd w:val="clear" w:color="auto" w:fill="28666E"/>
            <w:vAlign w:val="center"/>
          </w:tcPr>
          <w:p w14:paraId="7C5A15BA" w14:textId="1D71B18A" w:rsidR="00430E92" w:rsidRPr="00F9694B" w:rsidRDefault="00430E92" w:rsidP="0054509C">
            <w:pPr>
              <w:rPr>
                <w:b/>
                <w:bCs/>
                <w:color w:val="FFFFFF" w:themeColor="background1"/>
              </w:rPr>
            </w:pPr>
            <w:r w:rsidRPr="00F9694B">
              <w:rPr>
                <w:b/>
                <w:bCs/>
                <w:color w:val="FFFFFF" w:themeColor="background1"/>
              </w:rPr>
              <w:t>Reference</w:t>
            </w:r>
          </w:p>
        </w:tc>
      </w:tr>
      <w:tr w:rsidR="004A78A0" w14:paraId="1E959893" w14:textId="270079F5" w:rsidTr="008E2322">
        <w:tc>
          <w:tcPr>
            <w:tcW w:w="1980" w:type="dxa"/>
            <w:tcBorders>
              <w:top w:val="single" w:sz="12" w:space="0" w:color="0D0D0D" w:themeColor="text1" w:themeTint="F2"/>
              <w:left w:val="single" w:sz="12" w:space="0" w:color="0D0D0D" w:themeColor="text1" w:themeTint="F2"/>
              <w:bottom w:val="single" w:sz="12" w:space="0" w:color="0D0D0D" w:themeColor="text1" w:themeTint="F2"/>
            </w:tcBorders>
            <w:shd w:val="clear" w:color="auto" w:fill="D9D9D9" w:themeFill="background1" w:themeFillShade="D9"/>
          </w:tcPr>
          <w:p w14:paraId="1FB538F0" w14:textId="675C4D5F" w:rsidR="00430E92" w:rsidRPr="00430E92" w:rsidRDefault="00430E92" w:rsidP="00DD6EE3">
            <w:pPr>
              <w:rPr>
                <w:i/>
                <w:iCs/>
              </w:rPr>
            </w:pPr>
            <w:r>
              <w:rPr>
                <w:i/>
                <w:iCs/>
              </w:rPr>
              <w:t>Chondrus crispus</w:t>
            </w:r>
          </w:p>
        </w:tc>
        <w:tc>
          <w:tcPr>
            <w:tcW w:w="2790" w:type="dxa"/>
            <w:tcBorders>
              <w:top w:val="single" w:sz="12" w:space="0" w:color="0D0D0D" w:themeColor="text1" w:themeTint="F2"/>
              <w:bottom w:val="single" w:sz="12" w:space="0" w:color="0D0D0D" w:themeColor="text1" w:themeTint="F2"/>
            </w:tcBorders>
            <w:shd w:val="clear" w:color="auto" w:fill="D9D9D9" w:themeFill="background1" w:themeFillShade="D9"/>
          </w:tcPr>
          <w:p w14:paraId="06562489" w14:textId="6C5FB4B1" w:rsidR="00430E92" w:rsidRDefault="00430E92" w:rsidP="00DD6EE3">
            <w:r w:rsidRPr="00430E92">
              <w:t>Farmed (integrated multitrophic aquaculture), commercially dried, subsequently freeze dried</w:t>
            </w:r>
          </w:p>
        </w:tc>
        <w:tc>
          <w:tcPr>
            <w:tcW w:w="99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31C44AFA" w14:textId="40B16865" w:rsidR="00430E92" w:rsidRDefault="004A78A0" w:rsidP="00513D75">
            <w:r>
              <w:t>4.3</w:t>
            </w:r>
          </w:p>
        </w:tc>
        <w:tc>
          <w:tcPr>
            <w:tcW w:w="90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527D1CEE" w14:textId="5169726B" w:rsidR="00430E92" w:rsidRDefault="004A78A0" w:rsidP="00513D75">
            <w:r>
              <w:t>4.9</w:t>
            </w:r>
          </w:p>
        </w:tc>
        <w:tc>
          <w:tcPr>
            <w:tcW w:w="90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24CBB493" w14:textId="1452BF90" w:rsidR="00430E92" w:rsidRDefault="004A78A0" w:rsidP="00513D75">
            <w:r>
              <w:t>N</w:t>
            </w:r>
            <w:r w:rsidR="00E43BF4">
              <w:t>A</w:t>
            </w:r>
          </w:p>
        </w:tc>
        <w:tc>
          <w:tcPr>
            <w:tcW w:w="117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35DB2446" w14:textId="47C47F46" w:rsidR="00430E92" w:rsidRDefault="004A78A0" w:rsidP="00513D75">
            <w:r>
              <w:t>3.0</w:t>
            </w:r>
          </w:p>
        </w:tc>
        <w:tc>
          <w:tcPr>
            <w:tcW w:w="108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330B661A" w14:textId="681FAC13" w:rsidR="00430E92" w:rsidRPr="00CC1C9B" w:rsidRDefault="00CC1C9B" w:rsidP="00513D75">
            <w:r w:rsidRPr="00CC1C9B">
              <w:t>NA</w:t>
            </w:r>
          </w:p>
        </w:tc>
        <w:tc>
          <w:tcPr>
            <w:tcW w:w="99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5758B0A9" w14:textId="75551D77" w:rsidR="00430E92" w:rsidRDefault="00CC1C9B" w:rsidP="00513D75">
            <w:r w:rsidRPr="007D7832">
              <w:rPr>
                <w:b/>
                <w:bCs/>
              </w:rPr>
              <w:t>2.5</w:t>
            </w:r>
          </w:p>
        </w:tc>
        <w:tc>
          <w:tcPr>
            <w:tcW w:w="117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007E2C99" w14:textId="24010898" w:rsidR="00430E92" w:rsidRDefault="004A78A0" w:rsidP="00513D75">
            <w:r>
              <w:t>NA</w:t>
            </w:r>
          </w:p>
        </w:tc>
        <w:tc>
          <w:tcPr>
            <w:tcW w:w="126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03819DF6" w14:textId="56B3779A" w:rsidR="00430E92" w:rsidRDefault="004A78A0" w:rsidP="00513D75">
            <w:r>
              <w:t>NA</w:t>
            </w:r>
          </w:p>
        </w:tc>
        <w:tc>
          <w:tcPr>
            <w:tcW w:w="1710" w:type="dxa"/>
            <w:tcBorders>
              <w:top w:val="single" w:sz="12" w:space="0" w:color="0D0D0D" w:themeColor="text1" w:themeTint="F2"/>
              <w:bottom w:val="single" w:sz="12" w:space="0" w:color="0D0D0D" w:themeColor="text1" w:themeTint="F2"/>
              <w:right w:val="single" w:sz="12" w:space="0" w:color="0D0D0D" w:themeColor="text1" w:themeTint="F2"/>
            </w:tcBorders>
            <w:shd w:val="clear" w:color="auto" w:fill="D9D9D9" w:themeFill="background1" w:themeFillShade="D9"/>
          </w:tcPr>
          <w:p w14:paraId="5853695E" w14:textId="0B2624D6" w:rsidR="00430E92" w:rsidRDefault="004A78A0" w:rsidP="00DD6EE3">
            <w:r>
              <w:t>Campos et al., 2022</w:t>
            </w:r>
          </w:p>
        </w:tc>
      </w:tr>
      <w:tr w:rsidR="004A78A0" w14:paraId="782CC097" w14:textId="12FE324A" w:rsidTr="008E2322">
        <w:tc>
          <w:tcPr>
            <w:tcW w:w="1980" w:type="dxa"/>
            <w:tcBorders>
              <w:top w:val="single" w:sz="12" w:space="0" w:color="0D0D0D" w:themeColor="text1" w:themeTint="F2"/>
              <w:left w:val="single" w:sz="12" w:space="0" w:color="0D0D0D" w:themeColor="text1" w:themeTint="F2"/>
              <w:bottom w:val="single" w:sz="12" w:space="0" w:color="0D0D0D" w:themeColor="text1" w:themeTint="F2"/>
            </w:tcBorders>
          </w:tcPr>
          <w:p w14:paraId="6C0AF2D5" w14:textId="4D6056DD" w:rsidR="00430E92" w:rsidRPr="00430E92" w:rsidRDefault="00430E92" w:rsidP="00DD6EE3">
            <w:pPr>
              <w:rPr>
                <w:i/>
                <w:iCs/>
              </w:rPr>
            </w:pPr>
            <w:r>
              <w:rPr>
                <w:i/>
                <w:iCs/>
              </w:rPr>
              <w:t>Hizikia fusiformis</w:t>
            </w:r>
          </w:p>
        </w:tc>
        <w:tc>
          <w:tcPr>
            <w:tcW w:w="2790" w:type="dxa"/>
            <w:tcBorders>
              <w:top w:val="single" w:sz="12" w:space="0" w:color="0D0D0D" w:themeColor="text1" w:themeTint="F2"/>
              <w:bottom w:val="single" w:sz="12" w:space="0" w:color="0D0D0D" w:themeColor="text1" w:themeTint="F2"/>
            </w:tcBorders>
          </w:tcPr>
          <w:p w14:paraId="7B12D577" w14:textId="04D846BC" w:rsidR="00430E92" w:rsidRDefault="00687EE5" w:rsidP="00687EE5">
            <w:r>
              <w:t>Retail, RTE samples purchased in Italy</w:t>
            </w:r>
          </w:p>
        </w:tc>
        <w:tc>
          <w:tcPr>
            <w:tcW w:w="990" w:type="dxa"/>
            <w:tcBorders>
              <w:top w:val="single" w:sz="12" w:space="0" w:color="0D0D0D" w:themeColor="text1" w:themeTint="F2"/>
              <w:bottom w:val="single" w:sz="12" w:space="0" w:color="0D0D0D" w:themeColor="text1" w:themeTint="F2"/>
            </w:tcBorders>
            <w:vAlign w:val="center"/>
          </w:tcPr>
          <w:p w14:paraId="1C943709" w14:textId="0E1380E7" w:rsidR="00430E92" w:rsidRDefault="004A78A0" w:rsidP="00513D75">
            <w:r>
              <w:t>2.8</w:t>
            </w:r>
          </w:p>
        </w:tc>
        <w:tc>
          <w:tcPr>
            <w:tcW w:w="900" w:type="dxa"/>
            <w:tcBorders>
              <w:top w:val="single" w:sz="12" w:space="0" w:color="0D0D0D" w:themeColor="text1" w:themeTint="F2"/>
              <w:bottom w:val="single" w:sz="12" w:space="0" w:color="0D0D0D" w:themeColor="text1" w:themeTint="F2"/>
            </w:tcBorders>
            <w:vAlign w:val="center"/>
          </w:tcPr>
          <w:p w14:paraId="7D101108" w14:textId="7BB9245E" w:rsidR="00430E92" w:rsidRDefault="004A78A0" w:rsidP="00513D75">
            <w:r>
              <w:t>2.2</w:t>
            </w:r>
          </w:p>
        </w:tc>
        <w:tc>
          <w:tcPr>
            <w:tcW w:w="900" w:type="dxa"/>
            <w:tcBorders>
              <w:top w:val="single" w:sz="12" w:space="0" w:color="0D0D0D" w:themeColor="text1" w:themeTint="F2"/>
              <w:bottom w:val="single" w:sz="12" w:space="0" w:color="0D0D0D" w:themeColor="text1" w:themeTint="F2"/>
            </w:tcBorders>
            <w:vAlign w:val="center"/>
          </w:tcPr>
          <w:p w14:paraId="6C6A6C05" w14:textId="240CF331" w:rsidR="00430E92" w:rsidRDefault="004A78A0" w:rsidP="00513D75">
            <w:r>
              <w:t>3.3</w:t>
            </w:r>
          </w:p>
        </w:tc>
        <w:tc>
          <w:tcPr>
            <w:tcW w:w="1170" w:type="dxa"/>
            <w:tcBorders>
              <w:top w:val="single" w:sz="12" w:space="0" w:color="0D0D0D" w:themeColor="text1" w:themeTint="F2"/>
              <w:bottom w:val="single" w:sz="12" w:space="0" w:color="0D0D0D" w:themeColor="text1" w:themeTint="F2"/>
            </w:tcBorders>
            <w:vAlign w:val="center"/>
          </w:tcPr>
          <w:p w14:paraId="49BEEF6E" w14:textId="2F3F0E40" w:rsidR="00430E92" w:rsidRDefault="004A78A0" w:rsidP="00513D75">
            <w:r>
              <w:t>&lt;2.0</w:t>
            </w:r>
          </w:p>
        </w:tc>
        <w:tc>
          <w:tcPr>
            <w:tcW w:w="1080" w:type="dxa"/>
            <w:tcBorders>
              <w:top w:val="single" w:sz="12" w:space="0" w:color="0D0D0D" w:themeColor="text1" w:themeTint="F2"/>
              <w:bottom w:val="single" w:sz="12" w:space="0" w:color="0D0D0D" w:themeColor="text1" w:themeTint="F2"/>
            </w:tcBorders>
            <w:vAlign w:val="center"/>
          </w:tcPr>
          <w:p w14:paraId="3CF4334A" w14:textId="3D211F4C" w:rsidR="00430E92" w:rsidRDefault="004A78A0" w:rsidP="00513D75">
            <w:r>
              <w:t>NA</w:t>
            </w:r>
          </w:p>
        </w:tc>
        <w:tc>
          <w:tcPr>
            <w:tcW w:w="990" w:type="dxa"/>
            <w:tcBorders>
              <w:top w:val="single" w:sz="12" w:space="0" w:color="0D0D0D" w:themeColor="text1" w:themeTint="F2"/>
              <w:bottom w:val="single" w:sz="12" w:space="0" w:color="0D0D0D" w:themeColor="text1" w:themeTint="F2"/>
            </w:tcBorders>
            <w:vAlign w:val="center"/>
          </w:tcPr>
          <w:p w14:paraId="7F608009" w14:textId="1F6EFFF2" w:rsidR="00430E92" w:rsidRDefault="004A78A0" w:rsidP="00513D75">
            <w:r>
              <w:t>NA</w:t>
            </w:r>
          </w:p>
        </w:tc>
        <w:tc>
          <w:tcPr>
            <w:tcW w:w="1170" w:type="dxa"/>
            <w:tcBorders>
              <w:top w:val="single" w:sz="12" w:space="0" w:color="0D0D0D" w:themeColor="text1" w:themeTint="F2"/>
              <w:bottom w:val="single" w:sz="12" w:space="0" w:color="0D0D0D" w:themeColor="text1" w:themeTint="F2"/>
            </w:tcBorders>
            <w:vAlign w:val="center"/>
          </w:tcPr>
          <w:p w14:paraId="341CD786" w14:textId="5666A799" w:rsidR="00430E92" w:rsidRDefault="004A78A0" w:rsidP="00513D75">
            <w:r>
              <w:t>&lt;2.0</w:t>
            </w:r>
          </w:p>
        </w:tc>
        <w:tc>
          <w:tcPr>
            <w:tcW w:w="1260" w:type="dxa"/>
            <w:tcBorders>
              <w:top w:val="single" w:sz="12" w:space="0" w:color="0D0D0D" w:themeColor="text1" w:themeTint="F2"/>
              <w:bottom w:val="single" w:sz="12" w:space="0" w:color="0D0D0D" w:themeColor="text1" w:themeTint="F2"/>
            </w:tcBorders>
            <w:vAlign w:val="center"/>
          </w:tcPr>
          <w:p w14:paraId="51850C11" w14:textId="23455969" w:rsidR="00430E92" w:rsidRDefault="004A78A0" w:rsidP="00513D75">
            <w:r>
              <w:t>&lt;2.0</w:t>
            </w:r>
          </w:p>
        </w:tc>
        <w:tc>
          <w:tcPr>
            <w:tcW w:w="1710" w:type="dxa"/>
            <w:tcBorders>
              <w:top w:val="single" w:sz="12" w:space="0" w:color="0D0D0D" w:themeColor="text1" w:themeTint="F2"/>
              <w:bottom w:val="single" w:sz="12" w:space="0" w:color="0D0D0D" w:themeColor="text1" w:themeTint="F2"/>
              <w:right w:val="single" w:sz="12" w:space="0" w:color="0D0D0D" w:themeColor="text1" w:themeTint="F2"/>
            </w:tcBorders>
          </w:tcPr>
          <w:p w14:paraId="3CDBED04" w14:textId="15EC2E82" w:rsidR="00430E92" w:rsidRDefault="004A78A0" w:rsidP="00DD6EE3">
            <w:r>
              <w:t>Martelli et al., 2021</w:t>
            </w:r>
          </w:p>
        </w:tc>
      </w:tr>
      <w:tr w:rsidR="004A78A0" w14:paraId="6788EA0F" w14:textId="5C208BC4" w:rsidTr="008E2322">
        <w:tc>
          <w:tcPr>
            <w:tcW w:w="1980" w:type="dxa"/>
            <w:tcBorders>
              <w:top w:val="single" w:sz="12" w:space="0" w:color="0D0D0D" w:themeColor="text1" w:themeTint="F2"/>
              <w:left w:val="single" w:sz="12" w:space="0" w:color="0D0D0D" w:themeColor="text1" w:themeTint="F2"/>
              <w:bottom w:val="single" w:sz="12" w:space="0" w:color="0D0D0D" w:themeColor="text1" w:themeTint="F2"/>
            </w:tcBorders>
            <w:shd w:val="clear" w:color="auto" w:fill="D9D9D9" w:themeFill="background1" w:themeFillShade="D9"/>
          </w:tcPr>
          <w:p w14:paraId="67E54794" w14:textId="45E6E459" w:rsidR="00430E92" w:rsidRPr="00687EE5" w:rsidRDefault="00687EE5" w:rsidP="00DD6EE3">
            <w:r>
              <w:rPr>
                <w:i/>
                <w:iCs/>
              </w:rPr>
              <w:t>Laminaria</w:t>
            </w:r>
            <w:r>
              <w:t xml:space="preserve"> species</w:t>
            </w:r>
          </w:p>
        </w:tc>
        <w:tc>
          <w:tcPr>
            <w:tcW w:w="2790" w:type="dxa"/>
            <w:tcBorders>
              <w:top w:val="single" w:sz="12" w:space="0" w:color="0D0D0D" w:themeColor="text1" w:themeTint="F2"/>
              <w:bottom w:val="single" w:sz="12" w:space="0" w:color="0D0D0D" w:themeColor="text1" w:themeTint="F2"/>
            </w:tcBorders>
            <w:shd w:val="clear" w:color="auto" w:fill="D9D9D9" w:themeFill="background1" w:themeFillShade="D9"/>
          </w:tcPr>
          <w:p w14:paraId="61F7FA2A" w14:textId="26B90FEC" w:rsidR="00430E92" w:rsidRDefault="00687EE5" w:rsidP="00DD6EE3">
            <w:r w:rsidRPr="00687EE5">
              <w:t>Retail, RTE samples purchased in Italy</w:t>
            </w:r>
          </w:p>
        </w:tc>
        <w:tc>
          <w:tcPr>
            <w:tcW w:w="99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014511B3" w14:textId="76D4B7B4" w:rsidR="00430E92" w:rsidRDefault="004A78A0" w:rsidP="00513D75">
            <w:r>
              <w:t>2.9</w:t>
            </w:r>
          </w:p>
        </w:tc>
        <w:tc>
          <w:tcPr>
            <w:tcW w:w="90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51C4BDD8" w14:textId="2494F6AA" w:rsidR="00430E92" w:rsidRDefault="004A78A0" w:rsidP="00513D75">
            <w:r>
              <w:t>3.4</w:t>
            </w:r>
          </w:p>
        </w:tc>
        <w:tc>
          <w:tcPr>
            <w:tcW w:w="90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03B3DBB1" w14:textId="39BCA639" w:rsidR="00430E92" w:rsidRDefault="004A78A0" w:rsidP="00513D75">
            <w:r>
              <w:t>2.7</w:t>
            </w:r>
          </w:p>
        </w:tc>
        <w:tc>
          <w:tcPr>
            <w:tcW w:w="117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25FFDA89" w14:textId="4CB97842" w:rsidR="00430E92" w:rsidRDefault="004A78A0" w:rsidP="00513D75">
            <w:r>
              <w:t>2.2</w:t>
            </w:r>
          </w:p>
        </w:tc>
        <w:tc>
          <w:tcPr>
            <w:tcW w:w="108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636F8D50" w14:textId="3ABA829F" w:rsidR="00430E92" w:rsidRDefault="004A78A0" w:rsidP="00513D75">
            <w:r>
              <w:t>NA</w:t>
            </w:r>
          </w:p>
        </w:tc>
        <w:tc>
          <w:tcPr>
            <w:tcW w:w="99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498D2435" w14:textId="2D2FD79A" w:rsidR="00430E92" w:rsidRDefault="004A78A0" w:rsidP="00513D75">
            <w:r>
              <w:t>NA</w:t>
            </w:r>
          </w:p>
        </w:tc>
        <w:tc>
          <w:tcPr>
            <w:tcW w:w="117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46B2DF8B" w14:textId="1D66845A" w:rsidR="00430E92" w:rsidRDefault="004A78A0" w:rsidP="00513D75">
            <w:r>
              <w:t>&lt;2.0</w:t>
            </w:r>
          </w:p>
        </w:tc>
        <w:tc>
          <w:tcPr>
            <w:tcW w:w="126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5736AC9D" w14:textId="25C07042" w:rsidR="00430E92" w:rsidRDefault="004A78A0" w:rsidP="00513D75">
            <w:r>
              <w:t>&lt;2.0</w:t>
            </w:r>
          </w:p>
        </w:tc>
        <w:tc>
          <w:tcPr>
            <w:tcW w:w="1710" w:type="dxa"/>
            <w:tcBorders>
              <w:top w:val="single" w:sz="12" w:space="0" w:color="0D0D0D" w:themeColor="text1" w:themeTint="F2"/>
              <w:bottom w:val="single" w:sz="12" w:space="0" w:color="0D0D0D" w:themeColor="text1" w:themeTint="F2"/>
              <w:right w:val="single" w:sz="12" w:space="0" w:color="0D0D0D" w:themeColor="text1" w:themeTint="F2"/>
            </w:tcBorders>
            <w:shd w:val="clear" w:color="auto" w:fill="D9D9D9" w:themeFill="background1" w:themeFillShade="D9"/>
          </w:tcPr>
          <w:p w14:paraId="679ECBD2" w14:textId="4DA9AFB6" w:rsidR="00430E92" w:rsidRDefault="004A78A0" w:rsidP="00DD6EE3">
            <w:r>
              <w:t>Martelli et al., 2021</w:t>
            </w:r>
          </w:p>
        </w:tc>
      </w:tr>
      <w:tr w:rsidR="004A78A0" w14:paraId="438E1EEF" w14:textId="51FE2D86" w:rsidTr="008E2322">
        <w:tc>
          <w:tcPr>
            <w:tcW w:w="1980" w:type="dxa"/>
            <w:tcBorders>
              <w:top w:val="single" w:sz="12" w:space="0" w:color="0D0D0D" w:themeColor="text1" w:themeTint="F2"/>
              <w:left w:val="single" w:sz="12" w:space="0" w:color="0D0D0D" w:themeColor="text1" w:themeTint="F2"/>
            </w:tcBorders>
          </w:tcPr>
          <w:p w14:paraId="0A88384A" w14:textId="42B52B4D" w:rsidR="00430E92" w:rsidRPr="00687EE5" w:rsidRDefault="00687EE5" w:rsidP="00DD6EE3">
            <w:pPr>
              <w:rPr>
                <w:i/>
                <w:iCs/>
              </w:rPr>
            </w:pPr>
            <w:r>
              <w:rPr>
                <w:i/>
                <w:iCs/>
              </w:rPr>
              <w:t>Palmaria palmata</w:t>
            </w:r>
          </w:p>
        </w:tc>
        <w:tc>
          <w:tcPr>
            <w:tcW w:w="2790" w:type="dxa"/>
            <w:tcBorders>
              <w:top w:val="single" w:sz="12" w:space="0" w:color="0D0D0D" w:themeColor="text1" w:themeTint="F2"/>
            </w:tcBorders>
          </w:tcPr>
          <w:p w14:paraId="26E42582" w14:textId="0A3445A4" w:rsidR="00430E92" w:rsidRDefault="004A78A0" w:rsidP="00DD6EE3">
            <w:r w:rsidRPr="004A78A0">
              <w:t>Retail, RTE samples purchased in Italy</w:t>
            </w:r>
          </w:p>
        </w:tc>
        <w:tc>
          <w:tcPr>
            <w:tcW w:w="990" w:type="dxa"/>
            <w:tcBorders>
              <w:top w:val="single" w:sz="12" w:space="0" w:color="0D0D0D" w:themeColor="text1" w:themeTint="F2"/>
            </w:tcBorders>
            <w:vAlign w:val="center"/>
          </w:tcPr>
          <w:p w14:paraId="197FAFAA" w14:textId="2B605671" w:rsidR="00430E92" w:rsidRDefault="004A78A0" w:rsidP="00513D75">
            <w:r>
              <w:t>3.4</w:t>
            </w:r>
          </w:p>
        </w:tc>
        <w:tc>
          <w:tcPr>
            <w:tcW w:w="900" w:type="dxa"/>
            <w:tcBorders>
              <w:top w:val="single" w:sz="12" w:space="0" w:color="0D0D0D" w:themeColor="text1" w:themeTint="F2"/>
            </w:tcBorders>
            <w:vAlign w:val="center"/>
          </w:tcPr>
          <w:p w14:paraId="5282D284" w14:textId="09B9EC40" w:rsidR="00430E92" w:rsidRDefault="004A78A0" w:rsidP="00513D75">
            <w:r>
              <w:t>4.2</w:t>
            </w:r>
          </w:p>
        </w:tc>
        <w:tc>
          <w:tcPr>
            <w:tcW w:w="900" w:type="dxa"/>
            <w:tcBorders>
              <w:top w:val="single" w:sz="12" w:space="0" w:color="0D0D0D" w:themeColor="text1" w:themeTint="F2"/>
            </w:tcBorders>
            <w:vAlign w:val="center"/>
          </w:tcPr>
          <w:p w14:paraId="7FD2EFE9" w14:textId="31BE0D44" w:rsidR="00430E92" w:rsidRDefault="004A78A0" w:rsidP="00513D75">
            <w:r>
              <w:t>2.7</w:t>
            </w:r>
          </w:p>
        </w:tc>
        <w:tc>
          <w:tcPr>
            <w:tcW w:w="1170" w:type="dxa"/>
            <w:tcBorders>
              <w:top w:val="single" w:sz="12" w:space="0" w:color="0D0D0D" w:themeColor="text1" w:themeTint="F2"/>
            </w:tcBorders>
            <w:vAlign w:val="center"/>
          </w:tcPr>
          <w:p w14:paraId="5A4AB54E" w14:textId="567A6EFE" w:rsidR="00430E92" w:rsidRDefault="004A78A0" w:rsidP="00513D75">
            <w:r>
              <w:t>&lt;2.0</w:t>
            </w:r>
          </w:p>
        </w:tc>
        <w:tc>
          <w:tcPr>
            <w:tcW w:w="1080" w:type="dxa"/>
            <w:tcBorders>
              <w:top w:val="single" w:sz="12" w:space="0" w:color="0D0D0D" w:themeColor="text1" w:themeTint="F2"/>
            </w:tcBorders>
            <w:vAlign w:val="center"/>
          </w:tcPr>
          <w:p w14:paraId="7F1A4E52" w14:textId="2031E9B3" w:rsidR="00430E92" w:rsidRDefault="004A78A0" w:rsidP="00513D75">
            <w:r>
              <w:t>NA</w:t>
            </w:r>
          </w:p>
        </w:tc>
        <w:tc>
          <w:tcPr>
            <w:tcW w:w="990" w:type="dxa"/>
            <w:tcBorders>
              <w:top w:val="single" w:sz="12" w:space="0" w:color="0D0D0D" w:themeColor="text1" w:themeTint="F2"/>
            </w:tcBorders>
            <w:vAlign w:val="center"/>
          </w:tcPr>
          <w:p w14:paraId="2F3B8997" w14:textId="1577BA39" w:rsidR="00430E92" w:rsidRDefault="004A78A0" w:rsidP="00513D75">
            <w:r>
              <w:t>NA</w:t>
            </w:r>
          </w:p>
        </w:tc>
        <w:tc>
          <w:tcPr>
            <w:tcW w:w="1170" w:type="dxa"/>
            <w:tcBorders>
              <w:top w:val="single" w:sz="12" w:space="0" w:color="0D0D0D" w:themeColor="text1" w:themeTint="F2"/>
            </w:tcBorders>
            <w:vAlign w:val="center"/>
          </w:tcPr>
          <w:p w14:paraId="1A1A2B9E" w14:textId="0274854B" w:rsidR="00430E92" w:rsidRDefault="004A78A0" w:rsidP="00513D75">
            <w:r>
              <w:t>&lt;2.0</w:t>
            </w:r>
          </w:p>
        </w:tc>
        <w:tc>
          <w:tcPr>
            <w:tcW w:w="1260" w:type="dxa"/>
            <w:tcBorders>
              <w:top w:val="single" w:sz="12" w:space="0" w:color="0D0D0D" w:themeColor="text1" w:themeTint="F2"/>
            </w:tcBorders>
            <w:vAlign w:val="center"/>
          </w:tcPr>
          <w:p w14:paraId="790803FE" w14:textId="394C8CA9" w:rsidR="00430E92" w:rsidRDefault="004A78A0" w:rsidP="00513D75">
            <w:r>
              <w:t>&lt;2.0</w:t>
            </w:r>
          </w:p>
        </w:tc>
        <w:tc>
          <w:tcPr>
            <w:tcW w:w="1710" w:type="dxa"/>
            <w:tcBorders>
              <w:top w:val="single" w:sz="12" w:space="0" w:color="0D0D0D" w:themeColor="text1" w:themeTint="F2"/>
              <w:right w:val="single" w:sz="12" w:space="0" w:color="0D0D0D" w:themeColor="text1" w:themeTint="F2"/>
            </w:tcBorders>
          </w:tcPr>
          <w:p w14:paraId="1F255FA6" w14:textId="142489AC" w:rsidR="00430E92" w:rsidRDefault="004A78A0" w:rsidP="00DD6EE3">
            <w:r w:rsidRPr="004A78A0">
              <w:t>Martelli et al., 2021</w:t>
            </w:r>
          </w:p>
        </w:tc>
      </w:tr>
      <w:tr w:rsidR="004A78A0" w14:paraId="3095D33A" w14:textId="77D32158" w:rsidTr="008E2322">
        <w:tc>
          <w:tcPr>
            <w:tcW w:w="1980" w:type="dxa"/>
            <w:tcBorders>
              <w:left w:val="single" w:sz="12" w:space="0" w:color="0D0D0D" w:themeColor="text1" w:themeTint="F2"/>
            </w:tcBorders>
            <w:shd w:val="clear" w:color="auto" w:fill="D9D9D9" w:themeFill="background1" w:themeFillShade="D9"/>
          </w:tcPr>
          <w:p w14:paraId="3E4593D0" w14:textId="463F282D" w:rsidR="00430E92" w:rsidRDefault="00687EE5" w:rsidP="00DD6EE3">
            <w:r>
              <w:rPr>
                <w:i/>
                <w:iCs/>
              </w:rPr>
              <w:t>Palmaria palmata</w:t>
            </w:r>
          </w:p>
        </w:tc>
        <w:tc>
          <w:tcPr>
            <w:tcW w:w="2790" w:type="dxa"/>
            <w:shd w:val="clear" w:color="auto" w:fill="D9D9D9" w:themeFill="background1" w:themeFillShade="D9"/>
          </w:tcPr>
          <w:p w14:paraId="0E445600" w14:textId="45085488" w:rsidR="00430E92" w:rsidRDefault="004A78A0" w:rsidP="00DD6EE3">
            <w:r w:rsidRPr="004A78A0">
              <w:t>Experimentally dried (32°C, 24h), a</w:t>
            </w:r>
            <w:r w:rsidRPr="004A78A0">
              <w:rPr>
                <w:vertAlign w:val="subscript"/>
              </w:rPr>
              <w:t>w</w:t>
            </w:r>
            <w:r w:rsidRPr="004A78A0">
              <w:t xml:space="preserve"> 0.28</w:t>
            </w:r>
          </w:p>
        </w:tc>
        <w:tc>
          <w:tcPr>
            <w:tcW w:w="990" w:type="dxa"/>
            <w:shd w:val="clear" w:color="auto" w:fill="D9D9D9" w:themeFill="background1" w:themeFillShade="D9"/>
            <w:vAlign w:val="center"/>
          </w:tcPr>
          <w:p w14:paraId="6EA403C1" w14:textId="1341920C" w:rsidR="00430E92" w:rsidRDefault="004A78A0" w:rsidP="00513D75">
            <w:r>
              <w:t>3.0</w:t>
            </w:r>
          </w:p>
        </w:tc>
        <w:tc>
          <w:tcPr>
            <w:tcW w:w="900" w:type="dxa"/>
            <w:shd w:val="clear" w:color="auto" w:fill="D9D9D9" w:themeFill="background1" w:themeFillShade="D9"/>
            <w:vAlign w:val="center"/>
          </w:tcPr>
          <w:p w14:paraId="25310770" w14:textId="44B27207" w:rsidR="00430E92" w:rsidRDefault="004A78A0" w:rsidP="00513D75">
            <w:r>
              <w:t>NA</w:t>
            </w:r>
          </w:p>
        </w:tc>
        <w:tc>
          <w:tcPr>
            <w:tcW w:w="900" w:type="dxa"/>
            <w:shd w:val="clear" w:color="auto" w:fill="D9D9D9" w:themeFill="background1" w:themeFillShade="D9"/>
            <w:vAlign w:val="center"/>
          </w:tcPr>
          <w:p w14:paraId="64F72522" w14:textId="1F8989B8" w:rsidR="00430E92" w:rsidRDefault="004A78A0" w:rsidP="00513D75">
            <w:r>
              <w:t>2.7</w:t>
            </w:r>
          </w:p>
        </w:tc>
        <w:tc>
          <w:tcPr>
            <w:tcW w:w="1170" w:type="dxa"/>
            <w:shd w:val="clear" w:color="auto" w:fill="D9D9D9" w:themeFill="background1" w:themeFillShade="D9"/>
            <w:vAlign w:val="center"/>
          </w:tcPr>
          <w:p w14:paraId="78587432" w14:textId="0CCD5ACD" w:rsidR="00430E92" w:rsidRDefault="004A78A0" w:rsidP="00513D75">
            <w:r>
              <w:t>NA</w:t>
            </w:r>
          </w:p>
        </w:tc>
        <w:tc>
          <w:tcPr>
            <w:tcW w:w="1080" w:type="dxa"/>
            <w:shd w:val="clear" w:color="auto" w:fill="D9D9D9" w:themeFill="background1" w:themeFillShade="D9"/>
            <w:vAlign w:val="center"/>
          </w:tcPr>
          <w:p w14:paraId="746EA31D" w14:textId="35DF4CFF" w:rsidR="00430E92" w:rsidRDefault="004A78A0" w:rsidP="00513D75">
            <w:r>
              <w:t>NA</w:t>
            </w:r>
          </w:p>
        </w:tc>
        <w:tc>
          <w:tcPr>
            <w:tcW w:w="990" w:type="dxa"/>
            <w:shd w:val="clear" w:color="auto" w:fill="D9D9D9" w:themeFill="background1" w:themeFillShade="D9"/>
            <w:vAlign w:val="center"/>
          </w:tcPr>
          <w:p w14:paraId="5374809A" w14:textId="26513C01" w:rsidR="00430E92" w:rsidRDefault="004A78A0" w:rsidP="00513D75">
            <w:r>
              <w:t>NA</w:t>
            </w:r>
          </w:p>
        </w:tc>
        <w:tc>
          <w:tcPr>
            <w:tcW w:w="1170" w:type="dxa"/>
            <w:shd w:val="clear" w:color="auto" w:fill="D9D9D9" w:themeFill="background1" w:themeFillShade="D9"/>
            <w:vAlign w:val="center"/>
          </w:tcPr>
          <w:p w14:paraId="37767188" w14:textId="263DC34C" w:rsidR="00430E92" w:rsidRDefault="004A78A0" w:rsidP="00513D75">
            <w:r>
              <w:t>NA</w:t>
            </w:r>
          </w:p>
        </w:tc>
        <w:tc>
          <w:tcPr>
            <w:tcW w:w="1260" w:type="dxa"/>
            <w:shd w:val="clear" w:color="auto" w:fill="D9D9D9" w:themeFill="background1" w:themeFillShade="D9"/>
            <w:vAlign w:val="center"/>
          </w:tcPr>
          <w:p w14:paraId="55EE4339" w14:textId="3E0022A4" w:rsidR="00430E92" w:rsidRDefault="004A78A0" w:rsidP="00513D75">
            <w:r>
              <w:t>NA</w:t>
            </w:r>
          </w:p>
        </w:tc>
        <w:tc>
          <w:tcPr>
            <w:tcW w:w="1710" w:type="dxa"/>
            <w:tcBorders>
              <w:right w:val="single" w:sz="12" w:space="0" w:color="0D0D0D" w:themeColor="text1" w:themeTint="F2"/>
            </w:tcBorders>
            <w:shd w:val="clear" w:color="auto" w:fill="D9D9D9" w:themeFill="background1" w:themeFillShade="D9"/>
          </w:tcPr>
          <w:p w14:paraId="79B31617" w14:textId="5C83DE23" w:rsidR="00430E92" w:rsidRDefault="004A78A0" w:rsidP="00DD6EE3">
            <w:r w:rsidRPr="004A78A0">
              <w:t>Stévant et al., 2020</w:t>
            </w:r>
          </w:p>
        </w:tc>
      </w:tr>
      <w:tr w:rsidR="004A78A0" w14:paraId="2F85D8CA" w14:textId="66636A90" w:rsidTr="008E2322">
        <w:tc>
          <w:tcPr>
            <w:tcW w:w="1980" w:type="dxa"/>
            <w:tcBorders>
              <w:left w:val="single" w:sz="12" w:space="0" w:color="0D0D0D" w:themeColor="text1" w:themeTint="F2"/>
            </w:tcBorders>
          </w:tcPr>
          <w:p w14:paraId="7ED512A9" w14:textId="7FF52282" w:rsidR="00430E92" w:rsidRDefault="00687EE5" w:rsidP="00DD6EE3">
            <w:r>
              <w:rPr>
                <w:i/>
                <w:iCs/>
              </w:rPr>
              <w:t>Palmaria palmata</w:t>
            </w:r>
          </w:p>
        </w:tc>
        <w:tc>
          <w:tcPr>
            <w:tcW w:w="2790" w:type="dxa"/>
          </w:tcPr>
          <w:p w14:paraId="4F39DF3F" w14:textId="65334CE1" w:rsidR="00430E92" w:rsidRDefault="004A78A0" w:rsidP="00DD6EE3">
            <w:r w:rsidRPr="004A78A0">
              <w:t>Experimentally dried (32°C, 24h) and partially rehydrated, a</w:t>
            </w:r>
            <w:r w:rsidRPr="004A78A0">
              <w:rPr>
                <w:vertAlign w:val="subscript"/>
              </w:rPr>
              <w:t>w</w:t>
            </w:r>
            <w:r w:rsidRPr="004A78A0">
              <w:t xml:space="preserve"> 0.62</w:t>
            </w:r>
          </w:p>
        </w:tc>
        <w:tc>
          <w:tcPr>
            <w:tcW w:w="990" w:type="dxa"/>
            <w:vAlign w:val="center"/>
          </w:tcPr>
          <w:p w14:paraId="7A36457B" w14:textId="3788D7A4" w:rsidR="00430E92" w:rsidRDefault="004A78A0" w:rsidP="00513D75">
            <w:r>
              <w:t>3.8</w:t>
            </w:r>
          </w:p>
        </w:tc>
        <w:tc>
          <w:tcPr>
            <w:tcW w:w="900" w:type="dxa"/>
            <w:vAlign w:val="center"/>
          </w:tcPr>
          <w:p w14:paraId="0F147879" w14:textId="32AD7D73" w:rsidR="00430E92" w:rsidRDefault="004A78A0" w:rsidP="00513D75">
            <w:r>
              <w:t>NA</w:t>
            </w:r>
          </w:p>
        </w:tc>
        <w:tc>
          <w:tcPr>
            <w:tcW w:w="900" w:type="dxa"/>
            <w:vAlign w:val="center"/>
          </w:tcPr>
          <w:p w14:paraId="1F5E65F1" w14:textId="7B64CABD" w:rsidR="00430E92" w:rsidRDefault="004A78A0" w:rsidP="00513D75">
            <w:r>
              <w:t>NA</w:t>
            </w:r>
            <w:r w:rsidRPr="004A78A0">
              <w:rPr>
                <w:vertAlign w:val="superscript"/>
              </w:rPr>
              <w:t>c</w:t>
            </w:r>
          </w:p>
        </w:tc>
        <w:tc>
          <w:tcPr>
            <w:tcW w:w="1170" w:type="dxa"/>
            <w:vAlign w:val="center"/>
          </w:tcPr>
          <w:p w14:paraId="037999EF" w14:textId="64C29BFC" w:rsidR="00430E92" w:rsidRDefault="004A78A0" w:rsidP="00513D75">
            <w:r>
              <w:t>NA</w:t>
            </w:r>
            <w:r w:rsidRPr="004A78A0">
              <w:rPr>
                <w:vertAlign w:val="superscript"/>
              </w:rPr>
              <w:t>c</w:t>
            </w:r>
          </w:p>
        </w:tc>
        <w:tc>
          <w:tcPr>
            <w:tcW w:w="1080" w:type="dxa"/>
            <w:vAlign w:val="center"/>
          </w:tcPr>
          <w:p w14:paraId="6B130EF5" w14:textId="5299ABBA" w:rsidR="00430E92" w:rsidRDefault="004A78A0" w:rsidP="00513D75">
            <w:r>
              <w:t>NA</w:t>
            </w:r>
          </w:p>
        </w:tc>
        <w:tc>
          <w:tcPr>
            <w:tcW w:w="990" w:type="dxa"/>
            <w:vAlign w:val="center"/>
          </w:tcPr>
          <w:p w14:paraId="5531C27E" w14:textId="71500809" w:rsidR="00430E92" w:rsidRDefault="004A78A0" w:rsidP="00513D75">
            <w:r>
              <w:t>NA</w:t>
            </w:r>
          </w:p>
        </w:tc>
        <w:tc>
          <w:tcPr>
            <w:tcW w:w="1170" w:type="dxa"/>
            <w:vAlign w:val="center"/>
          </w:tcPr>
          <w:p w14:paraId="70FF2E6B" w14:textId="22E61F6B" w:rsidR="00430E92" w:rsidRDefault="004A78A0" w:rsidP="00513D75">
            <w:r>
              <w:t>NA</w:t>
            </w:r>
          </w:p>
        </w:tc>
        <w:tc>
          <w:tcPr>
            <w:tcW w:w="1260" w:type="dxa"/>
            <w:vAlign w:val="center"/>
          </w:tcPr>
          <w:p w14:paraId="08A4A620" w14:textId="2A7A0CA8" w:rsidR="00430E92" w:rsidRDefault="004A78A0" w:rsidP="00513D75">
            <w:r>
              <w:t>NA</w:t>
            </w:r>
          </w:p>
        </w:tc>
        <w:tc>
          <w:tcPr>
            <w:tcW w:w="1710" w:type="dxa"/>
            <w:tcBorders>
              <w:right w:val="single" w:sz="12" w:space="0" w:color="0D0D0D" w:themeColor="text1" w:themeTint="F2"/>
            </w:tcBorders>
          </w:tcPr>
          <w:p w14:paraId="0EFBFA0C" w14:textId="6CA2421F" w:rsidR="00430E92" w:rsidRDefault="004A78A0" w:rsidP="00DD6EE3">
            <w:r w:rsidRPr="004A78A0">
              <w:t>Stévant et al., 2020</w:t>
            </w:r>
          </w:p>
        </w:tc>
      </w:tr>
      <w:tr w:rsidR="004A78A0" w14:paraId="7D64434D" w14:textId="73B448C4" w:rsidTr="008E2322">
        <w:tc>
          <w:tcPr>
            <w:tcW w:w="1980" w:type="dxa"/>
            <w:tcBorders>
              <w:left w:val="single" w:sz="12" w:space="0" w:color="0D0D0D" w:themeColor="text1" w:themeTint="F2"/>
              <w:bottom w:val="single" w:sz="12" w:space="0" w:color="0D0D0D" w:themeColor="text1" w:themeTint="F2"/>
            </w:tcBorders>
            <w:shd w:val="clear" w:color="auto" w:fill="D9D9D9" w:themeFill="background1" w:themeFillShade="D9"/>
          </w:tcPr>
          <w:p w14:paraId="3CDA9BF1" w14:textId="374A55A9" w:rsidR="00687EE5" w:rsidRPr="00687EE5" w:rsidRDefault="00687EE5" w:rsidP="00DD6EE3">
            <w:pPr>
              <w:rPr>
                <w:i/>
                <w:iCs/>
              </w:rPr>
            </w:pPr>
            <w:r>
              <w:rPr>
                <w:i/>
                <w:iCs/>
              </w:rPr>
              <w:t>Palmaria palmata</w:t>
            </w:r>
          </w:p>
        </w:tc>
        <w:tc>
          <w:tcPr>
            <w:tcW w:w="2790" w:type="dxa"/>
            <w:tcBorders>
              <w:bottom w:val="single" w:sz="12" w:space="0" w:color="0D0D0D" w:themeColor="text1" w:themeTint="F2"/>
            </w:tcBorders>
            <w:shd w:val="clear" w:color="auto" w:fill="D9D9D9" w:themeFill="background1" w:themeFillShade="D9"/>
          </w:tcPr>
          <w:p w14:paraId="299D4F3C" w14:textId="619469F5" w:rsidR="00430E92" w:rsidRDefault="004A78A0" w:rsidP="00DD6EE3">
            <w:r w:rsidRPr="004A78A0">
              <w:t>Farmed (integrated multitrophic aquaculture), commercially dried, subsequently freeze dried</w:t>
            </w:r>
          </w:p>
        </w:tc>
        <w:tc>
          <w:tcPr>
            <w:tcW w:w="990" w:type="dxa"/>
            <w:tcBorders>
              <w:bottom w:val="single" w:sz="12" w:space="0" w:color="0D0D0D" w:themeColor="text1" w:themeTint="F2"/>
            </w:tcBorders>
            <w:shd w:val="clear" w:color="auto" w:fill="D9D9D9" w:themeFill="background1" w:themeFillShade="D9"/>
            <w:vAlign w:val="center"/>
          </w:tcPr>
          <w:p w14:paraId="12F56CBE" w14:textId="05DA5D80" w:rsidR="00430E92" w:rsidRDefault="004A78A0" w:rsidP="00513D75">
            <w:r>
              <w:t>4.9</w:t>
            </w:r>
          </w:p>
        </w:tc>
        <w:tc>
          <w:tcPr>
            <w:tcW w:w="900" w:type="dxa"/>
            <w:tcBorders>
              <w:bottom w:val="single" w:sz="12" w:space="0" w:color="0D0D0D" w:themeColor="text1" w:themeTint="F2"/>
            </w:tcBorders>
            <w:shd w:val="clear" w:color="auto" w:fill="D9D9D9" w:themeFill="background1" w:themeFillShade="D9"/>
            <w:vAlign w:val="center"/>
          </w:tcPr>
          <w:p w14:paraId="6C59747C" w14:textId="2EFDD0A3" w:rsidR="00430E92" w:rsidRDefault="004A78A0" w:rsidP="00513D75">
            <w:r>
              <w:t>5.2</w:t>
            </w:r>
          </w:p>
        </w:tc>
        <w:tc>
          <w:tcPr>
            <w:tcW w:w="900" w:type="dxa"/>
            <w:tcBorders>
              <w:bottom w:val="single" w:sz="12" w:space="0" w:color="0D0D0D" w:themeColor="text1" w:themeTint="F2"/>
            </w:tcBorders>
            <w:shd w:val="clear" w:color="auto" w:fill="D9D9D9" w:themeFill="background1" w:themeFillShade="D9"/>
            <w:vAlign w:val="center"/>
          </w:tcPr>
          <w:p w14:paraId="3ED6B37B" w14:textId="0F6BB939" w:rsidR="00430E92" w:rsidRDefault="004A78A0" w:rsidP="00513D75">
            <w:r>
              <w:t>NA</w:t>
            </w:r>
          </w:p>
        </w:tc>
        <w:tc>
          <w:tcPr>
            <w:tcW w:w="1170" w:type="dxa"/>
            <w:tcBorders>
              <w:bottom w:val="single" w:sz="12" w:space="0" w:color="0D0D0D" w:themeColor="text1" w:themeTint="F2"/>
            </w:tcBorders>
            <w:shd w:val="clear" w:color="auto" w:fill="D9D9D9" w:themeFill="background1" w:themeFillShade="D9"/>
            <w:vAlign w:val="center"/>
          </w:tcPr>
          <w:p w14:paraId="4DB04807" w14:textId="6F701B92" w:rsidR="00430E92" w:rsidRDefault="004A78A0" w:rsidP="00513D75">
            <w:r>
              <w:t>2.5</w:t>
            </w:r>
          </w:p>
        </w:tc>
        <w:tc>
          <w:tcPr>
            <w:tcW w:w="1080" w:type="dxa"/>
            <w:tcBorders>
              <w:bottom w:val="single" w:sz="12" w:space="0" w:color="0D0D0D" w:themeColor="text1" w:themeTint="F2"/>
            </w:tcBorders>
            <w:shd w:val="clear" w:color="auto" w:fill="D9D9D9" w:themeFill="background1" w:themeFillShade="D9"/>
            <w:vAlign w:val="center"/>
          </w:tcPr>
          <w:p w14:paraId="7EC82648" w14:textId="6C5DD748" w:rsidR="00430E92" w:rsidRDefault="004A78A0" w:rsidP="00513D75">
            <w:r>
              <w:t>NA</w:t>
            </w:r>
          </w:p>
        </w:tc>
        <w:tc>
          <w:tcPr>
            <w:tcW w:w="990" w:type="dxa"/>
            <w:tcBorders>
              <w:bottom w:val="single" w:sz="12" w:space="0" w:color="0D0D0D" w:themeColor="text1" w:themeTint="F2"/>
            </w:tcBorders>
            <w:shd w:val="clear" w:color="auto" w:fill="D9D9D9" w:themeFill="background1" w:themeFillShade="D9"/>
            <w:vAlign w:val="center"/>
          </w:tcPr>
          <w:p w14:paraId="5F718E04" w14:textId="4ADC58D6" w:rsidR="00430E92" w:rsidRDefault="004A78A0" w:rsidP="00513D75">
            <w:r>
              <w:t>&lt;1.0</w:t>
            </w:r>
          </w:p>
        </w:tc>
        <w:tc>
          <w:tcPr>
            <w:tcW w:w="1170" w:type="dxa"/>
            <w:tcBorders>
              <w:bottom w:val="single" w:sz="12" w:space="0" w:color="0D0D0D" w:themeColor="text1" w:themeTint="F2"/>
            </w:tcBorders>
            <w:shd w:val="clear" w:color="auto" w:fill="D9D9D9" w:themeFill="background1" w:themeFillShade="D9"/>
            <w:vAlign w:val="center"/>
          </w:tcPr>
          <w:p w14:paraId="22622505" w14:textId="4B0F3EB9" w:rsidR="00430E92" w:rsidRDefault="004A78A0" w:rsidP="00513D75">
            <w:r>
              <w:t>NA</w:t>
            </w:r>
          </w:p>
        </w:tc>
        <w:tc>
          <w:tcPr>
            <w:tcW w:w="1260" w:type="dxa"/>
            <w:tcBorders>
              <w:bottom w:val="single" w:sz="12" w:space="0" w:color="0D0D0D" w:themeColor="text1" w:themeTint="F2"/>
            </w:tcBorders>
            <w:shd w:val="clear" w:color="auto" w:fill="D9D9D9" w:themeFill="background1" w:themeFillShade="D9"/>
            <w:vAlign w:val="center"/>
          </w:tcPr>
          <w:p w14:paraId="2A32E412" w14:textId="19CC3B65" w:rsidR="00430E92" w:rsidRDefault="004A78A0" w:rsidP="00513D75">
            <w:r>
              <w:t>NA</w:t>
            </w:r>
          </w:p>
        </w:tc>
        <w:tc>
          <w:tcPr>
            <w:tcW w:w="1710" w:type="dxa"/>
            <w:tcBorders>
              <w:bottom w:val="single" w:sz="12" w:space="0" w:color="0D0D0D" w:themeColor="text1" w:themeTint="F2"/>
              <w:right w:val="single" w:sz="12" w:space="0" w:color="0D0D0D" w:themeColor="text1" w:themeTint="F2"/>
            </w:tcBorders>
            <w:shd w:val="clear" w:color="auto" w:fill="D9D9D9" w:themeFill="background1" w:themeFillShade="D9"/>
          </w:tcPr>
          <w:p w14:paraId="6658800F" w14:textId="72437CF4" w:rsidR="00430E92" w:rsidRDefault="004A78A0" w:rsidP="00DD6EE3">
            <w:r w:rsidRPr="004A78A0">
              <w:t>Campos et al., 2022</w:t>
            </w:r>
          </w:p>
        </w:tc>
      </w:tr>
      <w:tr w:rsidR="004A78A0" w14:paraId="37BB1759" w14:textId="77777777" w:rsidTr="008E2322">
        <w:tc>
          <w:tcPr>
            <w:tcW w:w="1980" w:type="dxa"/>
            <w:tcBorders>
              <w:top w:val="single" w:sz="12" w:space="0" w:color="0D0D0D" w:themeColor="text1" w:themeTint="F2"/>
              <w:left w:val="single" w:sz="12" w:space="0" w:color="0D0D0D" w:themeColor="text1" w:themeTint="F2"/>
            </w:tcBorders>
          </w:tcPr>
          <w:p w14:paraId="6C728A9A" w14:textId="0176BBBB" w:rsidR="00687EE5" w:rsidRPr="00687EE5" w:rsidRDefault="00687EE5" w:rsidP="00DD6EE3">
            <w:r>
              <w:rPr>
                <w:i/>
                <w:iCs/>
              </w:rPr>
              <w:t>Porphyra</w:t>
            </w:r>
            <w:r>
              <w:t xml:space="preserve"> species</w:t>
            </w:r>
          </w:p>
        </w:tc>
        <w:tc>
          <w:tcPr>
            <w:tcW w:w="2790" w:type="dxa"/>
            <w:tcBorders>
              <w:top w:val="single" w:sz="12" w:space="0" w:color="0D0D0D" w:themeColor="text1" w:themeTint="F2"/>
            </w:tcBorders>
          </w:tcPr>
          <w:p w14:paraId="013C27B1" w14:textId="7EBD43C8" w:rsidR="00687EE5" w:rsidRDefault="004A78A0" w:rsidP="00DD6EE3">
            <w:r w:rsidRPr="004A78A0">
              <w:t xml:space="preserve">Farmed (integrated multitrophic aquaculture), </w:t>
            </w:r>
            <w:r w:rsidRPr="004A78A0">
              <w:lastRenderedPageBreak/>
              <w:t>commercially dried, subsequently freeze dried</w:t>
            </w:r>
          </w:p>
        </w:tc>
        <w:tc>
          <w:tcPr>
            <w:tcW w:w="990" w:type="dxa"/>
            <w:tcBorders>
              <w:top w:val="single" w:sz="12" w:space="0" w:color="0D0D0D" w:themeColor="text1" w:themeTint="F2"/>
            </w:tcBorders>
            <w:vAlign w:val="center"/>
          </w:tcPr>
          <w:p w14:paraId="7BCB5A95" w14:textId="24924C72" w:rsidR="00D9493F" w:rsidRDefault="00D9493F" w:rsidP="00513D75">
            <w:r>
              <w:lastRenderedPageBreak/>
              <w:t>4.5</w:t>
            </w:r>
          </w:p>
        </w:tc>
        <w:tc>
          <w:tcPr>
            <w:tcW w:w="900" w:type="dxa"/>
            <w:tcBorders>
              <w:top w:val="single" w:sz="12" w:space="0" w:color="0D0D0D" w:themeColor="text1" w:themeTint="F2"/>
            </w:tcBorders>
            <w:vAlign w:val="center"/>
          </w:tcPr>
          <w:p w14:paraId="435F098E" w14:textId="551EC65B" w:rsidR="00687EE5" w:rsidRDefault="00D9493F" w:rsidP="00513D75">
            <w:r>
              <w:t>4.7</w:t>
            </w:r>
          </w:p>
        </w:tc>
        <w:tc>
          <w:tcPr>
            <w:tcW w:w="900" w:type="dxa"/>
            <w:tcBorders>
              <w:top w:val="single" w:sz="12" w:space="0" w:color="0D0D0D" w:themeColor="text1" w:themeTint="F2"/>
            </w:tcBorders>
            <w:vAlign w:val="center"/>
          </w:tcPr>
          <w:p w14:paraId="2FFE6288" w14:textId="184E3540" w:rsidR="00687EE5" w:rsidRDefault="00D9493F" w:rsidP="00513D75">
            <w:r>
              <w:t>NA</w:t>
            </w:r>
          </w:p>
        </w:tc>
        <w:tc>
          <w:tcPr>
            <w:tcW w:w="1170" w:type="dxa"/>
            <w:tcBorders>
              <w:top w:val="single" w:sz="12" w:space="0" w:color="0D0D0D" w:themeColor="text1" w:themeTint="F2"/>
            </w:tcBorders>
            <w:vAlign w:val="center"/>
          </w:tcPr>
          <w:p w14:paraId="4D16BBFE" w14:textId="7AD4022A" w:rsidR="00687EE5" w:rsidRDefault="00D9493F" w:rsidP="00513D75">
            <w:r>
              <w:t>2.0</w:t>
            </w:r>
          </w:p>
        </w:tc>
        <w:tc>
          <w:tcPr>
            <w:tcW w:w="1080" w:type="dxa"/>
            <w:tcBorders>
              <w:top w:val="single" w:sz="12" w:space="0" w:color="0D0D0D" w:themeColor="text1" w:themeTint="F2"/>
            </w:tcBorders>
            <w:vAlign w:val="center"/>
          </w:tcPr>
          <w:p w14:paraId="7C36EF23" w14:textId="069A0765" w:rsidR="00687EE5" w:rsidRDefault="00D9493F" w:rsidP="00513D75">
            <w:r>
              <w:t>&lt;1.0</w:t>
            </w:r>
          </w:p>
        </w:tc>
        <w:tc>
          <w:tcPr>
            <w:tcW w:w="990" w:type="dxa"/>
            <w:tcBorders>
              <w:top w:val="single" w:sz="12" w:space="0" w:color="0D0D0D" w:themeColor="text1" w:themeTint="F2"/>
            </w:tcBorders>
            <w:vAlign w:val="center"/>
          </w:tcPr>
          <w:p w14:paraId="6281192F" w14:textId="20D6CED2" w:rsidR="00687EE5" w:rsidRDefault="00D9493F" w:rsidP="00513D75">
            <w:r>
              <w:t>NA</w:t>
            </w:r>
          </w:p>
        </w:tc>
        <w:tc>
          <w:tcPr>
            <w:tcW w:w="1170" w:type="dxa"/>
            <w:tcBorders>
              <w:top w:val="single" w:sz="12" w:space="0" w:color="0D0D0D" w:themeColor="text1" w:themeTint="F2"/>
            </w:tcBorders>
            <w:vAlign w:val="center"/>
          </w:tcPr>
          <w:p w14:paraId="0DB00980" w14:textId="6BC90F8D" w:rsidR="00687EE5" w:rsidRDefault="00D9493F" w:rsidP="00513D75">
            <w:r>
              <w:t>NA</w:t>
            </w:r>
          </w:p>
        </w:tc>
        <w:tc>
          <w:tcPr>
            <w:tcW w:w="1260" w:type="dxa"/>
            <w:tcBorders>
              <w:top w:val="single" w:sz="12" w:space="0" w:color="0D0D0D" w:themeColor="text1" w:themeTint="F2"/>
            </w:tcBorders>
            <w:vAlign w:val="center"/>
          </w:tcPr>
          <w:p w14:paraId="35693CC8" w14:textId="44CCBFCC" w:rsidR="00687EE5" w:rsidRDefault="00D9493F" w:rsidP="00513D75">
            <w:r>
              <w:t>NA</w:t>
            </w:r>
          </w:p>
        </w:tc>
        <w:tc>
          <w:tcPr>
            <w:tcW w:w="1710" w:type="dxa"/>
            <w:tcBorders>
              <w:top w:val="single" w:sz="12" w:space="0" w:color="0D0D0D" w:themeColor="text1" w:themeTint="F2"/>
              <w:right w:val="single" w:sz="12" w:space="0" w:color="0D0D0D" w:themeColor="text1" w:themeTint="F2"/>
            </w:tcBorders>
          </w:tcPr>
          <w:p w14:paraId="214D90DC" w14:textId="49363D75" w:rsidR="00687EE5" w:rsidRDefault="00D9493F" w:rsidP="00DD6EE3">
            <w:r w:rsidRPr="00D9493F">
              <w:t>Campos et al., 2022</w:t>
            </w:r>
          </w:p>
        </w:tc>
      </w:tr>
      <w:tr w:rsidR="00D9493F" w14:paraId="247011B4" w14:textId="77777777" w:rsidTr="008E2322">
        <w:tc>
          <w:tcPr>
            <w:tcW w:w="1980" w:type="dxa"/>
            <w:tcBorders>
              <w:left w:val="single" w:sz="12" w:space="0" w:color="0D0D0D" w:themeColor="text1" w:themeTint="F2"/>
            </w:tcBorders>
            <w:shd w:val="clear" w:color="auto" w:fill="D9D9D9" w:themeFill="background1" w:themeFillShade="D9"/>
          </w:tcPr>
          <w:p w14:paraId="1D93E7BB" w14:textId="2FB84D4C" w:rsidR="00D9493F" w:rsidRDefault="00D9493F" w:rsidP="00D9493F">
            <w:pPr>
              <w:rPr>
                <w:i/>
                <w:iCs/>
              </w:rPr>
            </w:pPr>
            <w:r>
              <w:rPr>
                <w:i/>
                <w:iCs/>
              </w:rPr>
              <w:t>Porphyra</w:t>
            </w:r>
            <w:r>
              <w:t xml:space="preserve"> species</w:t>
            </w:r>
          </w:p>
        </w:tc>
        <w:tc>
          <w:tcPr>
            <w:tcW w:w="2790" w:type="dxa"/>
            <w:shd w:val="clear" w:color="auto" w:fill="D9D9D9" w:themeFill="background1" w:themeFillShade="D9"/>
          </w:tcPr>
          <w:p w14:paraId="4E2DA469" w14:textId="54D910CD" w:rsidR="00D9493F" w:rsidRDefault="00D9493F" w:rsidP="00D9493F">
            <w:r w:rsidRPr="004A78A0">
              <w:t>Commercially produced (Korea) dried, roasted laver snacks (different manufacturers)</w:t>
            </w:r>
          </w:p>
        </w:tc>
        <w:tc>
          <w:tcPr>
            <w:tcW w:w="990" w:type="dxa"/>
            <w:shd w:val="clear" w:color="auto" w:fill="D9D9D9" w:themeFill="background1" w:themeFillShade="D9"/>
            <w:vAlign w:val="center"/>
          </w:tcPr>
          <w:p w14:paraId="2F8FE1FD" w14:textId="22B74880" w:rsidR="00D9493F" w:rsidRDefault="00D9493F" w:rsidP="00513D75">
            <w:r>
              <w:t>2.2</w:t>
            </w:r>
          </w:p>
          <w:p w14:paraId="3DDD6806" w14:textId="68F88FF3" w:rsidR="00D9493F" w:rsidRDefault="00D9493F" w:rsidP="00513D75">
            <w:r>
              <w:t>5.9</w:t>
            </w:r>
          </w:p>
          <w:p w14:paraId="71EC8219" w14:textId="4E9AA04E" w:rsidR="00D9493F" w:rsidRDefault="00D9493F" w:rsidP="00513D75">
            <w:r>
              <w:t>1.3</w:t>
            </w:r>
          </w:p>
          <w:p w14:paraId="1947E3B5" w14:textId="46A54D7D" w:rsidR="00D9493F" w:rsidRDefault="00D9493F" w:rsidP="00513D75">
            <w:r>
              <w:t>4.7</w:t>
            </w:r>
          </w:p>
          <w:p w14:paraId="75F75C82" w14:textId="5EFA6298" w:rsidR="00D9493F" w:rsidRDefault="00D9493F" w:rsidP="00513D75">
            <w:r>
              <w:t>4.8</w:t>
            </w:r>
          </w:p>
          <w:p w14:paraId="480921D1" w14:textId="2DA4EB8D" w:rsidR="00D9493F" w:rsidRDefault="00D9493F" w:rsidP="00513D75">
            <w:r>
              <w:t>1.9</w:t>
            </w:r>
          </w:p>
        </w:tc>
        <w:tc>
          <w:tcPr>
            <w:tcW w:w="900" w:type="dxa"/>
            <w:shd w:val="clear" w:color="auto" w:fill="D9D9D9" w:themeFill="background1" w:themeFillShade="D9"/>
            <w:vAlign w:val="center"/>
          </w:tcPr>
          <w:p w14:paraId="21632851" w14:textId="17EE51E0" w:rsidR="00D9493F" w:rsidRPr="00E43BF4" w:rsidRDefault="00D9493F" w:rsidP="00513D75">
            <w:r>
              <w:t>NA</w:t>
            </w:r>
          </w:p>
        </w:tc>
        <w:tc>
          <w:tcPr>
            <w:tcW w:w="900" w:type="dxa"/>
            <w:shd w:val="clear" w:color="auto" w:fill="D9D9D9" w:themeFill="background1" w:themeFillShade="D9"/>
            <w:vAlign w:val="center"/>
          </w:tcPr>
          <w:p w14:paraId="740E79A6" w14:textId="5E29AA7B" w:rsidR="00D9493F" w:rsidRDefault="00D9493F" w:rsidP="00513D75">
            <w:r>
              <w:t>NA</w:t>
            </w:r>
          </w:p>
        </w:tc>
        <w:tc>
          <w:tcPr>
            <w:tcW w:w="1170" w:type="dxa"/>
            <w:shd w:val="clear" w:color="auto" w:fill="D9D9D9" w:themeFill="background1" w:themeFillShade="D9"/>
            <w:vAlign w:val="center"/>
          </w:tcPr>
          <w:p w14:paraId="6A5DC76B" w14:textId="417FC808" w:rsidR="00D9493F" w:rsidRDefault="00D9493F" w:rsidP="00513D75">
            <w:r>
              <w:t>NA</w:t>
            </w:r>
          </w:p>
        </w:tc>
        <w:tc>
          <w:tcPr>
            <w:tcW w:w="1080" w:type="dxa"/>
            <w:shd w:val="clear" w:color="auto" w:fill="D9D9D9" w:themeFill="background1" w:themeFillShade="D9"/>
            <w:vAlign w:val="center"/>
          </w:tcPr>
          <w:p w14:paraId="2AB8464A" w14:textId="6718E7C1" w:rsidR="00D9493F" w:rsidRDefault="00D9493F" w:rsidP="00513D75">
            <w:r>
              <w:t>NA</w:t>
            </w:r>
          </w:p>
        </w:tc>
        <w:tc>
          <w:tcPr>
            <w:tcW w:w="990" w:type="dxa"/>
            <w:shd w:val="clear" w:color="auto" w:fill="D9D9D9" w:themeFill="background1" w:themeFillShade="D9"/>
            <w:vAlign w:val="center"/>
          </w:tcPr>
          <w:p w14:paraId="7A6D465E" w14:textId="7F7E06C6" w:rsidR="00D9493F" w:rsidRDefault="00D9493F" w:rsidP="00513D75">
            <w:r>
              <w:t>NA</w:t>
            </w:r>
          </w:p>
        </w:tc>
        <w:tc>
          <w:tcPr>
            <w:tcW w:w="1170" w:type="dxa"/>
            <w:shd w:val="clear" w:color="auto" w:fill="D9D9D9" w:themeFill="background1" w:themeFillShade="D9"/>
            <w:vAlign w:val="center"/>
          </w:tcPr>
          <w:p w14:paraId="4D317AE9" w14:textId="1B667615" w:rsidR="00D9493F" w:rsidRDefault="00D9493F" w:rsidP="00513D75">
            <w:r>
              <w:t>NA</w:t>
            </w:r>
          </w:p>
        </w:tc>
        <w:tc>
          <w:tcPr>
            <w:tcW w:w="1260" w:type="dxa"/>
            <w:shd w:val="clear" w:color="auto" w:fill="D9D9D9" w:themeFill="background1" w:themeFillShade="D9"/>
            <w:vAlign w:val="center"/>
          </w:tcPr>
          <w:p w14:paraId="7E4512BC" w14:textId="7DE6C97A" w:rsidR="00D9493F" w:rsidRDefault="00D9493F" w:rsidP="00513D75">
            <w:r>
              <w:t>NA</w:t>
            </w:r>
          </w:p>
        </w:tc>
        <w:tc>
          <w:tcPr>
            <w:tcW w:w="1710" w:type="dxa"/>
            <w:tcBorders>
              <w:right w:val="single" w:sz="12" w:space="0" w:color="0D0D0D" w:themeColor="text1" w:themeTint="F2"/>
            </w:tcBorders>
            <w:shd w:val="clear" w:color="auto" w:fill="D9D9D9" w:themeFill="background1" w:themeFillShade="D9"/>
          </w:tcPr>
          <w:p w14:paraId="3AECAB30" w14:textId="51258D5B" w:rsidR="00D9493F" w:rsidRDefault="00D9493F" w:rsidP="00D9493F">
            <w:r>
              <w:t>Choi et al., 2014</w:t>
            </w:r>
          </w:p>
        </w:tc>
      </w:tr>
      <w:tr w:rsidR="004A78A0" w14:paraId="4050339A" w14:textId="77777777" w:rsidTr="008E2322">
        <w:tc>
          <w:tcPr>
            <w:tcW w:w="1980" w:type="dxa"/>
            <w:tcBorders>
              <w:left w:val="single" w:sz="12" w:space="0" w:color="0D0D0D" w:themeColor="text1" w:themeTint="F2"/>
            </w:tcBorders>
          </w:tcPr>
          <w:p w14:paraId="7A63E1E1" w14:textId="4C7A322D" w:rsidR="00687EE5" w:rsidRDefault="00687EE5" w:rsidP="00DD6EE3">
            <w:pPr>
              <w:rPr>
                <w:i/>
                <w:iCs/>
              </w:rPr>
            </w:pPr>
            <w:r>
              <w:rPr>
                <w:i/>
                <w:iCs/>
              </w:rPr>
              <w:t>Porphyra</w:t>
            </w:r>
            <w:r>
              <w:t xml:space="preserve"> species</w:t>
            </w:r>
          </w:p>
        </w:tc>
        <w:tc>
          <w:tcPr>
            <w:tcW w:w="2790" w:type="dxa"/>
          </w:tcPr>
          <w:p w14:paraId="64DD7D7B" w14:textId="12B3DE45" w:rsidR="00687EE5" w:rsidRDefault="004A78A0" w:rsidP="00DD6EE3">
            <w:r w:rsidRPr="004A78A0">
              <w:t>Retail, RTE samples purchased in Italy</w:t>
            </w:r>
          </w:p>
        </w:tc>
        <w:tc>
          <w:tcPr>
            <w:tcW w:w="990" w:type="dxa"/>
            <w:vAlign w:val="center"/>
          </w:tcPr>
          <w:p w14:paraId="2023C48F" w14:textId="6C52AF97" w:rsidR="00687EE5" w:rsidRDefault="00D9493F" w:rsidP="00513D75">
            <w:r>
              <w:t>4.0</w:t>
            </w:r>
          </w:p>
        </w:tc>
        <w:tc>
          <w:tcPr>
            <w:tcW w:w="900" w:type="dxa"/>
            <w:vAlign w:val="center"/>
          </w:tcPr>
          <w:p w14:paraId="17385281" w14:textId="41CB1C0D" w:rsidR="00687EE5" w:rsidRDefault="00D9493F" w:rsidP="00513D75">
            <w:r>
              <w:t>4.4</w:t>
            </w:r>
          </w:p>
        </w:tc>
        <w:tc>
          <w:tcPr>
            <w:tcW w:w="900" w:type="dxa"/>
            <w:vAlign w:val="center"/>
          </w:tcPr>
          <w:p w14:paraId="66C1ED50" w14:textId="14D20492" w:rsidR="00687EE5" w:rsidRDefault="00D9493F" w:rsidP="00513D75">
            <w:r>
              <w:t>&lt;2.0</w:t>
            </w:r>
          </w:p>
        </w:tc>
        <w:tc>
          <w:tcPr>
            <w:tcW w:w="1170" w:type="dxa"/>
            <w:vAlign w:val="center"/>
          </w:tcPr>
          <w:p w14:paraId="38B9F6B9" w14:textId="2A409010" w:rsidR="00687EE5" w:rsidRDefault="00D9493F" w:rsidP="00513D75">
            <w:r>
              <w:t>&lt;2.0</w:t>
            </w:r>
          </w:p>
        </w:tc>
        <w:tc>
          <w:tcPr>
            <w:tcW w:w="1080" w:type="dxa"/>
            <w:vAlign w:val="center"/>
          </w:tcPr>
          <w:p w14:paraId="513AD6D2" w14:textId="77777777" w:rsidR="00687EE5" w:rsidRDefault="00687EE5" w:rsidP="00513D75"/>
        </w:tc>
        <w:tc>
          <w:tcPr>
            <w:tcW w:w="990" w:type="dxa"/>
            <w:vAlign w:val="center"/>
          </w:tcPr>
          <w:p w14:paraId="5950184B" w14:textId="77777777" w:rsidR="00687EE5" w:rsidRDefault="00687EE5" w:rsidP="00513D75"/>
        </w:tc>
        <w:tc>
          <w:tcPr>
            <w:tcW w:w="1170" w:type="dxa"/>
            <w:vAlign w:val="center"/>
          </w:tcPr>
          <w:p w14:paraId="70C0E590" w14:textId="15FA53C4" w:rsidR="00687EE5" w:rsidRDefault="00D9493F" w:rsidP="00513D75">
            <w:r>
              <w:t>&lt;2.0</w:t>
            </w:r>
          </w:p>
        </w:tc>
        <w:tc>
          <w:tcPr>
            <w:tcW w:w="1260" w:type="dxa"/>
            <w:vAlign w:val="center"/>
          </w:tcPr>
          <w:p w14:paraId="3333A9DE" w14:textId="7EE4CE72" w:rsidR="00687EE5" w:rsidRDefault="00D9493F" w:rsidP="00513D75">
            <w:r>
              <w:t>&lt;2.0</w:t>
            </w:r>
          </w:p>
        </w:tc>
        <w:tc>
          <w:tcPr>
            <w:tcW w:w="1710" w:type="dxa"/>
            <w:tcBorders>
              <w:right w:val="single" w:sz="12" w:space="0" w:color="0D0D0D" w:themeColor="text1" w:themeTint="F2"/>
            </w:tcBorders>
          </w:tcPr>
          <w:p w14:paraId="60087A7F" w14:textId="174C617B" w:rsidR="00687EE5" w:rsidRDefault="00D9493F" w:rsidP="00DD6EE3">
            <w:r>
              <w:t>Martelli et al., 2021</w:t>
            </w:r>
          </w:p>
        </w:tc>
      </w:tr>
      <w:tr w:rsidR="004A78A0" w14:paraId="3928054E" w14:textId="77777777" w:rsidTr="008E2322">
        <w:tc>
          <w:tcPr>
            <w:tcW w:w="1980" w:type="dxa"/>
            <w:tcBorders>
              <w:left w:val="single" w:sz="12" w:space="0" w:color="0D0D0D" w:themeColor="text1" w:themeTint="F2"/>
            </w:tcBorders>
            <w:shd w:val="clear" w:color="auto" w:fill="D9D9D9" w:themeFill="background1" w:themeFillShade="D9"/>
          </w:tcPr>
          <w:p w14:paraId="5FD87023" w14:textId="1A5AAD48" w:rsidR="00687EE5" w:rsidRDefault="00687EE5" w:rsidP="00DD6EE3">
            <w:pPr>
              <w:rPr>
                <w:i/>
                <w:iCs/>
              </w:rPr>
            </w:pPr>
            <w:r w:rsidRPr="00687EE5">
              <w:rPr>
                <w:i/>
                <w:iCs/>
              </w:rPr>
              <w:t>Pyropia tenera</w:t>
            </w:r>
          </w:p>
        </w:tc>
        <w:tc>
          <w:tcPr>
            <w:tcW w:w="2790" w:type="dxa"/>
            <w:shd w:val="clear" w:color="auto" w:fill="D9D9D9" w:themeFill="background1" w:themeFillShade="D9"/>
          </w:tcPr>
          <w:p w14:paraId="0D52DCB7" w14:textId="12FF8B83" w:rsidR="00687EE5" w:rsidRDefault="004A78A0" w:rsidP="00DD6EE3">
            <w:r w:rsidRPr="004A78A0">
              <w:t>Retail samples purchased in Korea</w:t>
            </w:r>
          </w:p>
        </w:tc>
        <w:tc>
          <w:tcPr>
            <w:tcW w:w="990" w:type="dxa"/>
            <w:shd w:val="clear" w:color="auto" w:fill="D9D9D9" w:themeFill="background1" w:themeFillShade="D9"/>
            <w:vAlign w:val="center"/>
          </w:tcPr>
          <w:p w14:paraId="3EE9FE78" w14:textId="7468A2A8" w:rsidR="00687EE5" w:rsidRDefault="00D9493F" w:rsidP="00513D75">
            <w:r>
              <w:t>2.6</w:t>
            </w:r>
          </w:p>
        </w:tc>
        <w:tc>
          <w:tcPr>
            <w:tcW w:w="900" w:type="dxa"/>
            <w:shd w:val="clear" w:color="auto" w:fill="D9D9D9" w:themeFill="background1" w:themeFillShade="D9"/>
            <w:vAlign w:val="center"/>
          </w:tcPr>
          <w:p w14:paraId="31D41EF5" w14:textId="45B04748" w:rsidR="00687EE5" w:rsidRDefault="00D9493F" w:rsidP="00513D75">
            <w:r>
              <w:t>NA</w:t>
            </w:r>
          </w:p>
        </w:tc>
        <w:tc>
          <w:tcPr>
            <w:tcW w:w="900" w:type="dxa"/>
            <w:shd w:val="clear" w:color="auto" w:fill="D9D9D9" w:themeFill="background1" w:themeFillShade="D9"/>
            <w:vAlign w:val="center"/>
          </w:tcPr>
          <w:p w14:paraId="31B45CEB" w14:textId="07042947" w:rsidR="00687EE5" w:rsidRPr="00D9493F" w:rsidRDefault="00D9493F" w:rsidP="00513D75">
            <w:pPr>
              <w:rPr>
                <w:b/>
                <w:bCs/>
              </w:rPr>
            </w:pPr>
            <w:r>
              <w:t>NA</w:t>
            </w:r>
          </w:p>
        </w:tc>
        <w:tc>
          <w:tcPr>
            <w:tcW w:w="1170" w:type="dxa"/>
            <w:shd w:val="clear" w:color="auto" w:fill="D9D9D9" w:themeFill="background1" w:themeFillShade="D9"/>
            <w:vAlign w:val="center"/>
          </w:tcPr>
          <w:p w14:paraId="6F5D7AE3" w14:textId="5F9BBCDD" w:rsidR="00687EE5" w:rsidRDefault="00D9493F" w:rsidP="00513D75">
            <w:r>
              <w:t>&lt;1.0</w:t>
            </w:r>
          </w:p>
        </w:tc>
        <w:tc>
          <w:tcPr>
            <w:tcW w:w="1080" w:type="dxa"/>
            <w:shd w:val="clear" w:color="auto" w:fill="D9D9D9" w:themeFill="background1" w:themeFillShade="D9"/>
            <w:vAlign w:val="center"/>
          </w:tcPr>
          <w:p w14:paraId="7040364C" w14:textId="4AC1C735" w:rsidR="00687EE5" w:rsidRDefault="00D9493F" w:rsidP="00513D75">
            <w:r>
              <w:t>NA</w:t>
            </w:r>
          </w:p>
        </w:tc>
        <w:tc>
          <w:tcPr>
            <w:tcW w:w="990" w:type="dxa"/>
            <w:shd w:val="clear" w:color="auto" w:fill="D9D9D9" w:themeFill="background1" w:themeFillShade="D9"/>
            <w:vAlign w:val="center"/>
          </w:tcPr>
          <w:p w14:paraId="6A6FE7BC" w14:textId="7251E4C1" w:rsidR="00687EE5" w:rsidRDefault="00D9493F" w:rsidP="00513D75">
            <w:r>
              <w:t>NA</w:t>
            </w:r>
          </w:p>
        </w:tc>
        <w:tc>
          <w:tcPr>
            <w:tcW w:w="1170" w:type="dxa"/>
            <w:shd w:val="clear" w:color="auto" w:fill="D9D9D9" w:themeFill="background1" w:themeFillShade="D9"/>
            <w:vAlign w:val="center"/>
          </w:tcPr>
          <w:p w14:paraId="621A0750" w14:textId="04F97D8B" w:rsidR="00687EE5" w:rsidRDefault="00D9493F" w:rsidP="00513D75">
            <w:r>
              <w:t>NA</w:t>
            </w:r>
          </w:p>
        </w:tc>
        <w:tc>
          <w:tcPr>
            <w:tcW w:w="1260" w:type="dxa"/>
            <w:shd w:val="clear" w:color="auto" w:fill="D9D9D9" w:themeFill="background1" w:themeFillShade="D9"/>
            <w:vAlign w:val="center"/>
          </w:tcPr>
          <w:p w14:paraId="1B97771C" w14:textId="27445EE7" w:rsidR="00687EE5" w:rsidRDefault="00D9493F" w:rsidP="00513D75">
            <w:r>
              <w:t>NA</w:t>
            </w:r>
          </w:p>
        </w:tc>
        <w:tc>
          <w:tcPr>
            <w:tcW w:w="1710" w:type="dxa"/>
            <w:tcBorders>
              <w:right w:val="single" w:sz="12" w:space="0" w:color="0D0D0D" w:themeColor="text1" w:themeTint="F2"/>
            </w:tcBorders>
            <w:shd w:val="clear" w:color="auto" w:fill="D9D9D9" w:themeFill="background1" w:themeFillShade="D9"/>
          </w:tcPr>
          <w:p w14:paraId="1CC127FE" w14:textId="10130AE3" w:rsidR="00687EE5" w:rsidRDefault="00D9493F" w:rsidP="00DD6EE3">
            <w:r>
              <w:t>Kim et al., 2023</w:t>
            </w:r>
          </w:p>
        </w:tc>
      </w:tr>
      <w:tr w:rsidR="004A78A0" w14:paraId="5483B3A8" w14:textId="77777777" w:rsidTr="008E2322">
        <w:tc>
          <w:tcPr>
            <w:tcW w:w="1980" w:type="dxa"/>
            <w:tcBorders>
              <w:left w:val="single" w:sz="12" w:space="0" w:color="0D0D0D" w:themeColor="text1" w:themeTint="F2"/>
            </w:tcBorders>
          </w:tcPr>
          <w:p w14:paraId="4F60467E" w14:textId="75F0D10B" w:rsidR="00687EE5" w:rsidRDefault="00687EE5" w:rsidP="00DD6EE3">
            <w:pPr>
              <w:rPr>
                <w:i/>
                <w:iCs/>
              </w:rPr>
            </w:pPr>
            <w:r w:rsidRPr="00687EE5">
              <w:rPr>
                <w:i/>
                <w:iCs/>
              </w:rPr>
              <w:t>Porphyra yezoensis</w:t>
            </w:r>
          </w:p>
        </w:tc>
        <w:tc>
          <w:tcPr>
            <w:tcW w:w="2790" w:type="dxa"/>
          </w:tcPr>
          <w:p w14:paraId="3B7D42B7" w14:textId="3A2DB7BC" w:rsidR="00687EE5" w:rsidRDefault="004A78A0" w:rsidP="00DD6EE3">
            <w:r w:rsidRPr="004A78A0">
              <w:t>Commercial laver snacks produced in China (different manufacturers)</w:t>
            </w:r>
          </w:p>
        </w:tc>
        <w:tc>
          <w:tcPr>
            <w:tcW w:w="990" w:type="dxa"/>
            <w:vAlign w:val="center"/>
          </w:tcPr>
          <w:p w14:paraId="0C24ACB7" w14:textId="7602A82B" w:rsidR="00687EE5" w:rsidRDefault="00D9493F" w:rsidP="00513D75">
            <w:r>
              <w:t>5.7</w:t>
            </w:r>
          </w:p>
          <w:p w14:paraId="0091F011" w14:textId="2CCB1B81" w:rsidR="00D9493F" w:rsidRPr="007D7832" w:rsidRDefault="00D9493F" w:rsidP="00513D75">
            <w:pPr>
              <w:rPr>
                <w:b/>
                <w:bCs/>
              </w:rPr>
            </w:pPr>
            <w:r w:rsidRPr="007D7832">
              <w:rPr>
                <w:b/>
                <w:bCs/>
              </w:rPr>
              <w:t>7.3</w:t>
            </w:r>
          </w:p>
          <w:p w14:paraId="7D2E156D" w14:textId="14AAAD66" w:rsidR="00D9493F" w:rsidRPr="007D7832" w:rsidRDefault="00D9493F" w:rsidP="00513D75">
            <w:pPr>
              <w:rPr>
                <w:b/>
                <w:bCs/>
              </w:rPr>
            </w:pPr>
            <w:r w:rsidRPr="007D7832">
              <w:rPr>
                <w:b/>
                <w:bCs/>
              </w:rPr>
              <w:t>6.0</w:t>
            </w:r>
          </w:p>
          <w:p w14:paraId="4F753262" w14:textId="46AEB4B7" w:rsidR="00D9493F" w:rsidRDefault="00D9493F" w:rsidP="00513D75">
            <w:r w:rsidRPr="007D7832">
              <w:rPr>
                <w:b/>
                <w:bCs/>
              </w:rPr>
              <w:t>7.6</w:t>
            </w:r>
          </w:p>
        </w:tc>
        <w:tc>
          <w:tcPr>
            <w:tcW w:w="900" w:type="dxa"/>
            <w:vAlign w:val="center"/>
          </w:tcPr>
          <w:p w14:paraId="5E1AB384" w14:textId="16AB81BB" w:rsidR="00687EE5" w:rsidRDefault="00D9493F" w:rsidP="00513D75">
            <w:r>
              <w:t>NA</w:t>
            </w:r>
          </w:p>
        </w:tc>
        <w:tc>
          <w:tcPr>
            <w:tcW w:w="900" w:type="dxa"/>
            <w:vAlign w:val="center"/>
          </w:tcPr>
          <w:p w14:paraId="4165A798" w14:textId="4C9C9DFA" w:rsidR="00687EE5" w:rsidRDefault="00D9493F" w:rsidP="00513D75">
            <w:r>
              <w:t>NA</w:t>
            </w:r>
          </w:p>
        </w:tc>
        <w:tc>
          <w:tcPr>
            <w:tcW w:w="1170" w:type="dxa"/>
            <w:vAlign w:val="center"/>
          </w:tcPr>
          <w:p w14:paraId="1CFBEFD5" w14:textId="77777777" w:rsidR="00687EE5" w:rsidRDefault="00D9493F" w:rsidP="00513D75">
            <w:r>
              <w:t>&gt;3.0</w:t>
            </w:r>
          </w:p>
          <w:p w14:paraId="0F0FF03B" w14:textId="77777777" w:rsidR="00D9493F" w:rsidRDefault="00D9493F" w:rsidP="00513D75">
            <w:r>
              <w:t>&gt;2.0</w:t>
            </w:r>
          </w:p>
          <w:p w14:paraId="3C3C89A9" w14:textId="77777777" w:rsidR="00D9493F" w:rsidRDefault="00D9493F" w:rsidP="00513D75">
            <w:r>
              <w:t>3.6</w:t>
            </w:r>
          </w:p>
          <w:p w14:paraId="73DB477C" w14:textId="01AD1082" w:rsidR="00D9493F" w:rsidRDefault="00D9493F" w:rsidP="00513D75">
            <w:r>
              <w:t>&gt;2.5</w:t>
            </w:r>
          </w:p>
        </w:tc>
        <w:tc>
          <w:tcPr>
            <w:tcW w:w="1080" w:type="dxa"/>
            <w:vAlign w:val="center"/>
          </w:tcPr>
          <w:p w14:paraId="3E525503" w14:textId="5C64D821" w:rsidR="00687EE5" w:rsidRDefault="00D9493F" w:rsidP="00513D75">
            <w:r>
              <w:t>N</w:t>
            </w:r>
            <w:r w:rsidR="00E43BF4">
              <w:t>A</w:t>
            </w:r>
          </w:p>
        </w:tc>
        <w:tc>
          <w:tcPr>
            <w:tcW w:w="990" w:type="dxa"/>
            <w:vAlign w:val="center"/>
          </w:tcPr>
          <w:p w14:paraId="77941C65" w14:textId="23C451B1" w:rsidR="00687EE5" w:rsidRDefault="00D9493F" w:rsidP="00513D75">
            <w:r>
              <w:t>NA</w:t>
            </w:r>
          </w:p>
        </w:tc>
        <w:tc>
          <w:tcPr>
            <w:tcW w:w="1170" w:type="dxa"/>
            <w:vAlign w:val="center"/>
          </w:tcPr>
          <w:p w14:paraId="08123366" w14:textId="3D7EB5C3" w:rsidR="00687EE5" w:rsidRDefault="00D9493F" w:rsidP="00513D75">
            <w:r>
              <w:t>NA</w:t>
            </w:r>
          </w:p>
        </w:tc>
        <w:tc>
          <w:tcPr>
            <w:tcW w:w="1260" w:type="dxa"/>
            <w:vAlign w:val="center"/>
          </w:tcPr>
          <w:p w14:paraId="3D4A8854" w14:textId="410FD81A" w:rsidR="00687EE5" w:rsidRDefault="00D9493F" w:rsidP="00513D75">
            <w:r>
              <w:t>NA</w:t>
            </w:r>
          </w:p>
        </w:tc>
        <w:tc>
          <w:tcPr>
            <w:tcW w:w="1710" w:type="dxa"/>
            <w:tcBorders>
              <w:right w:val="single" w:sz="12" w:space="0" w:color="0D0D0D" w:themeColor="text1" w:themeTint="F2"/>
            </w:tcBorders>
          </w:tcPr>
          <w:p w14:paraId="6F5CC1CC" w14:textId="5F995F1D" w:rsidR="00687EE5" w:rsidRDefault="00D9493F" w:rsidP="00DD6EE3">
            <w:r>
              <w:t>Ding et al., 2025</w:t>
            </w:r>
          </w:p>
        </w:tc>
      </w:tr>
      <w:tr w:rsidR="004A78A0" w14:paraId="28D1839E" w14:textId="77777777" w:rsidTr="008E2322">
        <w:tc>
          <w:tcPr>
            <w:tcW w:w="1980" w:type="dxa"/>
            <w:tcBorders>
              <w:left w:val="single" w:sz="12" w:space="0" w:color="0D0D0D" w:themeColor="text1" w:themeTint="F2"/>
            </w:tcBorders>
            <w:shd w:val="clear" w:color="auto" w:fill="D9D9D9" w:themeFill="background1" w:themeFillShade="D9"/>
          </w:tcPr>
          <w:p w14:paraId="5B901A4F" w14:textId="32908291" w:rsidR="00687EE5" w:rsidRDefault="00687EE5" w:rsidP="00DD6EE3">
            <w:pPr>
              <w:rPr>
                <w:i/>
                <w:iCs/>
              </w:rPr>
            </w:pPr>
            <w:r w:rsidRPr="00687EE5">
              <w:rPr>
                <w:i/>
                <w:iCs/>
              </w:rPr>
              <w:t>Porphyra yezoensis</w:t>
            </w:r>
          </w:p>
        </w:tc>
        <w:tc>
          <w:tcPr>
            <w:tcW w:w="2790" w:type="dxa"/>
            <w:shd w:val="clear" w:color="auto" w:fill="D9D9D9" w:themeFill="background1" w:themeFillShade="D9"/>
          </w:tcPr>
          <w:p w14:paraId="424E2037" w14:textId="1FAB0346" w:rsidR="00687EE5" w:rsidRDefault="004A78A0" w:rsidP="00DD6EE3">
            <w:r w:rsidRPr="004A78A0">
              <w:t>Retail samples purchased in Korea</w:t>
            </w:r>
          </w:p>
        </w:tc>
        <w:tc>
          <w:tcPr>
            <w:tcW w:w="990" w:type="dxa"/>
            <w:shd w:val="clear" w:color="auto" w:fill="D9D9D9" w:themeFill="background1" w:themeFillShade="D9"/>
            <w:vAlign w:val="center"/>
          </w:tcPr>
          <w:p w14:paraId="475042C7" w14:textId="77777777" w:rsidR="00687EE5" w:rsidRDefault="00D9493F" w:rsidP="00513D75">
            <w:r>
              <w:t>5.5</w:t>
            </w:r>
          </w:p>
          <w:p w14:paraId="50F6DA8A" w14:textId="77777777" w:rsidR="00D9493F" w:rsidRPr="007D7832" w:rsidRDefault="00D9493F" w:rsidP="00513D75">
            <w:pPr>
              <w:rPr>
                <w:b/>
                <w:bCs/>
              </w:rPr>
            </w:pPr>
            <w:r w:rsidRPr="007D7832">
              <w:rPr>
                <w:b/>
                <w:bCs/>
              </w:rPr>
              <w:t>6.6</w:t>
            </w:r>
          </w:p>
          <w:p w14:paraId="5F1451BC" w14:textId="77777777" w:rsidR="00D9493F" w:rsidRPr="007D7832" w:rsidRDefault="00D9493F" w:rsidP="00513D75">
            <w:pPr>
              <w:rPr>
                <w:b/>
                <w:bCs/>
              </w:rPr>
            </w:pPr>
            <w:r w:rsidRPr="007D7832">
              <w:rPr>
                <w:b/>
                <w:bCs/>
              </w:rPr>
              <w:t>6.8</w:t>
            </w:r>
          </w:p>
          <w:p w14:paraId="4A36BDD0" w14:textId="4E79B7AD" w:rsidR="00D9493F" w:rsidRDefault="00D9493F" w:rsidP="00513D75">
            <w:r w:rsidRPr="007D7832">
              <w:rPr>
                <w:b/>
                <w:bCs/>
              </w:rPr>
              <w:t>6.3</w:t>
            </w:r>
          </w:p>
        </w:tc>
        <w:tc>
          <w:tcPr>
            <w:tcW w:w="900" w:type="dxa"/>
            <w:shd w:val="clear" w:color="auto" w:fill="D9D9D9" w:themeFill="background1" w:themeFillShade="D9"/>
            <w:vAlign w:val="center"/>
          </w:tcPr>
          <w:p w14:paraId="311CBA9E" w14:textId="352A20B0" w:rsidR="00687EE5" w:rsidRDefault="00D9493F" w:rsidP="00513D75">
            <w:r>
              <w:t>NA</w:t>
            </w:r>
          </w:p>
        </w:tc>
        <w:tc>
          <w:tcPr>
            <w:tcW w:w="900" w:type="dxa"/>
            <w:shd w:val="clear" w:color="auto" w:fill="D9D9D9" w:themeFill="background1" w:themeFillShade="D9"/>
            <w:vAlign w:val="center"/>
          </w:tcPr>
          <w:p w14:paraId="36300203" w14:textId="7A80AAEC" w:rsidR="00687EE5" w:rsidRDefault="00D9493F" w:rsidP="00513D75">
            <w:r>
              <w:t>NA</w:t>
            </w:r>
          </w:p>
        </w:tc>
        <w:tc>
          <w:tcPr>
            <w:tcW w:w="1170" w:type="dxa"/>
            <w:shd w:val="clear" w:color="auto" w:fill="D9D9D9" w:themeFill="background1" w:themeFillShade="D9"/>
            <w:vAlign w:val="center"/>
          </w:tcPr>
          <w:p w14:paraId="034338C5" w14:textId="77777777" w:rsidR="00687EE5" w:rsidRDefault="00D9493F" w:rsidP="00513D75">
            <w:r>
              <w:t>0.5</w:t>
            </w:r>
          </w:p>
          <w:p w14:paraId="5AFBC431" w14:textId="77777777" w:rsidR="00D9493F" w:rsidRDefault="00D9493F" w:rsidP="00513D75">
            <w:r>
              <w:t>&lt;0.3</w:t>
            </w:r>
          </w:p>
          <w:p w14:paraId="673EE52B" w14:textId="77777777" w:rsidR="00D9493F" w:rsidRDefault="00D9493F" w:rsidP="00513D75">
            <w:r>
              <w:t>0.8</w:t>
            </w:r>
          </w:p>
          <w:p w14:paraId="6AC9F2EC" w14:textId="49316EE5" w:rsidR="00D9493F" w:rsidRDefault="00D9493F" w:rsidP="00513D75">
            <w:r>
              <w:t>1.3</w:t>
            </w:r>
          </w:p>
        </w:tc>
        <w:tc>
          <w:tcPr>
            <w:tcW w:w="1080" w:type="dxa"/>
            <w:shd w:val="clear" w:color="auto" w:fill="D9D9D9" w:themeFill="background1" w:themeFillShade="D9"/>
            <w:vAlign w:val="center"/>
          </w:tcPr>
          <w:p w14:paraId="77A54C91" w14:textId="77777777" w:rsidR="00687EE5" w:rsidRDefault="00D9493F" w:rsidP="00513D75">
            <w:r>
              <w:t>&lt;-0.7</w:t>
            </w:r>
          </w:p>
          <w:p w14:paraId="67A87F38" w14:textId="77777777" w:rsidR="00D9493F" w:rsidRDefault="00D9493F" w:rsidP="00513D75">
            <w:r>
              <w:t>&lt;-0.7</w:t>
            </w:r>
          </w:p>
          <w:p w14:paraId="64C16AD0" w14:textId="77777777" w:rsidR="00D9493F" w:rsidRDefault="00D9493F" w:rsidP="00513D75">
            <w:r>
              <w:t>&lt;-0.7</w:t>
            </w:r>
          </w:p>
          <w:p w14:paraId="60792CA9" w14:textId="6B2BA419" w:rsidR="00D9493F" w:rsidRDefault="00D9493F" w:rsidP="00513D75">
            <w:r>
              <w:t>&lt;-0.7</w:t>
            </w:r>
          </w:p>
        </w:tc>
        <w:tc>
          <w:tcPr>
            <w:tcW w:w="990" w:type="dxa"/>
            <w:shd w:val="clear" w:color="auto" w:fill="D9D9D9" w:themeFill="background1" w:themeFillShade="D9"/>
            <w:vAlign w:val="center"/>
          </w:tcPr>
          <w:p w14:paraId="23B34303" w14:textId="5BDCC9F6" w:rsidR="00687EE5" w:rsidRDefault="00D9493F" w:rsidP="00513D75">
            <w:r>
              <w:t>NA</w:t>
            </w:r>
          </w:p>
        </w:tc>
        <w:tc>
          <w:tcPr>
            <w:tcW w:w="1170" w:type="dxa"/>
            <w:shd w:val="clear" w:color="auto" w:fill="D9D9D9" w:themeFill="background1" w:themeFillShade="D9"/>
            <w:vAlign w:val="center"/>
          </w:tcPr>
          <w:p w14:paraId="2F1E87FB" w14:textId="59959E0A" w:rsidR="00687EE5" w:rsidRDefault="00D9493F" w:rsidP="00513D75">
            <w:r>
              <w:t>NA</w:t>
            </w:r>
          </w:p>
        </w:tc>
        <w:tc>
          <w:tcPr>
            <w:tcW w:w="1260" w:type="dxa"/>
            <w:shd w:val="clear" w:color="auto" w:fill="D9D9D9" w:themeFill="background1" w:themeFillShade="D9"/>
            <w:vAlign w:val="center"/>
          </w:tcPr>
          <w:p w14:paraId="4153835F" w14:textId="17E22441" w:rsidR="00687EE5" w:rsidRDefault="00D9493F" w:rsidP="00513D75">
            <w:r>
              <w:t>NA</w:t>
            </w:r>
          </w:p>
        </w:tc>
        <w:tc>
          <w:tcPr>
            <w:tcW w:w="1710" w:type="dxa"/>
            <w:tcBorders>
              <w:right w:val="single" w:sz="12" w:space="0" w:color="0D0D0D" w:themeColor="text1" w:themeTint="F2"/>
            </w:tcBorders>
            <w:shd w:val="clear" w:color="auto" w:fill="D9D9D9" w:themeFill="background1" w:themeFillShade="D9"/>
          </w:tcPr>
          <w:p w14:paraId="3BE3AF86" w14:textId="7AA1033C" w:rsidR="00687EE5" w:rsidRDefault="00D9493F" w:rsidP="00DD6EE3">
            <w:r>
              <w:t>Son et al., 2014</w:t>
            </w:r>
          </w:p>
        </w:tc>
      </w:tr>
      <w:tr w:rsidR="004A78A0" w14:paraId="1AE1038C" w14:textId="77777777" w:rsidTr="008E2322">
        <w:tc>
          <w:tcPr>
            <w:tcW w:w="1980" w:type="dxa"/>
            <w:tcBorders>
              <w:left w:val="single" w:sz="12" w:space="0" w:color="0D0D0D" w:themeColor="text1" w:themeTint="F2"/>
            </w:tcBorders>
          </w:tcPr>
          <w:p w14:paraId="08B3195F" w14:textId="6CEDB9FB" w:rsidR="00687EE5" w:rsidRDefault="00687EE5" w:rsidP="00DD6EE3">
            <w:pPr>
              <w:rPr>
                <w:i/>
                <w:iCs/>
              </w:rPr>
            </w:pPr>
            <w:r w:rsidRPr="00687EE5">
              <w:rPr>
                <w:i/>
                <w:iCs/>
              </w:rPr>
              <w:t>Porphyra yezoensis</w:t>
            </w:r>
          </w:p>
        </w:tc>
        <w:tc>
          <w:tcPr>
            <w:tcW w:w="2790" w:type="dxa"/>
          </w:tcPr>
          <w:p w14:paraId="59E1043D" w14:textId="6000CAA8" w:rsidR="00687EE5" w:rsidRDefault="004A78A0" w:rsidP="00DD6EE3">
            <w:r w:rsidRPr="004A78A0">
              <w:t>Commercial laver snacks produced in Korea (different manufacturers)</w:t>
            </w:r>
          </w:p>
        </w:tc>
        <w:tc>
          <w:tcPr>
            <w:tcW w:w="990" w:type="dxa"/>
            <w:vAlign w:val="center"/>
          </w:tcPr>
          <w:p w14:paraId="6AE2DC1F" w14:textId="77777777" w:rsidR="00687EE5" w:rsidRPr="007D7832" w:rsidRDefault="00D9493F" w:rsidP="00513D75">
            <w:pPr>
              <w:rPr>
                <w:b/>
                <w:bCs/>
              </w:rPr>
            </w:pPr>
            <w:r w:rsidRPr="007D7832">
              <w:rPr>
                <w:b/>
                <w:bCs/>
              </w:rPr>
              <w:t>6.7</w:t>
            </w:r>
          </w:p>
          <w:p w14:paraId="0CDD68F6" w14:textId="77777777" w:rsidR="00D9493F" w:rsidRPr="007D7832" w:rsidRDefault="00D9493F" w:rsidP="00513D75">
            <w:pPr>
              <w:rPr>
                <w:b/>
                <w:bCs/>
              </w:rPr>
            </w:pPr>
            <w:r w:rsidRPr="007D7832">
              <w:rPr>
                <w:b/>
                <w:bCs/>
              </w:rPr>
              <w:t>8.0</w:t>
            </w:r>
          </w:p>
          <w:p w14:paraId="1118BF52" w14:textId="77777777" w:rsidR="00D9493F" w:rsidRDefault="00D9493F" w:rsidP="00513D75">
            <w:r>
              <w:t>5.7</w:t>
            </w:r>
          </w:p>
          <w:p w14:paraId="5DE3F1F0" w14:textId="77777777" w:rsidR="00D9493F" w:rsidRPr="007D7832" w:rsidRDefault="00D9493F" w:rsidP="00513D75">
            <w:pPr>
              <w:rPr>
                <w:b/>
                <w:bCs/>
              </w:rPr>
            </w:pPr>
            <w:r w:rsidRPr="007D7832">
              <w:rPr>
                <w:b/>
                <w:bCs/>
              </w:rPr>
              <w:t>6.3</w:t>
            </w:r>
          </w:p>
          <w:p w14:paraId="352696A2" w14:textId="77777777" w:rsidR="00D9493F" w:rsidRDefault="00D9493F" w:rsidP="00513D75">
            <w:r>
              <w:t>5.6</w:t>
            </w:r>
          </w:p>
          <w:p w14:paraId="71F8A429" w14:textId="77777777" w:rsidR="00D9493F" w:rsidRPr="007D7832" w:rsidRDefault="00D9493F" w:rsidP="00513D75">
            <w:pPr>
              <w:rPr>
                <w:b/>
                <w:bCs/>
              </w:rPr>
            </w:pPr>
            <w:r w:rsidRPr="007D7832">
              <w:rPr>
                <w:b/>
                <w:bCs/>
              </w:rPr>
              <w:t>7.7</w:t>
            </w:r>
          </w:p>
          <w:p w14:paraId="286C70E1" w14:textId="093C8C87" w:rsidR="00D9493F" w:rsidRDefault="00D9493F" w:rsidP="00513D75">
            <w:r w:rsidRPr="007D7832">
              <w:rPr>
                <w:b/>
                <w:bCs/>
              </w:rPr>
              <w:t>6.1</w:t>
            </w:r>
          </w:p>
        </w:tc>
        <w:tc>
          <w:tcPr>
            <w:tcW w:w="900" w:type="dxa"/>
            <w:vAlign w:val="center"/>
          </w:tcPr>
          <w:p w14:paraId="63331D9C" w14:textId="2C34CAA4" w:rsidR="00687EE5" w:rsidRDefault="00D9493F" w:rsidP="00513D75">
            <w:r>
              <w:t>NA</w:t>
            </w:r>
          </w:p>
        </w:tc>
        <w:tc>
          <w:tcPr>
            <w:tcW w:w="900" w:type="dxa"/>
            <w:vAlign w:val="center"/>
          </w:tcPr>
          <w:p w14:paraId="3B03DA84" w14:textId="142C1725" w:rsidR="00687EE5" w:rsidRDefault="00D9493F" w:rsidP="00513D75">
            <w:r>
              <w:t>NA</w:t>
            </w:r>
          </w:p>
        </w:tc>
        <w:tc>
          <w:tcPr>
            <w:tcW w:w="1170" w:type="dxa"/>
            <w:vAlign w:val="center"/>
          </w:tcPr>
          <w:p w14:paraId="458B2C5A" w14:textId="77777777" w:rsidR="00687EE5" w:rsidRDefault="00D9493F" w:rsidP="00513D75">
            <w:r>
              <w:t>0.8</w:t>
            </w:r>
          </w:p>
          <w:p w14:paraId="0453D30C" w14:textId="77777777" w:rsidR="00D9493F" w:rsidRDefault="00D9493F" w:rsidP="00513D75">
            <w:r>
              <w:t>0.5</w:t>
            </w:r>
          </w:p>
          <w:p w14:paraId="1E5928A3" w14:textId="77777777" w:rsidR="00D9493F" w:rsidRDefault="00D9493F" w:rsidP="00513D75">
            <w:r>
              <w:t>1.0</w:t>
            </w:r>
          </w:p>
          <w:p w14:paraId="2F459DF6" w14:textId="77777777" w:rsidR="00D9493F" w:rsidRDefault="00D9493F" w:rsidP="00513D75">
            <w:r>
              <w:t>1.2</w:t>
            </w:r>
          </w:p>
          <w:p w14:paraId="2626121F" w14:textId="77777777" w:rsidR="00D9493F" w:rsidRDefault="00D9493F" w:rsidP="00513D75">
            <w:r>
              <w:t>2.0</w:t>
            </w:r>
          </w:p>
          <w:p w14:paraId="3A4C4482" w14:textId="77777777" w:rsidR="00D9493F" w:rsidRDefault="00D9493F" w:rsidP="00513D75">
            <w:r>
              <w:t>-0.3</w:t>
            </w:r>
          </w:p>
          <w:p w14:paraId="1DE2C290" w14:textId="337CBA08" w:rsidR="00D9493F" w:rsidRDefault="00D9493F" w:rsidP="00513D75">
            <w:r>
              <w:t>2.</w:t>
            </w:r>
            <w:r w:rsidR="00513D75">
              <w:t>4</w:t>
            </w:r>
          </w:p>
        </w:tc>
        <w:tc>
          <w:tcPr>
            <w:tcW w:w="1080" w:type="dxa"/>
            <w:vAlign w:val="center"/>
          </w:tcPr>
          <w:p w14:paraId="45C0EEF0" w14:textId="77777777" w:rsidR="00687EE5" w:rsidRDefault="00D9493F" w:rsidP="00513D75">
            <w:r>
              <w:t>&lt;-0.7</w:t>
            </w:r>
          </w:p>
          <w:p w14:paraId="1BA59F55" w14:textId="77777777" w:rsidR="00D9493F" w:rsidRDefault="00D9493F" w:rsidP="00513D75">
            <w:r>
              <w:t>&lt;-0.7</w:t>
            </w:r>
          </w:p>
          <w:p w14:paraId="7E6B6205" w14:textId="77777777" w:rsidR="00D9493F" w:rsidRDefault="00D9493F" w:rsidP="00513D75">
            <w:r>
              <w:t>&lt;-0.7</w:t>
            </w:r>
          </w:p>
          <w:p w14:paraId="5F411943" w14:textId="77777777" w:rsidR="00D9493F" w:rsidRDefault="00D9493F" w:rsidP="00513D75">
            <w:r>
              <w:t>&lt;-0.7</w:t>
            </w:r>
          </w:p>
          <w:p w14:paraId="0B872DBD" w14:textId="77777777" w:rsidR="00D9493F" w:rsidRDefault="00D9493F" w:rsidP="00513D75">
            <w:r>
              <w:t>&lt;-0.7</w:t>
            </w:r>
          </w:p>
          <w:p w14:paraId="22E585FE" w14:textId="77777777" w:rsidR="00D9493F" w:rsidRDefault="00D9493F" w:rsidP="00513D75">
            <w:r>
              <w:t>&lt;-0.7</w:t>
            </w:r>
          </w:p>
          <w:p w14:paraId="1F4EC22A" w14:textId="5A522B60" w:rsidR="00D9493F" w:rsidRDefault="00D9493F" w:rsidP="00513D75">
            <w:r>
              <w:t>&lt;-0.7</w:t>
            </w:r>
          </w:p>
        </w:tc>
        <w:tc>
          <w:tcPr>
            <w:tcW w:w="990" w:type="dxa"/>
            <w:vAlign w:val="center"/>
          </w:tcPr>
          <w:p w14:paraId="2B7B9369" w14:textId="618A5D59" w:rsidR="00687EE5" w:rsidRDefault="00D9493F" w:rsidP="00513D75">
            <w:r>
              <w:t>NA</w:t>
            </w:r>
          </w:p>
        </w:tc>
        <w:tc>
          <w:tcPr>
            <w:tcW w:w="1170" w:type="dxa"/>
            <w:vAlign w:val="center"/>
          </w:tcPr>
          <w:p w14:paraId="3ED2E7EE" w14:textId="764C2091" w:rsidR="00687EE5" w:rsidRDefault="00D9493F" w:rsidP="00513D75">
            <w:r>
              <w:t>NA</w:t>
            </w:r>
          </w:p>
        </w:tc>
        <w:tc>
          <w:tcPr>
            <w:tcW w:w="1260" w:type="dxa"/>
            <w:vAlign w:val="center"/>
          </w:tcPr>
          <w:p w14:paraId="3C18658F" w14:textId="403CC486" w:rsidR="00687EE5" w:rsidRDefault="00D9493F" w:rsidP="00513D75">
            <w:r>
              <w:t>NA</w:t>
            </w:r>
          </w:p>
        </w:tc>
        <w:tc>
          <w:tcPr>
            <w:tcW w:w="1710" w:type="dxa"/>
            <w:tcBorders>
              <w:right w:val="single" w:sz="12" w:space="0" w:color="0D0D0D" w:themeColor="text1" w:themeTint="F2"/>
            </w:tcBorders>
          </w:tcPr>
          <w:p w14:paraId="0EFCFF76" w14:textId="63C0A0E8" w:rsidR="00687EE5" w:rsidRDefault="00D9493F" w:rsidP="00DD6EE3">
            <w:r>
              <w:t>Son et al., 2014</w:t>
            </w:r>
          </w:p>
        </w:tc>
      </w:tr>
      <w:tr w:rsidR="004A78A0" w14:paraId="41807F0B" w14:textId="77777777" w:rsidTr="008E2322">
        <w:tc>
          <w:tcPr>
            <w:tcW w:w="1980" w:type="dxa"/>
            <w:tcBorders>
              <w:left w:val="single" w:sz="12" w:space="0" w:color="0D0D0D" w:themeColor="text1" w:themeTint="F2"/>
            </w:tcBorders>
            <w:shd w:val="clear" w:color="auto" w:fill="D9D9D9" w:themeFill="background1" w:themeFillShade="D9"/>
          </w:tcPr>
          <w:p w14:paraId="4551D5BF" w14:textId="4075EC00" w:rsidR="00687EE5" w:rsidRDefault="00687EE5" w:rsidP="00DD6EE3">
            <w:pPr>
              <w:rPr>
                <w:i/>
                <w:iCs/>
              </w:rPr>
            </w:pPr>
            <w:r w:rsidRPr="00687EE5">
              <w:rPr>
                <w:i/>
                <w:iCs/>
              </w:rPr>
              <w:lastRenderedPageBreak/>
              <w:t>Porphyra yezoensis</w:t>
            </w:r>
          </w:p>
        </w:tc>
        <w:tc>
          <w:tcPr>
            <w:tcW w:w="2790" w:type="dxa"/>
            <w:shd w:val="clear" w:color="auto" w:fill="D9D9D9" w:themeFill="background1" w:themeFillShade="D9"/>
          </w:tcPr>
          <w:p w14:paraId="6F81C997" w14:textId="6461068B" w:rsidR="00687EE5" w:rsidRDefault="004A78A0" w:rsidP="00DD6EE3">
            <w:r w:rsidRPr="004A78A0">
              <w:t>Commercial laver snacks produced in China (different manufacturers)</w:t>
            </w:r>
          </w:p>
        </w:tc>
        <w:tc>
          <w:tcPr>
            <w:tcW w:w="990" w:type="dxa"/>
            <w:shd w:val="clear" w:color="auto" w:fill="D9D9D9" w:themeFill="background1" w:themeFillShade="D9"/>
            <w:vAlign w:val="center"/>
          </w:tcPr>
          <w:p w14:paraId="1D198976" w14:textId="77777777" w:rsidR="00687EE5" w:rsidRPr="007D7832" w:rsidRDefault="007D7832" w:rsidP="00513D75">
            <w:pPr>
              <w:rPr>
                <w:b/>
                <w:bCs/>
              </w:rPr>
            </w:pPr>
            <w:r w:rsidRPr="007D7832">
              <w:rPr>
                <w:b/>
                <w:bCs/>
              </w:rPr>
              <w:t>7.3</w:t>
            </w:r>
          </w:p>
          <w:p w14:paraId="611F9173" w14:textId="530688E7" w:rsidR="007D7832" w:rsidRPr="007D7832" w:rsidRDefault="007D7832" w:rsidP="00513D75">
            <w:pPr>
              <w:rPr>
                <w:b/>
                <w:bCs/>
              </w:rPr>
            </w:pPr>
            <w:r w:rsidRPr="007D7832">
              <w:rPr>
                <w:b/>
                <w:bCs/>
              </w:rPr>
              <w:t>7.9</w:t>
            </w:r>
          </w:p>
        </w:tc>
        <w:tc>
          <w:tcPr>
            <w:tcW w:w="900" w:type="dxa"/>
            <w:shd w:val="clear" w:color="auto" w:fill="D9D9D9" w:themeFill="background1" w:themeFillShade="D9"/>
            <w:vAlign w:val="center"/>
          </w:tcPr>
          <w:p w14:paraId="131BE2B0" w14:textId="004ED318" w:rsidR="00687EE5" w:rsidRDefault="007D7832" w:rsidP="00513D75">
            <w:r>
              <w:t>NA</w:t>
            </w:r>
          </w:p>
        </w:tc>
        <w:tc>
          <w:tcPr>
            <w:tcW w:w="900" w:type="dxa"/>
            <w:shd w:val="clear" w:color="auto" w:fill="D9D9D9" w:themeFill="background1" w:themeFillShade="D9"/>
            <w:vAlign w:val="center"/>
          </w:tcPr>
          <w:p w14:paraId="5B9545B8" w14:textId="77777777" w:rsidR="00687EE5" w:rsidRDefault="007D7832" w:rsidP="00513D75">
            <w:r>
              <w:t>1.7</w:t>
            </w:r>
          </w:p>
          <w:p w14:paraId="2FD441B8" w14:textId="7A341127" w:rsidR="007D7832" w:rsidRDefault="007D7832" w:rsidP="00513D75">
            <w:r>
              <w:t>2.6</w:t>
            </w:r>
          </w:p>
        </w:tc>
        <w:tc>
          <w:tcPr>
            <w:tcW w:w="1170" w:type="dxa"/>
            <w:shd w:val="clear" w:color="auto" w:fill="D9D9D9" w:themeFill="background1" w:themeFillShade="D9"/>
            <w:vAlign w:val="center"/>
          </w:tcPr>
          <w:p w14:paraId="23BC8C8A" w14:textId="77777777" w:rsidR="00687EE5" w:rsidRDefault="007D7832" w:rsidP="00513D75">
            <w:r>
              <w:t>2.1</w:t>
            </w:r>
          </w:p>
          <w:p w14:paraId="7CEA0A21" w14:textId="152EA9CA" w:rsidR="007D7832" w:rsidRDefault="007D7832" w:rsidP="00513D75">
            <w:r>
              <w:t>3.9</w:t>
            </w:r>
          </w:p>
        </w:tc>
        <w:tc>
          <w:tcPr>
            <w:tcW w:w="1080" w:type="dxa"/>
            <w:shd w:val="clear" w:color="auto" w:fill="D9D9D9" w:themeFill="background1" w:themeFillShade="D9"/>
            <w:vAlign w:val="center"/>
          </w:tcPr>
          <w:p w14:paraId="39938F79" w14:textId="048F4904" w:rsidR="00687EE5" w:rsidRDefault="007D7832" w:rsidP="00513D75">
            <w:r>
              <w:t>NA</w:t>
            </w:r>
          </w:p>
        </w:tc>
        <w:tc>
          <w:tcPr>
            <w:tcW w:w="990" w:type="dxa"/>
            <w:shd w:val="clear" w:color="auto" w:fill="D9D9D9" w:themeFill="background1" w:themeFillShade="D9"/>
            <w:vAlign w:val="center"/>
          </w:tcPr>
          <w:p w14:paraId="6CF3D59E" w14:textId="07F0D24F" w:rsidR="00687EE5" w:rsidRDefault="007D7832" w:rsidP="00513D75">
            <w:r>
              <w:t>NA</w:t>
            </w:r>
          </w:p>
        </w:tc>
        <w:tc>
          <w:tcPr>
            <w:tcW w:w="1170" w:type="dxa"/>
            <w:shd w:val="clear" w:color="auto" w:fill="D9D9D9" w:themeFill="background1" w:themeFillShade="D9"/>
            <w:vAlign w:val="center"/>
          </w:tcPr>
          <w:p w14:paraId="6157053C" w14:textId="3CC0C87D" w:rsidR="00687EE5" w:rsidRDefault="007D7832" w:rsidP="00513D75">
            <w:r>
              <w:t>NA</w:t>
            </w:r>
          </w:p>
        </w:tc>
        <w:tc>
          <w:tcPr>
            <w:tcW w:w="1260" w:type="dxa"/>
            <w:shd w:val="clear" w:color="auto" w:fill="D9D9D9" w:themeFill="background1" w:themeFillShade="D9"/>
            <w:vAlign w:val="center"/>
          </w:tcPr>
          <w:p w14:paraId="6270ABEE" w14:textId="4AD82832" w:rsidR="00687EE5" w:rsidRDefault="007D7832" w:rsidP="00513D75">
            <w:r>
              <w:t>NA</w:t>
            </w:r>
          </w:p>
        </w:tc>
        <w:tc>
          <w:tcPr>
            <w:tcW w:w="1710" w:type="dxa"/>
            <w:tcBorders>
              <w:right w:val="single" w:sz="12" w:space="0" w:color="0D0D0D" w:themeColor="text1" w:themeTint="F2"/>
            </w:tcBorders>
            <w:shd w:val="clear" w:color="auto" w:fill="D9D9D9" w:themeFill="background1" w:themeFillShade="D9"/>
          </w:tcPr>
          <w:p w14:paraId="1780C133" w14:textId="5B965D24" w:rsidR="00687EE5" w:rsidRDefault="00D9493F" w:rsidP="00DD6EE3">
            <w:r>
              <w:t>Wang et al., 2023</w:t>
            </w:r>
          </w:p>
        </w:tc>
      </w:tr>
      <w:tr w:rsidR="007D7832" w14:paraId="4E31FABC" w14:textId="77777777" w:rsidTr="008E2322">
        <w:tc>
          <w:tcPr>
            <w:tcW w:w="1980" w:type="dxa"/>
            <w:tcBorders>
              <w:left w:val="single" w:sz="12" w:space="0" w:color="0D0D0D" w:themeColor="text1" w:themeTint="F2"/>
              <w:bottom w:val="single" w:sz="12" w:space="0" w:color="0D0D0D" w:themeColor="text1" w:themeTint="F2"/>
            </w:tcBorders>
          </w:tcPr>
          <w:p w14:paraId="59F37868" w14:textId="7F400CF1" w:rsidR="004A78A0" w:rsidRPr="00687EE5" w:rsidRDefault="004A78A0" w:rsidP="00DD6EE3">
            <w:pPr>
              <w:rPr>
                <w:i/>
                <w:iCs/>
              </w:rPr>
            </w:pPr>
            <w:r w:rsidRPr="00687EE5">
              <w:rPr>
                <w:i/>
                <w:iCs/>
              </w:rPr>
              <w:t>Porphyra yezoensis</w:t>
            </w:r>
          </w:p>
        </w:tc>
        <w:tc>
          <w:tcPr>
            <w:tcW w:w="2790" w:type="dxa"/>
            <w:tcBorders>
              <w:bottom w:val="single" w:sz="12" w:space="0" w:color="0D0D0D" w:themeColor="text1" w:themeTint="F2"/>
            </w:tcBorders>
          </w:tcPr>
          <w:p w14:paraId="6C5F1E9F" w14:textId="50DB0ABE" w:rsidR="004A78A0" w:rsidRPr="004A78A0" w:rsidRDefault="004A78A0" w:rsidP="00DD6EE3">
            <w:r w:rsidRPr="004A78A0">
              <w:t>Commercially dried ingredient for further processing (different manufacturers, China)</w:t>
            </w:r>
          </w:p>
        </w:tc>
        <w:tc>
          <w:tcPr>
            <w:tcW w:w="990" w:type="dxa"/>
            <w:tcBorders>
              <w:bottom w:val="single" w:sz="12" w:space="0" w:color="0D0D0D" w:themeColor="text1" w:themeTint="F2"/>
            </w:tcBorders>
            <w:vAlign w:val="center"/>
          </w:tcPr>
          <w:p w14:paraId="6C177137" w14:textId="77777777" w:rsidR="004A78A0" w:rsidRPr="007D7832" w:rsidRDefault="007D7832" w:rsidP="00513D75">
            <w:pPr>
              <w:rPr>
                <w:b/>
                <w:bCs/>
              </w:rPr>
            </w:pPr>
            <w:r w:rsidRPr="007D7832">
              <w:rPr>
                <w:b/>
                <w:bCs/>
              </w:rPr>
              <w:t>7.0</w:t>
            </w:r>
          </w:p>
          <w:p w14:paraId="2A53ADA7" w14:textId="77777777" w:rsidR="007D7832" w:rsidRDefault="007D7832" w:rsidP="00513D75">
            <w:r>
              <w:t>5.8</w:t>
            </w:r>
          </w:p>
          <w:p w14:paraId="2162482C" w14:textId="77777777" w:rsidR="007D7832" w:rsidRPr="007D7832" w:rsidRDefault="007D7832" w:rsidP="00513D75">
            <w:pPr>
              <w:rPr>
                <w:b/>
                <w:bCs/>
              </w:rPr>
            </w:pPr>
            <w:r w:rsidRPr="007D7832">
              <w:rPr>
                <w:b/>
                <w:bCs/>
              </w:rPr>
              <w:t>6.6</w:t>
            </w:r>
          </w:p>
          <w:p w14:paraId="1826A8BC" w14:textId="2858F1D6" w:rsidR="007D7832" w:rsidRDefault="007D7832" w:rsidP="00513D75">
            <w:r>
              <w:t>2.7</w:t>
            </w:r>
          </w:p>
        </w:tc>
        <w:tc>
          <w:tcPr>
            <w:tcW w:w="900" w:type="dxa"/>
            <w:tcBorders>
              <w:bottom w:val="single" w:sz="12" w:space="0" w:color="0D0D0D" w:themeColor="text1" w:themeTint="F2"/>
            </w:tcBorders>
            <w:vAlign w:val="center"/>
          </w:tcPr>
          <w:p w14:paraId="1E23E839" w14:textId="58E9CD68" w:rsidR="004A78A0" w:rsidRDefault="007D7832" w:rsidP="00513D75">
            <w:r>
              <w:t>N</w:t>
            </w:r>
            <w:r w:rsidR="00E43BF4">
              <w:t>A</w:t>
            </w:r>
          </w:p>
        </w:tc>
        <w:tc>
          <w:tcPr>
            <w:tcW w:w="900" w:type="dxa"/>
            <w:tcBorders>
              <w:bottom w:val="single" w:sz="12" w:space="0" w:color="0D0D0D" w:themeColor="text1" w:themeTint="F2"/>
            </w:tcBorders>
            <w:vAlign w:val="center"/>
          </w:tcPr>
          <w:p w14:paraId="2C27DDB7" w14:textId="77777777" w:rsidR="004A78A0" w:rsidRDefault="007D7832" w:rsidP="00513D75">
            <w:r>
              <w:t>1.0</w:t>
            </w:r>
          </w:p>
          <w:p w14:paraId="44404906" w14:textId="77777777" w:rsidR="007D7832" w:rsidRDefault="007D7832" w:rsidP="00513D75">
            <w:r>
              <w:t>&lt;1.0</w:t>
            </w:r>
          </w:p>
          <w:p w14:paraId="22C10532" w14:textId="77777777" w:rsidR="007D7832" w:rsidRDefault="007D7832" w:rsidP="00513D75">
            <w:r>
              <w:t>1.9</w:t>
            </w:r>
          </w:p>
          <w:p w14:paraId="6290A7D3" w14:textId="7CB8C3EB" w:rsidR="007D7832" w:rsidRDefault="007D7832" w:rsidP="00513D75">
            <w:r>
              <w:t>1.2</w:t>
            </w:r>
          </w:p>
        </w:tc>
        <w:tc>
          <w:tcPr>
            <w:tcW w:w="1170" w:type="dxa"/>
            <w:tcBorders>
              <w:bottom w:val="single" w:sz="12" w:space="0" w:color="0D0D0D" w:themeColor="text1" w:themeTint="F2"/>
            </w:tcBorders>
            <w:vAlign w:val="center"/>
          </w:tcPr>
          <w:p w14:paraId="5A8DDF8F" w14:textId="77777777" w:rsidR="004A78A0" w:rsidRDefault="007D7832" w:rsidP="00513D75">
            <w:r>
              <w:t>1.0</w:t>
            </w:r>
          </w:p>
          <w:p w14:paraId="2342C0D4" w14:textId="77777777" w:rsidR="007D7832" w:rsidRDefault="007D7832" w:rsidP="00513D75">
            <w:r>
              <w:t>&lt;1.0</w:t>
            </w:r>
          </w:p>
          <w:p w14:paraId="79968CD3" w14:textId="77777777" w:rsidR="007D7832" w:rsidRDefault="007D7832" w:rsidP="00513D75">
            <w:r>
              <w:t>&lt;1.0</w:t>
            </w:r>
          </w:p>
          <w:p w14:paraId="628330AD" w14:textId="52F59660" w:rsidR="007D7832" w:rsidRDefault="007D7832" w:rsidP="00513D75">
            <w:r>
              <w:t>1.2</w:t>
            </w:r>
          </w:p>
        </w:tc>
        <w:tc>
          <w:tcPr>
            <w:tcW w:w="1080" w:type="dxa"/>
            <w:tcBorders>
              <w:bottom w:val="single" w:sz="12" w:space="0" w:color="0D0D0D" w:themeColor="text1" w:themeTint="F2"/>
            </w:tcBorders>
            <w:vAlign w:val="center"/>
          </w:tcPr>
          <w:p w14:paraId="5DEF53AF" w14:textId="3626AB88" w:rsidR="004A78A0" w:rsidRDefault="007D7832" w:rsidP="00513D75">
            <w:r>
              <w:t>NA</w:t>
            </w:r>
          </w:p>
        </w:tc>
        <w:tc>
          <w:tcPr>
            <w:tcW w:w="990" w:type="dxa"/>
            <w:tcBorders>
              <w:bottom w:val="single" w:sz="12" w:space="0" w:color="0D0D0D" w:themeColor="text1" w:themeTint="F2"/>
            </w:tcBorders>
            <w:vAlign w:val="center"/>
          </w:tcPr>
          <w:p w14:paraId="416A3D8F" w14:textId="193C64E0" w:rsidR="004A78A0" w:rsidRDefault="007D7832" w:rsidP="00513D75">
            <w:r>
              <w:t>NA</w:t>
            </w:r>
          </w:p>
        </w:tc>
        <w:tc>
          <w:tcPr>
            <w:tcW w:w="1170" w:type="dxa"/>
            <w:tcBorders>
              <w:bottom w:val="single" w:sz="12" w:space="0" w:color="0D0D0D" w:themeColor="text1" w:themeTint="F2"/>
            </w:tcBorders>
            <w:vAlign w:val="center"/>
          </w:tcPr>
          <w:p w14:paraId="23C880C0" w14:textId="264AA8D9" w:rsidR="004A78A0" w:rsidRDefault="007D7832" w:rsidP="00513D75">
            <w:r>
              <w:t>NA</w:t>
            </w:r>
          </w:p>
        </w:tc>
        <w:tc>
          <w:tcPr>
            <w:tcW w:w="1260" w:type="dxa"/>
            <w:tcBorders>
              <w:bottom w:val="single" w:sz="12" w:space="0" w:color="0D0D0D" w:themeColor="text1" w:themeTint="F2"/>
            </w:tcBorders>
            <w:vAlign w:val="center"/>
          </w:tcPr>
          <w:p w14:paraId="5E000B82" w14:textId="618AD643" w:rsidR="004A78A0" w:rsidRDefault="007D7832" w:rsidP="00513D75">
            <w:r>
              <w:t>NA</w:t>
            </w:r>
          </w:p>
        </w:tc>
        <w:tc>
          <w:tcPr>
            <w:tcW w:w="1710" w:type="dxa"/>
            <w:tcBorders>
              <w:bottom w:val="single" w:sz="12" w:space="0" w:color="0D0D0D" w:themeColor="text1" w:themeTint="F2"/>
              <w:right w:val="single" w:sz="12" w:space="0" w:color="0D0D0D" w:themeColor="text1" w:themeTint="F2"/>
            </w:tcBorders>
          </w:tcPr>
          <w:p w14:paraId="42C65830" w14:textId="0D6E5041" w:rsidR="004A78A0" w:rsidRDefault="007D7832" w:rsidP="00DD6EE3">
            <w:r>
              <w:t>Zhou et al., 2023</w:t>
            </w:r>
          </w:p>
        </w:tc>
      </w:tr>
      <w:tr w:rsidR="004A78A0" w14:paraId="552E6ACF" w14:textId="77777777" w:rsidTr="008E2322">
        <w:tc>
          <w:tcPr>
            <w:tcW w:w="1980" w:type="dxa"/>
            <w:tcBorders>
              <w:top w:val="single" w:sz="12" w:space="0" w:color="0D0D0D" w:themeColor="text1" w:themeTint="F2"/>
              <w:left w:val="single" w:sz="12" w:space="0" w:color="0D0D0D" w:themeColor="text1" w:themeTint="F2"/>
            </w:tcBorders>
            <w:shd w:val="clear" w:color="auto" w:fill="D9D9D9" w:themeFill="background1" w:themeFillShade="D9"/>
          </w:tcPr>
          <w:p w14:paraId="7996A7B4" w14:textId="3F1E5B79" w:rsidR="00687EE5" w:rsidRPr="00687EE5" w:rsidRDefault="00687EE5" w:rsidP="00DD6EE3">
            <w:r>
              <w:rPr>
                <w:i/>
                <w:iCs/>
              </w:rPr>
              <w:t>Ulva</w:t>
            </w:r>
            <w:r>
              <w:t xml:space="preserve"> species</w:t>
            </w:r>
          </w:p>
        </w:tc>
        <w:tc>
          <w:tcPr>
            <w:tcW w:w="2790" w:type="dxa"/>
            <w:tcBorders>
              <w:top w:val="single" w:sz="12" w:space="0" w:color="0D0D0D" w:themeColor="text1" w:themeTint="F2"/>
            </w:tcBorders>
            <w:shd w:val="clear" w:color="auto" w:fill="D9D9D9" w:themeFill="background1" w:themeFillShade="D9"/>
          </w:tcPr>
          <w:p w14:paraId="23AC9503" w14:textId="0751DE2A" w:rsidR="00687EE5" w:rsidRDefault="004A78A0" w:rsidP="00DD6EE3">
            <w:r w:rsidRPr="004A78A0">
              <w:t>Farmed (integrated multitrophic aquaculture), commercially dried, subsequently freeze dried</w:t>
            </w:r>
          </w:p>
        </w:tc>
        <w:tc>
          <w:tcPr>
            <w:tcW w:w="990" w:type="dxa"/>
            <w:tcBorders>
              <w:top w:val="single" w:sz="12" w:space="0" w:color="0D0D0D" w:themeColor="text1" w:themeTint="F2"/>
            </w:tcBorders>
            <w:shd w:val="clear" w:color="auto" w:fill="D9D9D9" w:themeFill="background1" w:themeFillShade="D9"/>
            <w:vAlign w:val="center"/>
          </w:tcPr>
          <w:p w14:paraId="2EDD47DE" w14:textId="6A4A9842" w:rsidR="00687EE5" w:rsidRDefault="007D7832" w:rsidP="00513D75">
            <w:r>
              <w:t>3.0</w:t>
            </w:r>
          </w:p>
        </w:tc>
        <w:tc>
          <w:tcPr>
            <w:tcW w:w="900" w:type="dxa"/>
            <w:tcBorders>
              <w:top w:val="single" w:sz="12" w:space="0" w:color="0D0D0D" w:themeColor="text1" w:themeTint="F2"/>
            </w:tcBorders>
            <w:shd w:val="clear" w:color="auto" w:fill="D9D9D9" w:themeFill="background1" w:themeFillShade="D9"/>
            <w:vAlign w:val="center"/>
          </w:tcPr>
          <w:p w14:paraId="7A1AD6D4" w14:textId="63E0792B" w:rsidR="00687EE5" w:rsidRDefault="007D7832" w:rsidP="00513D75">
            <w:r>
              <w:t>3.7</w:t>
            </w:r>
          </w:p>
        </w:tc>
        <w:tc>
          <w:tcPr>
            <w:tcW w:w="900" w:type="dxa"/>
            <w:tcBorders>
              <w:top w:val="single" w:sz="12" w:space="0" w:color="0D0D0D" w:themeColor="text1" w:themeTint="F2"/>
            </w:tcBorders>
            <w:shd w:val="clear" w:color="auto" w:fill="D9D9D9" w:themeFill="background1" w:themeFillShade="D9"/>
            <w:vAlign w:val="center"/>
          </w:tcPr>
          <w:p w14:paraId="72B07248" w14:textId="345F2444" w:rsidR="00687EE5" w:rsidRDefault="007D7832" w:rsidP="00513D75">
            <w:r>
              <w:t>NA</w:t>
            </w:r>
          </w:p>
        </w:tc>
        <w:tc>
          <w:tcPr>
            <w:tcW w:w="1170" w:type="dxa"/>
            <w:tcBorders>
              <w:top w:val="single" w:sz="12" w:space="0" w:color="0D0D0D" w:themeColor="text1" w:themeTint="F2"/>
            </w:tcBorders>
            <w:shd w:val="clear" w:color="auto" w:fill="D9D9D9" w:themeFill="background1" w:themeFillShade="D9"/>
            <w:vAlign w:val="center"/>
          </w:tcPr>
          <w:p w14:paraId="761D2A51" w14:textId="2901FE1C" w:rsidR="00687EE5" w:rsidRDefault="007D7832" w:rsidP="00513D75">
            <w:r>
              <w:t>2.2</w:t>
            </w:r>
          </w:p>
        </w:tc>
        <w:tc>
          <w:tcPr>
            <w:tcW w:w="1080" w:type="dxa"/>
            <w:tcBorders>
              <w:top w:val="single" w:sz="12" w:space="0" w:color="0D0D0D" w:themeColor="text1" w:themeTint="F2"/>
            </w:tcBorders>
            <w:shd w:val="clear" w:color="auto" w:fill="D9D9D9" w:themeFill="background1" w:themeFillShade="D9"/>
            <w:vAlign w:val="center"/>
          </w:tcPr>
          <w:p w14:paraId="57ED507F" w14:textId="652E1817" w:rsidR="00687EE5" w:rsidRDefault="007D7832" w:rsidP="00513D75">
            <w:r>
              <w:t>NA</w:t>
            </w:r>
          </w:p>
        </w:tc>
        <w:tc>
          <w:tcPr>
            <w:tcW w:w="990" w:type="dxa"/>
            <w:tcBorders>
              <w:top w:val="single" w:sz="12" w:space="0" w:color="0D0D0D" w:themeColor="text1" w:themeTint="F2"/>
            </w:tcBorders>
            <w:shd w:val="clear" w:color="auto" w:fill="D9D9D9" w:themeFill="background1" w:themeFillShade="D9"/>
            <w:vAlign w:val="center"/>
          </w:tcPr>
          <w:p w14:paraId="463607B4" w14:textId="3D6EDE36" w:rsidR="00687EE5" w:rsidRPr="00513D75" w:rsidRDefault="007D7832" w:rsidP="00513D75">
            <w:pPr>
              <w:rPr>
                <w:b/>
                <w:bCs/>
              </w:rPr>
            </w:pPr>
            <w:r w:rsidRPr="00513D75">
              <w:rPr>
                <w:b/>
                <w:bCs/>
              </w:rPr>
              <w:t>1.0</w:t>
            </w:r>
          </w:p>
        </w:tc>
        <w:tc>
          <w:tcPr>
            <w:tcW w:w="1170" w:type="dxa"/>
            <w:tcBorders>
              <w:top w:val="single" w:sz="12" w:space="0" w:color="0D0D0D" w:themeColor="text1" w:themeTint="F2"/>
            </w:tcBorders>
            <w:shd w:val="clear" w:color="auto" w:fill="D9D9D9" w:themeFill="background1" w:themeFillShade="D9"/>
            <w:vAlign w:val="center"/>
          </w:tcPr>
          <w:p w14:paraId="21D26FFD" w14:textId="5DC8388B" w:rsidR="00687EE5" w:rsidRDefault="007D7832" w:rsidP="00513D75">
            <w:r>
              <w:t>NA</w:t>
            </w:r>
          </w:p>
        </w:tc>
        <w:tc>
          <w:tcPr>
            <w:tcW w:w="1260" w:type="dxa"/>
            <w:tcBorders>
              <w:top w:val="single" w:sz="12" w:space="0" w:color="0D0D0D" w:themeColor="text1" w:themeTint="F2"/>
            </w:tcBorders>
            <w:shd w:val="clear" w:color="auto" w:fill="D9D9D9" w:themeFill="background1" w:themeFillShade="D9"/>
            <w:vAlign w:val="center"/>
          </w:tcPr>
          <w:p w14:paraId="211F1075" w14:textId="3CF6A943" w:rsidR="00687EE5" w:rsidRDefault="007D7832" w:rsidP="00513D75">
            <w:r>
              <w:t>NA</w:t>
            </w:r>
          </w:p>
        </w:tc>
        <w:tc>
          <w:tcPr>
            <w:tcW w:w="1710" w:type="dxa"/>
            <w:tcBorders>
              <w:top w:val="single" w:sz="12" w:space="0" w:color="0D0D0D" w:themeColor="text1" w:themeTint="F2"/>
              <w:right w:val="single" w:sz="12" w:space="0" w:color="0D0D0D" w:themeColor="text1" w:themeTint="F2"/>
            </w:tcBorders>
            <w:shd w:val="clear" w:color="auto" w:fill="D9D9D9" w:themeFill="background1" w:themeFillShade="D9"/>
          </w:tcPr>
          <w:p w14:paraId="3FC72049" w14:textId="5E67842E" w:rsidR="00687EE5" w:rsidRDefault="007D7832" w:rsidP="00DD6EE3">
            <w:r>
              <w:t>Campos et al., 2022</w:t>
            </w:r>
          </w:p>
        </w:tc>
      </w:tr>
      <w:tr w:rsidR="004A78A0" w14:paraId="73F95E2C" w14:textId="77777777" w:rsidTr="008E2322">
        <w:tc>
          <w:tcPr>
            <w:tcW w:w="1980" w:type="dxa"/>
            <w:tcBorders>
              <w:left w:val="single" w:sz="12" w:space="0" w:color="0D0D0D" w:themeColor="text1" w:themeTint="F2"/>
              <w:bottom w:val="single" w:sz="12" w:space="0" w:color="0D0D0D" w:themeColor="text1" w:themeTint="F2"/>
            </w:tcBorders>
          </w:tcPr>
          <w:p w14:paraId="347D3250" w14:textId="0B366A0F" w:rsidR="00687EE5" w:rsidRDefault="00687EE5" w:rsidP="00DD6EE3">
            <w:pPr>
              <w:rPr>
                <w:i/>
                <w:iCs/>
              </w:rPr>
            </w:pPr>
            <w:r>
              <w:rPr>
                <w:i/>
                <w:iCs/>
              </w:rPr>
              <w:t>Ulva</w:t>
            </w:r>
            <w:r>
              <w:t xml:space="preserve"> species</w:t>
            </w:r>
          </w:p>
        </w:tc>
        <w:tc>
          <w:tcPr>
            <w:tcW w:w="2790" w:type="dxa"/>
            <w:tcBorders>
              <w:bottom w:val="single" w:sz="12" w:space="0" w:color="0D0D0D" w:themeColor="text1" w:themeTint="F2"/>
            </w:tcBorders>
          </w:tcPr>
          <w:p w14:paraId="42000639" w14:textId="1EF4D4A6" w:rsidR="00687EE5" w:rsidRDefault="004A78A0" w:rsidP="00DD6EE3">
            <w:r w:rsidRPr="004A78A0">
              <w:t>Retail, RTE samples purchased in Italy</w:t>
            </w:r>
          </w:p>
        </w:tc>
        <w:tc>
          <w:tcPr>
            <w:tcW w:w="990" w:type="dxa"/>
            <w:tcBorders>
              <w:bottom w:val="single" w:sz="12" w:space="0" w:color="0D0D0D" w:themeColor="text1" w:themeTint="F2"/>
            </w:tcBorders>
            <w:vAlign w:val="center"/>
          </w:tcPr>
          <w:p w14:paraId="15FB8669" w14:textId="0340C0F5" w:rsidR="00687EE5" w:rsidRDefault="007D7832" w:rsidP="00513D75">
            <w:r>
              <w:t>4.2</w:t>
            </w:r>
          </w:p>
        </w:tc>
        <w:tc>
          <w:tcPr>
            <w:tcW w:w="900" w:type="dxa"/>
            <w:tcBorders>
              <w:bottom w:val="single" w:sz="12" w:space="0" w:color="0D0D0D" w:themeColor="text1" w:themeTint="F2"/>
            </w:tcBorders>
            <w:vAlign w:val="center"/>
          </w:tcPr>
          <w:p w14:paraId="6D602B7B" w14:textId="4A824C41" w:rsidR="00687EE5" w:rsidRDefault="007D7832" w:rsidP="00513D75">
            <w:r>
              <w:t>4.2</w:t>
            </w:r>
          </w:p>
        </w:tc>
        <w:tc>
          <w:tcPr>
            <w:tcW w:w="900" w:type="dxa"/>
            <w:tcBorders>
              <w:bottom w:val="single" w:sz="12" w:space="0" w:color="0D0D0D" w:themeColor="text1" w:themeTint="F2"/>
            </w:tcBorders>
            <w:vAlign w:val="center"/>
          </w:tcPr>
          <w:p w14:paraId="1D70F683" w14:textId="4E8B8903" w:rsidR="00687EE5" w:rsidRDefault="007D7832" w:rsidP="00513D75">
            <w:r>
              <w:t>2.6</w:t>
            </w:r>
          </w:p>
        </w:tc>
        <w:tc>
          <w:tcPr>
            <w:tcW w:w="1170" w:type="dxa"/>
            <w:tcBorders>
              <w:bottom w:val="single" w:sz="12" w:space="0" w:color="0D0D0D" w:themeColor="text1" w:themeTint="F2"/>
            </w:tcBorders>
            <w:vAlign w:val="center"/>
          </w:tcPr>
          <w:p w14:paraId="11ADB790" w14:textId="0910BC02" w:rsidR="00687EE5" w:rsidRDefault="007D7832" w:rsidP="00513D75">
            <w:r>
              <w:t>3.5</w:t>
            </w:r>
          </w:p>
        </w:tc>
        <w:tc>
          <w:tcPr>
            <w:tcW w:w="1080" w:type="dxa"/>
            <w:tcBorders>
              <w:bottom w:val="single" w:sz="12" w:space="0" w:color="0D0D0D" w:themeColor="text1" w:themeTint="F2"/>
            </w:tcBorders>
            <w:vAlign w:val="center"/>
          </w:tcPr>
          <w:p w14:paraId="5067DD16" w14:textId="00BEEB74" w:rsidR="00687EE5" w:rsidRDefault="007D7832" w:rsidP="00513D75">
            <w:r>
              <w:t>NA</w:t>
            </w:r>
          </w:p>
        </w:tc>
        <w:tc>
          <w:tcPr>
            <w:tcW w:w="990" w:type="dxa"/>
            <w:tcBorders>
              <w:bottom w:val="single" w:sz="12" w:space="0" w:color="0D0D0D" w:themeColor="text1" w:themeTint="F2"/>
            </w:tcBorders>
            <w:vAlign w:val="center"/>
          </w:tcPr>
          <w:p w14:paraId="3B9983A9" w14:textId="375B6B40" w:rsidR="00687EE5" w:rsidRDefault="007D7832" w:rsidP="00513D75">
            <w:r>
              <w:t>NA</w:t>
            </w:r>
          </w:p>
        </w:tc>
        <w:tc>
          <w:tcPr>
            <w:tcW w:w="1170" w:type="dxa"/>
            <w:tcBorders>
              <w:bottom w:val="single" w:sz="12" w:space="0" w:color="0D0D0D" w:themeColor="text1" w:themeTint="F2"/>
            </w:tcBorders>
            <w:vAlign w:val="center"/>
          </w:tcPr>
          <w:p w14:paraId="0B5CCF1A" w14:textId="50CF8500" w:rsidR="00687EE5" w:rsidRDefault="007D7832" w:rsidP="00513D75">
            <w:r>
              <w:t>2.8</w:t>
            </w:r>
          </w:p>
        </w:tc>
        <w:tc>
          <w:tcPr>
            <w:tcW w:w="1260" w:type="dxa"/>
            <w:tcBorders>
              <w:bottom w:val="single" w:sz="12" w:space="0" w:color="0D0D0D" w:themeColor="text1" w:themeTint="F2"/>
            </w:tcBorders>
            <w:vAlign w:val="center"/>
          </w:tcPr>
          <w:p w14:paraId="0281D0B8" w14:textId="6423603A" w:rsidR="00687EE5" w:rsidRDefault="007D7832" w:rsidP="00513D75">
            <w:r>
              <w:t>2.9</w:t>
            </w:r>
          </w:p>
        </w:tc>
        <w:tc>
          <w:tcPr>
            <w:tcW w:w="1710" w:type="dxa"/>
            <w:tcBorders>
              <w:bottom w:val="single" w:sz="12" w:space="0" w:color="0D0D0D" w:themeColor="text1" w:themeTint="F2"/>
              <w:right w:val="single" w:sz="12" w:space="0" w:color="0D0D0D" w:themeColor="text1" w:themeTint="F2"/>
            </w:tcBorders>
          </w:tcPr>
          <w:p w14:paraId="4930E621" w14:textId="19C0B243" w:rsidR="00687EE5" w:rsidRDefault="007D7832" w:rsidP="00DD6EE3">
            <w:r>
              <w:t>Martelli et al., 2021</w:t>
            </w:r>
          </w:p>
        </w:tc>
      </w:tr>
      <w:tr w:rsidR="004A78A0" w14:paraId="41E01336" w14:textId="77777777" w:rsidTr="008E2322">
        <w:tc>
          <w:tcPr>
            <w:tcW w:w="1980" w:type="dxa"/>
            <w:tcBorders>
              <w:top w:val="single" w:sz="12" w:space="0" w:color="0D0D0D" w:themeColor="text1" w:themeTint="F2"/>
              <w:left w:val="single" w:sz="12" w:space="0" w:color="0D0D0D" w:themeColor="text1" w:themeTint="F2"/>
            </w:tcBorders>
            <w:shd w:val="clear" w:color="auto" w:fill="D9D9D9" w:themeFill="background1" w:themeFillShade="D9"/>
          </w:tcPr>
          <w:p w14:paraId="409EBB31" w14:textId="6A4238A1" w:rsidR="00687EE5" w:rsidRDefault="00687EE5" w:rsidP="00DD6EE3">
            <w:pPr>
              <w:rPr>
                <w:i/>
                <w:iCs/>
              </w:rPr>
            </w:pPr>
            <w:r w:rsidRPr="00687EE5">
              <w:rPr>
                <w:i/>
                <w:iCs/>
              </w:rPr>
              <w:t>Undaria pinnatifida</w:t>
            </w:r>
          </w:p>
        </w:tc>
        <w:tc>
          <w:tcPr>
            <w:tcW w:w="2790" w:type="dxa"/>
            <w:tcBorders>
              <w:top w:val="single" w:sz="12" w:space="0" w:color="0D0D0D" w:themeColor="text1" w:themeTint="F2"/>
            </w:tcBorders>
            <w:shd w:val="clear" w:color="auto" w:fill="D9D9D9" w:themeFill="background1" w:themeFillShade="D9"/>
          </w:tcPr>
          <w:p w14:paraId="24800E5C" w14:textId="159EEF6C" w:rsidR="00687EE5" w:rsidRDefault="004A78A0" w:rsidP="00DD6EE3">
            <w:r w:rsidRPr="004A78A0">
              <w:t>Retail, RTE samples purchased in Italy</w:t>
            </w:r>
          </w:p>
        </w:tc>
        <w:tc>
          <w:tcPr>
            <w:tcW w:w="990" w:type="dxa"/>
            <w:tcBorders>
              <w:top w:val="single" w:sz="12" w:space="0" w:color="0D0D0D" w:themeColor="text1" w:themeTint="F2"/>
            </w:tcBorders>
            <w:shd w:val="clear" w:color="auto" w:fill="D9D9D9" w:themeFill="background1" w:themeFillShade="D9"/>
            <w:vAlign w:val="center"/>
          </w:tcPr>
          <w:p w14:paraId="5FB3A4CE" w14:textId="4DC8C749" w:rsidR="00687EE5" w:rsidRDefault="007D7832" w:rsidP="00513D75">
            <w:r>
              <w:t>4.9</w:t>
            </w:r>
          </w:p>
        </w:tc>
        <w:tc>
          <w:tcPr>
            <w:tcW w:w="900" w:type="dxa"/>
            <w:tcBorders>
              <w:top w:val="single" w:sz="12" w:space="0" w:color="0D0D0D" w:themeColor="text1" w:themeTint="F2"/>
            </w:tcBorders>
            <w:shd w:val="clear" w:color="auto" w:fill="D9D9D9" w:themeFill="background1" w:themeFillShade="D9"/>
            <w:vAlign w:val="center"/>
          </w:tcPr>
          <w:p w14:paraId="09C65452" w14:textId="6172B26D" w:rsidR="00687EE5" w:rsidRDefault="007D7832" w:rsidP="00513D75">
            <w:r>
              <w:t>4.4</w:t>
            </w:r>
          </w:p>
        </w:tc>
        <w:tc>
          <w:tcPr>
            <w:tcW w:w="900" w:type="dxa"/>
            <w:tcBorders>
              <w:top w:val="single" w:sz="12" w:space="0" w:color="0D0D0D" w:themeColor="text1" w:themeTint="F2"/>
            </w:tcBorders>
            <w:shd w:val="clear" w:color="auto" w:fill="D9D9D9" w:themeFill="background1" w:themeFillShade="D9"/>
            <w:vAlign w:val="center"/>
          </w:tcPr>
          <w:p w14:paraId="189D8D55" w14:textId="78D4FA07" w:rsidR="00687EE5" w:rsidRDefault="007D7832" w:rsidP="00513D75">
            <w:r>
              <w:t>&lt;2.0</w:t>
            </w:r>
          </w:p>
        </w:tc>
        <w:tc>
          <w:tcPr>
            <w:tcW w:w="1170" w:type="dxa"/>
            <w:tcBorders>
              <w:top w:val="single" w:sz="12" w:space="0" w:color="0D0D0D" w:themeColor="text1" w:themeTint="F2"/>
            </w:tcBorders>
            <w:shd w:val="clear" w:color="auto" w:fill="D9D9D9" w:themeFill="background1" w:themeFillShade="D9"/>
            <w:vAlign w:val="center"/>
          </w:tcPr>
          <w:p w14:paraId="6F43AA8D" w14:textId="7F8EF6AC" w:rsidR="00687EE5" w:rsidRDefault="007D7832" w:rsidP="00513D75">
            <w:r>
              <w:t>&lt;2.0</w:t>
            </w:r>
          </w:p>
        </w:tc>
        <w:tc>
          <w:tcPr>
            <w:tcW w:w="1080" w:type="dxa"/>
            <w:tcBorders>
              <w:top w:val="single" w:sz="12" w:space="0" w:color="0D0D0D" w:themeColor="text1" w:themeTint="F2"/>
            </w:tcBorders>
            <w:shd w:val="clear" w:color="auto" w:fill="D9D9D9" w:themeFill="background1" w:themeFillShade="D9"/>
            <w:vAlign w:val="center"/>
          </w:tcPr>
          <w:p w14:paraId="11F2D7AA" w14:textId="681B775C" w:rsidR="00687EE5" w:rsidRDefault="007D7832" w:rsidP="00513D75">
            <w:r>
              <w:t>NA</w:t>
            </w:r>
          </w:p>
        </w:tc>
        <w:tc>
          <w:tcPr>
            <w:tcW w:w="990" w:type="dxa"/>
            <w:tcBorders>
              <w:top w:val="single" w:sz="12" w:space="0" w:color="0D0D0D" w:themeColor="text1" w:themeTint="F2"/>
            </w:tcBorders>
            <w:shd w:val="clear" w:color="auto" w:fill="D9D9D9" w:themeFill="background1" w:themeFillShade="D9"/>
            <w:vAlign w:val="center"/>
          </w:tcPr>
          <w:p w14:paraId="2C4852BA" w14:textId="492E533D" w:rsidR="00687EE5" w:rsidRDefault="007D7832" w:rsidP="00513D75">
            <w:r>
              <w:t>NA</w:t>
            </w:r>
          </w:p>
        </w:tc>
        <w:tc>
          <w:tcPr>
            <w:tcW w:w="1170" w:type="dxa"/>
            <w:tcBorders>
              <w:top w:val="single" w:sz="12" w:space="0" w:color="0D0D0D" w:themeColor="text1" w:themeTint="F2"/>
            </w:tcBorders>
            <w:shd w:val="clear" w:color="auto" w:fill="D9D9D9" w:themeFill="background1" w:themeFillShade="D9"/>
            <w:vAlign w:val="center"/>
          </w:tcPr>
          <w:p w14:paraId="6D9A655C" w14:textId="73D8F703" w:rsidR="00687EE5" w:rsidRDefault="007D7832" w:rsidP="00513D75">
            <w:r>
              <w:t>2.5</w:t>
            </w:r>
          </w:p>
        </w:tc>
        <w:tc>
          <w:tcPr>
            <w:tcW w:w="1260" w:type="dxa"/>
            <w:tcBorders>
              <w:top w:val="single" w:sz="12" w:space="0" w:color="0D0D0D" w:themeColor="text1" w:themeTint="F2"/>
            </w:tcBorders>
            <w:shd w:val="clear" w:color="auto" w:fill="D9D9D9" w:themeFill="background1" w:themeFillShade="D9"/>
            <w:vAlign w:val="center"/>
          </w:tcPr>
          <w:p w14:paraId="572F78AD" w14:textId="0D97FC71" w:rsidR="00687EE5" w:rsidRDefault="007D7832" w:rsidP="00513D75">
            <w:r>
              <w:t>&lt;2.0</w:t>
            </w:r>
          </w:p>
        </w:tc>
        <w:tc>
          <w:tcPr>
            <w:tcW w:w="1710" w:type="dxa"/>
            <w:tcBorders>
              <w:top w:val="single" w:sz="12" w:space="0" w:color="0D0D0D" w:themeColor="text1" w:themeTint="F2"/>
              <w:right w:val="single" w:sz="12" w:space="0" w:color="0D0D0D" w:themeColor="text1" w:themeTint="F2"/>
            </w:tcBorders>
            <w:shd w:val="clear" w:color="auto" w:fill="D9D9D9" w:themeFill="background1" w:themeFillShade="D9"/>
          </w:tcPr>
          <w:p w14:paraId="5335613C" w14:textId="15038F19" w:rsidR="00687EE5" w:rsidRDefault="007D7832" w:rsidP="00DD6EE3">
            <w:r>
              <w:t>Martelli et al., 2021</w:t>
            </w:r>
          </w:p>
        </w:tc>
      </w:tr>
      <w:tr w:rsidR="004A78A0" w14:paraId="0548A3B9" w14:textId="77777777" w:rsidTr="008E2322">
        <w:tc>
          <w:tcPr>
            <w:tcW w:w="1980" w:type="dxa"/>
            <w:tcBorders>
              <w:left w:val="single" w:sz="12" w:space="0" w:color="0D0D0D" w:themeColor="text1" w:themeTint="F2"/>
              <w:bottom w:val="single" w:sz="12" w:space="0" w:color="0D0D0D" w:themeColor="text1" w:themeTint="F2"/>
            </w:tcBorders>
          </w:tcPr>
          <w:p w14:paraId="4C4DE558" w14:textId="58F7C3B0" w:rsidR="00687EE5" w:rsidRDefault="00687EE5" w:rsidP="00DD6EE3">
            <w:pPr>
              <w:rPr>
                <w:i/>
                <w:iCs/>
              </w:rPr>
            </w:pPr>
            <w:r w:rsidRPr="00687EE5">
              <w:rPr>
                <w:i/>
                <w:iCs/>
              </w:rPr>
              <w:t>Undaria pinnatifida</w:t>
            </w:r>
          </w:p>
        </w:tc>
        <w:tc>
          <w:tcPr>
            <w:tcW w:w="2790" w:type="dxa"/>
            <w:tcBorders>
              <w:bottom w:val="single" w:sz="12" w:space="0" w:color="0D0D0D" w:themeColor="text1" w:themeTint="F2"/>
            </w:tcBorders>
          </w:tcPr>
          <w:p w14:paraId="63643BEE" w14:textId="1E5966C0" w:rsidR="00687EE5" w:rsidRDefault="004A78A0" w:rsidP="00DD6EE3">
            <w:r w:rsidRPr="004A78A0">
              <w:t>Retail samples purchased in Korea</w:t>
            </w:r>
          </w:p>
        </w:tc>
        <w:tc>
          <w:tcPr>
            <w:tcW w:w="990" w:type="dxa"/>
            <w:tcBorders>
              <w:bottom w:val="single" w:sz="12" w:space="0" w:color="0D0D0D" w:themeColor="text1" w:themeTint="F2"/>
            </w:tcBorders>
            <w:vAlign w:val="center"/>
          </w:tcPr>
          <w:p w14:paraId="175C06EF" w14:textId="0404AB3A" w:rsidR="00687EE5" w:rsidRDefault="007D7832" w:rsidP="00513D75">
            <w:r>
              <w:t>2.6</w:t>
            </w:r>
          </w:p>
        </w:tc>
        <w:tc>
          <w:tcPr>
            <w:tcW w:w="900" w:type="dxa"/>
            <w:tcBorders>
              <w:bottom w:val="single" w:sz="12" w:space="0" w:color="0D0D0D" w:themeColor="text1" w:themeTint="F2"/>
            </w:tcBorders>
            <w:vAlign w:val="center"/>
          </w:tcPr>
          <w:p w14:paraId="4082C0C3" w14:textId="138ECB57" w:rsidR="00687EE5" w:rsidRDefault="007D7832" w:rsidP="00513D75">
            <w:r>
              <w:t>NA</w:t>
            </w:r>
          </w:p>
        </w:tc>
        <w:tc>
          <w:tcPr>
            <w:tcW w:w="900" w:type="dxa"/>
            <w:tcBorders>
              <w:bottom w:val="single" w:sz="12" w:space="0" w:color="0D0D0D" w:themeColor="text1" w:themeTint="F2"/>
            </w:tcBorders>
            <w:vAlign w:val="center"/>
          </w:tcPr>
          <w:p w14:paraId="7329CCAF" w14:textId="40FF0C7C" w:rsidR="00687EE5" w:rsidRDefault="007D7832" w:rsidP="00513D75">
            <w:r>
              <w:t>NA</w:t>
            </w:r>
          </w:p>
        </w:tc>
        <w:tc>
          <w:tcPr>
            <w:tcW w:w="1170" w:type="dxa"/>
            <w:tcBorders>
              <w:bottom w:val="single" w:sz="12" w:space="0" w:color="0D0D0D" w:themeColor="text1" w:themeTint="F2"/>
            </w:tcBorders>
            <w:vAlign w:val="center"/>
          </w:tcPr>
          <w:p w14:paraId="259E393B" w14:textId="2FCD67A9" w:rsidR="00687EE5" w:rsidRDefault="007D7832" w:rsidP="00513D75">
            <w:r>
              <w:t>&lt;1.0</w:t>
            </w:r>
          </w:p>
        </w:tc>
        <w:tc>
          <w:tcPr>
            <w:tcW w:w="1080" w:type="dxa"/>
            <w:tcBorders>
              <w:bottom w:val="single" w:sz="12" w:space="0" w:color="0D0D0D" w:themeColor="text1" w:themeTint="F2"/>
            </w:tcBorders>
            <w:vAlign w:val="center"/>
          </w:tcPr>
          <w:p w14:paraId="42065663" w14:textId="42E64E14" w:rsidR="00687EE5" w:rsidRDefault="007D7832" w:rsidP="00513D75">
            <w:r>
              <w:t>N</w:t>
            </w:r>
            <w:r w:rsidR="00E43BF4">
              <w:t>A</w:t>
            </w:r>
          </w:p>
        </w:tc>
        <w:tc>
          <w:tcPr>
            <w:tcW w:w="990" w:type="dxa"/>
            <w:tcBorders>
              <w:bottom w:val="single" w:sz="12" w:space="0" w:color="0D0D0D" w:themeColor="text1" w:themeTint="F2"/>
            </w:tcBorders>
            <w:vAlign w:val="center"/>
          </w:tcPr>
          <w:p w14:paraId="082CF886" w14:textId="113C1A10" w:rsidR="00687EE5" w:rsidRDefault="007D7832" w:rsidP="00513D75">
            <w:r>
              <w:t>NA</w:t>
            </w:r>
          </w:p>
        </w:tc>
        <w:tc>
          <w:tcPr>
            <w:tcW w:w="1170" w:type="dxa"/>
            <w:tcBorders>
              <w:bottom w:val="single" w:sz="12" w:space="0" w:color="0D0D0D" w:themeColor="text1" w:themeTint="F2"/>
            </w:tcBorders>
            <w:vAlign w:val="center"/>
          </w:tcPr>
          <w:p w14:paraId="4046D704" w14:textId="46BC36FF" w:rsidR="00687EE5" w:rsidRDefault="007D7832" w:rsidP="00513D75">
            <w:r>
              <w:t>NA</w:t>
            </w:r>
          </w:p>
        </w:tc>
        <w:tc>
          <w:tcPr>
            <w:tcW w:w="1260" w:type="dxa"/>
            <w:tcBorders>
              <w:bottom w:val="single" w:sz="12" w:space="0" w:color="0D0D0D" w:themeColor="text1" w:themeTint="F2"/>
            </w:tcBorders>
            <w:vAlign w:val="center"/>
          </w:tcPr>
          <w:p w14:paraId="78B37FFA" w14:textId="7C3635D5" w:rsidR="00687EE5" w:rsidRDefault="007D7832" w:rsidP="00513D75">
            <w:r>
              <w:t>NA</w:t>
            </w:r>
          </w:p>
        </w:tc>
        <w:tc>
          <w:tcPr>
            <w:tcW w:w="1710" w:type="dxa"/>
            <w:tcBorders>
              <w:bottom w:val="single" w:sz="12" w:space="0" w:color="0D0D0D" w:themeColor="text1" w:themeTint="F2"/>
              <w:right w:val="single" w:sz="12" w:space="0" w:color="0D0D0D" w:themeColor="text1" w:themeTint="F2"/>
            </w:tcBorders>
          </w:tcPr>
          <w:p w14:paraId="19419D9F" w14:textId="692AF50F" w:rsidR="00687EE5" w:rsidRDefault="007D7832" w:rsidP="00DD6EE3">
            <w:r>
              <w:t>Jeon et al., 2021</w:t>
            </w:r>
          </w:p>
        </w:tc>
      </w:tr>
    </w:tbl>
    <w:p w14:paraId="3CC85CE7" w14:textId="77777777" w:rsidR="00697B0C" w:rsidRDefault="00697B0C" w:rsidP="00DD6EE3"/>
    <w:p w14:paraId="57710F53" w14:textId="77777777" w:rsidR="00697B0C" w:rsidRDefault="00697B0C" w:rsidP="00DD6EE3">
      <w:pPr>
        <w:sectPr w:rsidR="00697B0C" w:rsidSect="00697B0C">
          <w:footnotePr>
            <w:numFmt w:val="lowerLetter"/>
            <w:numRestart w:val="eachSect"/>
          </w:footnotePr>
          <w:pgSz w:w="15840" w:h="12240" w:orient="landscape"/>
          <w:pgMar w:top="1440" w:right="1440" w:bottom="1440" w:left="1440" w:header="720" w:footer="720" w:gutter="0"/>
          <w:pgNumType w:chapStyle="1"/>
          <w:cols w:space="720"/>
          <w:docGrid w:linePitch="360"/>
        </w:sectPr>
      </w:pPr>
    </w:p>
    <w:p w14:paraId="15508C88" w14:textId="77777777" w:rsidR="00DD6EE3" w:rsidRDefault="00DD6EE3" w:rsidP="00846B8F">
      <w:pPr>
        <w:pStyle w:val="Heading4"/>
        <w:numPr>
          <w:ilvl w:val="3"/>
          <w:numId w:val="166"/>
        </w:numPr>
      </w:pPr>
      <w:r>
        <w:lastRenderedPageBreak/>
        <w:t>Solar Drying (Drying in a Greenhouse)</w:t>
      </w:r>
    </w:p>
    <w:p w14:paraId="4E2BF048" w14:textId="37D12762" w:rsidR="00DD6EE3" w:rsidRDefault="00DD6EE3" w:rsidP="00B64049">
      <w:pPr>
        <w:spacing w:before="240"/>
      </w:pPr>
      <w:r>
        <w:t>To reduce potential contamination risk from the open environment and to improve process control, some seaweed producers use greenhouse or solar drying. This process is similar to sun drying in that it uses solar energy and is still influenced by local temperature, UV and (to a lesser extent) humidity fluctuations. However, drying in a closed facility greatly reduces exposure to animals, insects, and soil. The enclosed space can also increase temperature for better drying efficiency. Greenhouses may be equipped with some form of air circulation (e.g., fans) either within or across the length of the structure to circulate air evenly or provide supplemental heat sources to maintain more stable drying conditions. These strategies can help to mitigate large temperature and humidity fluctuations that can occur between the day and evening hours which can negatively affect both food safety and product quality.</w:t>
      </w:r>
    </w:p>
    <w:p w14:paraId="06ADE0D0" w14:textId="77777777" w:rsidR="00DD6EE3" w:rsidRDefault="00DD6EE3" w:rsidP="00846B8F">
      <w:pPr>
        <w:pStyle w:val="Heading4"/>
        <w:numPr>
          <w:ilvl w:val="3"/>
          <w:numId w:val="166"/>
        </w:numPr>
      </w:pPr>
      <w:r>
        <w:t>Mechanized Drying</w:t>
      </w:r>
    </w:p>
    <w:p w14:paraId="57963931" w14:textId="5CA2F0D2" w:rsidR="00DD6EE3" w:rsidRDefault="00DD6EE3" w:rsidP="00B64049">
      <w:pPr>
        <w:spacing w:before="240"/>
      </w:pPr>
      <w:r>
        <w:t>Mechanized drying, which is performed in a contained environment, may be carried out as a batch or (semi) continuous process. Batch processes may use standard ovens or cabinet-style dryers that can range in size from small countertop units to room-size cabinets covering several hundred square feet. Continuous drying utilizes commercial drying units that move seaweed through different sections (via a tunnel) with controlled changes in temperature and/or humidity. These processes are preferable from a safety and quality standpoint because they allow for better control of environmental conditions (e.g., temperature, time, and humidity), which results in the production of more consistent, finished products and improves the ability to prevent or limit contamination during drying. Temperatures used in mechanized drying are typically between 104-140°F (40-60°C) and while they usually reduce the overall number of bacteria, the process should not be considered a strategy to eliminate dangerous pathogens.</w:t>
      </w:r>
    </w:p>
    <w:p w14:paraId="391CFE65" w14:textId="054E2AEF" w:rsidR="00DD6EE3" w:rsidRDefault="00DD6EE3" w:rsidP="00DD6EE3">
      <w:r>
        <w:t xml:space="preserve">Drying parameters have significant impacts on both product quality and safety. For example, Lytou et al. (2021) dried </w:t>
      </w:r>
      <w:r w:rsidR="00204442" w:rsidRPr="00204442">
        <w:rPr>
          <w:i/>
          <w:iCs/>
        </w:rPr>
        <w:t xml:space="preserve">Alaria </w:t>
      </w:r>
      <w:r w:rsidRPr="00DD6EE3">
        <w:rPr>
          <w:i/>
          <w:iCs/>
        </w:rPr>
        <w:t>esculenta</w:t>
      </w:r>
      <w:r>
        <w:t xml:space="preserve"> and </w:t>
      </w:r>
      <w:r w:rsidRPr="00EA1DE2">
        <w:rPr>
          <w:i/>
          <w:iCs/>
        </w:rPr>
        <w:t>Saccharina</w:t>
      </w:r>
      <w:r>
        <w:t xml:space="preserve"> </w:t>
      </w:r>
      <w:r w:rsidRPr="00EA1DE2">
        <w:rPr>
          <w:i/>
          <w:iCs/>
        </w:rPr>
        <w:t>latissima</w:t>
      </w:r>
      <w:r>
        <w:t xml:space="preserve"> at 104°F, 122°F and 140°F (40°C, 50°C and 60°C) and noted that total aerobic mesophile population increased by 99% at 104°F (40°C), while drying at 122°F (50°C) or 140°F (60°C) reduced these populations by approximately 99% (Lytou et al., 2021). This study also observed significant year-to-year variation in starting microbial counts of both seaweed species. In samples with lower starting microbial loads, </w:t>
      </w:r>
      <w:r w:rsidRPr="00B424D3">
        <w:rPr>
          <w:i/>
          <w:iCs/>
        </w:rPr>
        <w:t>Bacillus</w:t>
      </w:r>
      <w:r>
        <w:t xml:space="preserve"> species were the most common microorganisms detected. Additional research by Sørensen et al. (2023) showed that </w:t>
      </w:r>
      <w:r w:rsidRPr="00B424D3">
        <w:rPr>
          <w:i/>
          <w:iCs/>
        </w:rPr>
        <w:t>Salmonella</w:t>
      </w:r>
      <w:r>
        <w:t xml:space="preserve"> on experimentally inoculated </w:t>
      </w:r>
      <w:r w:rsidR="00204442" w:rsidRPr="00204442">
        <w:rPr>
          <w:i/>
          <w:iCs/>
        </w:rPr>
        <w:t xml:space="preserve">Alaria </w:t>
      </w:r>
      <w:r w:rsidRPr="00EA1DE2">
        <w:rPr>
          <w:i/>
          <w:iCs/>
        </w:rPr>
        <w:t>esculenta</w:t>
      </w:r>
      <w:r>
        <w:t xml:space="preserve"> dried at 104°F (40°C) did not reach the target 5-log CFU/g reduction, even after 150 minutes of drying. This highlights that drying alone—especially at lower temperatures—may not fully inactivate certain pathogens.</w:t>
      </w:r>
    </w:p>
    <w:p w14:paraId="28582A41" w14:textId="71FD99F4" w:rsidR="00DD6EE3" w:rsidRDefault="00DD6EE3" w:rsidP="00DD6EE3">
      <w:r>
        <w:lastRenderedPageBreak/>
        <w:t xml:space="preserve">A survey of three commercial processing facilities in China producing dried laver snacks found that the drying process (104–122°F [40–50°C] for 2.5 hours followed by 95–194°F [35–90°C] for 3–4 hours) actually led to an </w:t>
      </w:r>
      <w:r w:rsidRPr="00B424D3">
        <w:rPr>
          <w:i/>
          <w:iCs/>
        </w:rPr>
        <w:t>increase</w:t>
      </w:r>
      <w:r>
        <w:t xml:space="preserve"> in aerobic mesophile populations within the facilities (Wang et al., 2023). In a similar study of seven Korean manufacturing facilities, drying (exact conditions were not disclosed) did not significantly reduce either aerobic mesophilic bacteria or coliform levels (Son et al., 2014). Another research study examined the microbiological impact of roasting of commercially dried laver. In two of six Korean processing facilities, </w:t>
      </w:r>
      <w:r w:rsidRPr="00B424D3">
        <w:rPr>
          <w:i/>
          <w:iCs/>
        </w:rPr>
        <w:t>Bacillus</w:t>
      </w:r>
      <w:r>
        <w:t xml:space="preserve"> </w:t>
      </w:r>
      <w:r w:rsidRPr="00B424D3">
        <w:rPr>
          <w:i/>
          <w:iCs/>
        </w:rPr>
        <w:t>cereus</w:t>
      </w:r>
      <w:r>
        <w:t xml:space="preserve"> was identified in the incoming dried product (Choi et al., 2014). This pathogen was detected in laver at various steps of the manufacturing process in all six facilities, demonstrating that the risk of cross-contamination can occur during manufacturing. </w:t>
      </w:r>
      <w:r w:rsidRPr="00B424D3">
        <w:rPr>
          <w:i/>
          <w:iCs/>
        </w:rPr>
        <w:t>Bacillus</w:t>
      </w:r>
      <w:r>
        <w:t xml:space="preserve"> </w:t>
      </w:r>
      <w:r w:rsidRPr="00B424D3">
        <w:rPr>
          <w:i/>
          <w:iCs/>
        </w:rPr>
        <w:t>cereus</w:t>
      </w:r>
      <w:r>
        <w:t xml:space="preserve"> was detected in finished products from four of the six facilities tested, representing 50% of the finished products sampled in this study. </w:t>
      </w:r>
    </w:p>
    <w:p w14:paraId="5959D6FA" w14:textId="783A287C" w:rsidR="00DD6EE3" w:rsidRDefault="00DD6EE3" w:rsidP="00DD6EE3">
      <w:r>
        <w:t xml:space="preserve">Conversely, a survey of 15 retail samples of dried Undaria pinnatifida in Korea did not detect coliforms, </w:t>
      </w:r>
      <w:r w:rsidRPr="00B424D3">
        <w:rPr>
          <w:i/>
          <w:iCs/>
        </w:rPr>
        <w:t>E. coli</w:t>
      </w:r>
      <w:r>
        <w:t xml:space="preserve">, </w:t>
      </w:r>
      <w:r w:rsidRPr="00B424D3">
        <w:rPr>
          <w:i/>
          <w:iCs/>
        </w:rPr>
        <w:t>Staphylococcus aureus</w:t>
      </w:r>
      <w:r>
        <w:t xml:space="preserve">, </w:t>
      </w:r>
      <w:r w:rsidRPr="00B424D3">
        <w:rPr>
          <w:i/>
          <w:iCs/>
        </w:rPr>
        <w:t>Salmonella</w:t>
      </w:r>
      <w:r>
        <w:t xml:space="preserve">, </w:t>
      </w:r>
      <w:r w:rsidRPr="00B424D3">
        <w:rPr>
          <w:i/>
          <w:iCs/>
        </w:rPr>
        <w:t>Listeria monocytogenes</w:t>
      </w:r>
      <w:r>
        <w:t xml:space="preserve">, </w:t>
      </w:r>
      <w:r w:rsidRPr="00B424D3">
        <w:rPr>
          <w:i/>
          <w:iCs/>
        </w:rPr>
        <w:t>Bacillus cereus</w:t>
      </w:r>
      <w:r>
        <w:t xml:space="preserve">, </w:t>
      </w:r>
      <w:r w:rsidRPr="00B424D3">
        <w:rPr>
          <w:i/>
          <w:iCs/>
        </w:rPr>
        <w:t>Clostridium perfringens</w:t>
      </w:r>
      <w:r>
        <w:t xml:space="preserve">, </w:t>
      </w:r>
      <w:r w:rsidRPr="00B424D3">
        <w:rPr>
          <w:i/>
          <w:iCs/>
        </w:rPr>
        <w:t>Yersinia entrerocolitica</w:t>
      </w:r>
      <w:r>
        <w:t xml:space="preserve">, </w:t>
      </w:r>
      <w:r w:rsidRPr="00B424D3">
        <w:rPr>
          <w:i/>
          <w:iCs/>
        </w:rPr>
        <w:t>Campylobacter jejuni</w:t>
      </w:r>
      <w:r>
        <w:t xml:space="preserve">, or </w:t>
      </w:r>
      <w:r w:rsidRPr="00B424D3">
        <w:rPr>
          <w:i/>
          <w:iCs/>
        </w:rPr>
        <w:t xml:space="preserve">Vibrio </w:t>
      </w:r>
      <w:r>
        <w:t>species. (Jeon et al., 2021).</w:t>
      </w:r>
    </w:p>
    <w:p w14:paraId="66992D14" w14:textId="77777777" w:rsidR="00DD6EE3" w:rsidRDefault="00DD6EE3" w:rsidP="00846B8F">
      <w:pPr>
        <w:pStyle w:val="Heading4"/>
        <w:numPr>
          <w:ilvl w:val="3"/>
          <w:numId w:val="125"/>
        </w:numPr>
      </w:pPr>
      <w:r>
        <w:t>Freeze Drying (Lyophilization)</w:t>
      </w:r>
    </w:p>
    <w:p w14:paraId="1D634690" w14:textId="0397E765" w:rsidR="00DD6EE3" w:rsidRDefault="00DD6EE3" w:rsidP="00B64049">
      <w:pPr>
        <w:spacing w:before="240"/>
      </w:pPr>
      <w:r>
        <w:t xml:space="preserve">Freeze drying (or lyophilization) is a less common but increasingly used method for </w:t>
      </w:r>
      <w:hyperlink w:anchor="_Drying" w:tooltip="he natural (sun or air drying) or mechanical (dehydrator, oven, freeze drying, etc.) removal of water from a food or food product to reduce the water available for microbial growth (Aw). A commonly used method of food preservation." w:history="1">
        <w:r w:rsidRPr="008B17B7">
          <w:rPr>
            <w:rStyle w:val="Hyperlink"/>
          </w:rPr>
          <w:t>dehydrating</w:t>
        </w:r>
      </w:hyperlink>
      <w:r>
        <w:t xml:space="preserve"> seaweed. Freeze drying produces a dried product with unique physical and chemical properties. It is especially valued for preserving and extracting bioactive compounds, since no heat is applied. In the freeze-drying process, seaweed is subject to low negative pressure (vacuum pressure) during freezing, resulting in conversion of ice to water vapor (sublimation). This allows for the removal of water without the application of heat. However, freeze drying has limitations as it requires expensive equipment, is usually done in small batches, and consumes large amounts of energy.</w:t>
      </w:r>
    </w:p>
    <w:p w14:paraId="0496C42E" w14:textId="6A3007AB" w:rsidR="00DD6EE3" w:rsidRDefault="00DD6EE3" w:rsidP="00DD6EE3">
      <w:r>
        <w:t xml:space="preserve">One study compared the effects of freeze drying and greenhouse drying on populations of pathogens inoculated on </w:t>
      </w:r>
      <w:r w:rsidRPr="00B424D3">
        <w:rPr>
          <w:i/>
          <w:iCs/>
        </w:rPr>
        <w:t>Saccharina</w:t>
      </w:r>
      <w:r>
        <w:t xml:space="preserve"> </w:t>
      </w:r>
      <w:r w:rsidRPr="00B424D3">
        <w:rPr>
          <w:i/>
          <w:iCs/>
        </w:rPr>
        <w:t>latissima</w:t>
      </w:r>
      <w:r>
        <w:t xml:space="preserve"> and </w:t>
      </w:r>
      <w:r w:rsidRPr="00B424D3">
        <w:rPr>
          <w:i/>
          <w:iCs/>
        </w:rPr>
        <w:t>Ascophyllum</w:t>
      </w:r>
      <w:r>
        <w:t xml:space="preserve"> </w:t>
      </w:r>
      <w:r w:rsidRPr="00B424D3">
        <w:rPr>
          <w:i/>
          <w:iCs/>
        </w:rPr>
        <w:t>nodosum</w:t>
      </w:r>
      <w:r>
        <w:t xml:space="preserve"> (Vorse et al., 2023), while both reduced microbial load freeze drying was less effective at reducing pathogen populations in nearly every scenario when compared to greenhouse drying.</w:t>
      </w:r>
    </w:p>
    <w:p w14:paraId="26F0BF3A" w14:textId="77777777" w:rsidR="00DD6EE3" w:rsidRDefault="00DD6EE3" w:rsidP="00691E23">
      <w:pPr>
        <w:pStyle w:val="Heading3"/>
      </w:pPr>
      <w:bookmarkStart w:id="207" w:name="_Fermentation"/>
      <w:bookmarkEnd w:id="207"/>
      <w:r>
        <w:t>F</w:t>
      </w:r>
      <w:bookmarkStart w:id="208" w:name="_Toc208503285"/>
      <w:r>
        <w:t>ermentation</w:t>
      </w:r>
      <w:bookmarkEnd w:id="208"/>
    </w:p>
    <w:p w14:paraId="7CE4D57B" w14:textId="77777777" w:rsidR="00DD6EE3" w:rsidRDefault="00DD6EE3" w:rsidP="00B64049">
      <w:pPr>
        <w:spacing w:before="240"/>
      </w:pPr>
      <w:r>
        <w:t xml:space="preserve">This section highlights lactic acid fermentation of fresh, raw (non-dehydrated) seaweeds for use in food products. In terrestrial vegetables, such as cabbage, lactic acid bacteria are naturally present in sufficient amounts from the soil to allow spontaneous fermentation without adding starter cultures. In contrast, since seaweeds do not naturally carry enough of these bacteria, </w:t>
      </w:r>
      <w:r>
        <w:lastRenderedPageBreak/>
        <w:t xml:space="preserve">most fermentation processes will need an additional, commercial lactic acid bacterial culture to drive the fermentation process. Another challenge when fermenting seaweed is that seaweed tissues generally contain very low amounts of fermentable simple sugars, which delays the start of fermentation unless the seaweed is pretreated. Researchers have suggested utilizing heat treatments (Bruhn et al., 2019) or enzymatic digestion to break down complex carbohydrates into simple sugars, although results have been mixed. Gupta et al. (2011) recorded a 400% increase in sugars after heat treating </w:t>
      </w:r>
      <w:r w:rsidRPr="00D03E3A">
        <w:rPr>
          <w:i/>
          <w:iCs/>
        </w:rPr>
        <w:t>Himanthalia</w:t>
      </w:r>
      <w:r>
        <w:t xml:space="preserve"> </w:t>
      </w:r>
      <w:r w:rsidRPr="00D03E3A">
        <w:rPr>
          <w:i/>
          <w:iCs/>
        </w:rPr>
        <w:t>elongata</w:t>
      </w:r>
      <w:r>
        <w:t xml:space="preserve">, </w:t>
      </w:r>
      <w:r w:rsidRPr="00D03E3A">
        <w:rPr>
          <w:i/>
          <w:iCs/>
        </w:rPr>
        <w:t>Laminaria</w:t>
      </w:r>
      <w:r>
        <w:t xml:space="preserve"> </w:t>
      </w:r>
      <w:r w:rsidRPr="00D03E3A">
        <w:rPr>
          <w:i/>
          <w:iCs/>
        </w:rPr>
        <w:t>digitata</w:t>
      </w:r>
      <w:r>
        <w:t xml:space="preserve"> and </w:t>
      </w:r>
      <w:r w:rsidRPr="00D03E3A">
        <w:rPr>
          <w:i/>
          <w:iCs/>
        </w:rPr>
        <w:t>Saccharina</w:t>
      </w:r>
      <w:r>
        <w:t xml:space="preserve"> </w:t>
      </w:r>
      <w:r w:rsidRPr="00D03E3A">
        <w:rPr>
          <w:i/>
          <w:iCs/>
        </w:rPr>
        <w:t>latissima</w:t>
      </w:r>
      <w:r>
        <w:t xml:space="preserve">, but they were unsuccessful in fermenting treated </w:t>
      </w:r>
      <w:r w:rsidRPr="00D03E3A">
        <w:rPr>
          <w:i/>
          <w:iCs/>
        </w:rPr>
        <w:t>Himanthalia</w:t>
      </w:r>
      <w:r>
        <w:t xml:space="preserve"> </w:t>
      </w:r>
      <w:r w:rsidRPr="00D03E3A">
        <w:rPr>
          <w:i/>
          <w:iCs/>
        </w:rPr>
        <w:t>elongata</w:t>
      </w:r>
      <w:r>
        <w:t xml:space="preserve"> even using the common starter culture </w:t>
      </w:r>
      <w:r w:rsidRPr="00D03E3A">
        <w:rPr>
          <w:i/>
          <w:iCs/>
        </w:rPr>
        <w:t>Lactiplantibacillus</w:t>
      </w:r>
      <w:r>
        <w:t xml:space="preserve"> </w:t>
      </w:r>
      <w:r w:rsidRPr="00D03E3A">
        <w:rPr>
          <w:i/>
          <w:iCs/>
        </w:rPr>
        <w:t>plantarum</w:t>
      </w:r>
      <w:r>
        <w:t>. Alternatively, another approach is to ferment seaweed together with other ingredients rich in simple sugars, as in mixed-substrate fermentations (Skonberg et al., 2021).</w:t>
      </w:r>
    </w:p>
    <w:p w14:paraId="71DEBF79" w14:textId="7455590D" w:rsidR="00DD6EE3" w:rsidRDefault="00DD6EE3" w:rsidP="00DD6EE3">
      <w:r>
        <w:t xml:space="preserve">In one study, </w:t>
      </w:r>
      <w:r w:rsidRPr="00D03E3A">
        <w:rPr>
          <w:i/>
          <w:iCs/>
        </w:rPr>
        <w:t>Saccharina</w:t>
      </w:r>
      <w:r>
        <w:t xml:space="preserve"> </w:t>
      </w:r>
      <w:r w:rsidRPr="00D03E3A">
        <w:rPr>
          <w:i/>
          <w:iCs/>
        </w:rPr>
        <w:t>latissima</w:t>
      </w:r>
      <w:r>
        <w:t xml:space="preserve"> and </w:t>
      </w:r>
      <w:r w:rsidRPr="00D03E3A">
        <w:rPr>
          <w:i/>
          <w:iCs/>
        </w:rPr>
        <w:t>Alaria</w:t>
      </w:r>
      <w:r>
        <w:t xml:space="preserve"> </w:t>
      </w:r>
      <w:r w:rsidRPr="00D03E3A">
        <w:rPr>
          <w:i/>
          <w:iCs/>
        </w:rPr>
        <w:t>esculenta</w:t>
      </w:r>
      <w:r>
        <w:t xml:space="preserve"> were combined with shredded cabbage at different ratios of 25:75, 50:50 and 75:25 (weight-to-weight) and inoculated with a mixture of </w:t>
      </w:r>
      <w:r w:rsidRPr="00D03E3A">
        <w:rPr>
          <w:i/>
          <w:iCs/>
        </w:rPr>
        <w:t>Lactiplantibacillus</w:t>
      </w:r>
      <w:r>
        <w:t xml:space="preserve"> </w:t>
      </w:r>
      <w:r w:rsidRPr="00D03E3A">
        <w:rPr>
          <w:i/>
          <w:iCs/>
        </w:rPr>
        <w:t>plantarum</w:t>
      </w:r>
      <w:r>
        <w:t xml:space="preserve"> and </w:t>
      </w:r>
      <w:r w:rsidRPr="00D03E3A">
        <w:rPr>
          <w:i/>
          <w:iCs/>
        </w:rPr>
        <w:t>Leuconostoc</w:t>
      </w:r>
      <w:r>
        <w:t xml:space="preserve"> </w:t>
      </w:r>
      <w:r w:rsidRPr="00D03E3A">
        <w:rPr>
          <w:i/>
          <w:iCs/>
        </w:rPr>
        <w:t>mesenteroides</w:t>
      </w:r>
      <w:r>
        <w:t xml:space="preserve"> (Skonberg et al., 2021). Samples containing </w:t>
      </w:r>
      <w:r w:rsidRPr="00D03E3A">
        <w:rPr>
          <w:i/>
          <w:iCs/>
        </w:rPr>
        <w:t>Alaria</w:t>
      </w:r>
      <w:r>
        <w:t xml:space="preserve"> </w:t>
      </w:r>
      <w:r w:rsidRPr="00D03E3A">
        <w:rPr>
          <w:i/>
          <w:iCs/>
        </w:rPr>
        <w:t>esculenta</w:t>
      </w:r>
      <w:r>
        <w:t xml:space="preserve"> fermented significantly more quickly than those containing </w:t>
      </w:r>
      <w:r w:rsidRPr="00D03E3A">
        <w:rPr>
          <w:i/>
          <w:iCs/>
        </w:rPr>
        <w:t>Saccharina</w:t>
      </w:r>
      <w:r>
        <w:t xml:space="preserve"> </w:t>
      </w:r>
      <w:r w:rsidRPr="00D03E3A">
        <w:rPr>
          <w:i/>
          <w:iCs/>
        </w:rPr>
        <w:t>latissima</w:t>
      </w:r>
      <w:r>
        <w:t xml:space="preserve">. All treatments reached pH below 4.6, which is considered a safe pH for many fermented foods. However, coliforms originating from the cabbage were detected in all treatments except the 75:25 </w:t>
      </w:r>
      <w:r w:rsidRPr="00D03E3A">
        <w:rPr>
          <w:i/>
          <w:iCs/>
        </w:rPr>
        <w:t>Alaria</w:t>
      </w:r>
      <w:r>
        <w:t xml:space="preserve"> </w:t>
      </w:r>
      <w:r w:rsidRPr="00D03E3A">
        <w:rPr>
          <w:i/>
          <w:iCs/>
        </w:rPr>
        <w:t>esculenta</w:t>
      </w:r>
      <w:r>
        <w:t xml:space="preserve">: cabbage mix. Conversely, the 75:25 </w:t>
      </w:r>
      <w:r w:rsidRPr="00D03E3A">
        <w:rPr>
          <w:i/>
          <w:iCs/>
        </w:rPr>
        <w:t>Saccharina</w:t>
      </w:r>
      <w:r>
        <w:t xml:space="preserve"> </w:t>
      </w:r>
      <w:r w:rsidRPr="00D03E3A">
        <w:rPr>
          <w:i/>
          <w:iCs/>
        </w:rPr>
        <w:t>latissima</w:t>
      </w:r>
      <w:r>
        <w:t xml:space="preserve"> mix maintained a relatively high coliform level of approximately 2.5 log CFU/g—even after sixty days of post-fermentation refrigerated storage (see Appendix </w:t>
      </w:r>
      <w:r w:rsidR="002033A6">
        <w:t>E</w:t>
      </w:r>
      <w:r>
        <w:t xml:space="preserve"> for more information on measuring microorganisms in food). In a subsequent pathogen inoculation study, </w:t>
      </w:r>
      <w:r w:rsidRPr="00D03E3A">
        <w:rPr>
          <w:i/>
          <w:iCs/>
        </w:rPr>
        <w:t>Salmonella</w:t>
      </w:r>
      <w:r>
        <w:t xml:space="preserve">, </w:t>
      </w:r>
      <w:r w:rsidRPr="00D03E3A">
        <w:rPr>
          <w:i/>
          <w:iCs/>
        </w:rPr>
        <w:t>Listeria</w:t>
      </w:r>
      <w:r>
        <w:t xml:space="preserve"> </w:t>
      </w:r>
      <w:r w:rsidRPr="00D03E3A">
        <w:rPr>
          <w:i/>
          <w:iCs/>
        </w:rPr>
        <w:t>monocytogenes</w:t>
      </w:r>
      <w:r>
        <w:t xml:space="preserve">, </w:t>
      </w:r>
      <w:r w:rsidRPr="00D03E3A">
        <w:rPr>
          <w:i/>
          <w:iCs/>
        </w:rPr>
        <w:t>Vibrio</w:t>
      </w:r>
      <w:r>
        <w:t xml:space="preserve"> species, and </w:t>
      </w:r>
      <w:r w:rsidRPr="00D03E3A">
        <w:rPr>
          <w:i/>
          <w:iCs/>
        </w:rPr>
        <w:t>Staphylococcus</w:t>
      </w:r>
      <w:r>
        <w:t xml:space="preserve"> </w:t>
      </w:r>
      <w:r w:rsidRPr="00D03E3A">
        <w:rPr>
          <w:i/>
          <w:iCs/>
        </w:rPr>
        <w:t>aureus</w:t>
      </w:r>
      <w:r>
        <w:t xml:space="preserve"> were all undetectable within 10 days or less of fermentation, regardless of seaweed species or concentration used (Perry, Nile, &amp; Skonberg, 2019).</w:t>
      </w:r>
    </w:p>
    <w:p w14:paraId="09648576" w14:textId="6553EE51" w:rsidR="00DD6EE3" w:rsidRDefault="00DD6EE3" w:rsidP="00DD6EE3">
      <w:r>
        <w:t xml:space="preserve">A similar study conducted on </w:t>
      </w:r>
      <w:r w:rsidRPr="00D03E3A">
        <w:rPr>
          <w:i/>
          <w:iCs/>
        </w:rPr>
        <w:t>Saccharina</w:t>
      </w:r>
      <w:r>
        <w:t xml:space="preserve"> </w:t>
      </w:r>
      <w:r w:rsidRPr="00D03E3A">
        <w:rPr>
          <w:i/>
          <w:iCs/>
        </w:rPr>
        <w:t>latissima</w:t>
      </w:r>
      <w:r>
        <w:t xml:space="preserve"> and </w:t>
      </w:r>
      <w:r w:rsidRPr="00D03E3A">
        <w:rPr>
          <w:i/>
          <w:iCs/>
        </w:rPr>
        <w:t>Alaria</w:t>
      </w:r>
      <w:r>
        <w:t xml:space="preserve"> </w:t>
      </w:r>
      <w:r w:rsidRPr="00D03E3A">
        <w:rPr>
          <w:i/>
          <w:iCs/>
        </w:rPr>
        <w:t>esculenta</w:t>
      </w:r>
      <w:r>
        <w:t xml:space="preserve"> compared fermentation using natural microflora and </w:t>
      </w:r>
      <w:r w:rsidRPr="00D03E3A">
        <w:rPr>
          <w:i/>
          <w:iCs/>
        </w:rPr>
        <w:t>Lactiplantibacillus</w:t>
      </w:r>
      <w:r>
        <w:t xml:space="preserve"> </w:t>
      </w:r>
      <w:r w:rsidRPr="00D03E3A">
        <w:rPr>
          <w:i/>
          <w:iCs/>
        </w:rPr>
        <w:t>plantarum</w:t>
      </w:r>
      <w:r>
        <w:t xml:space="preserve"> (Sørensen et al., 2021). The naturally occurring flora were unable to reduce pH to a suitable level (below 4.6</w:t>
      </w:r>
      <w:r w:rsidR="00D03E3A">
        <w:t>) and</w:t>
      </w:r>
      <w:r>
        <w:t xml:space="preserve"> observed that </w:t>
      </w:r>
      <w:r w:rsidRPr="00D03E3A">
        <w:rPr>
          <w:i/>
          <w:iCs/>
        </w:rPr>
        <w:t>Alaria</w:t>
      </w:r>
      <w:r>
        <w:t xml:space="preserve"> </w:t>
      </w:r>
      <w:r w:rsidRPr="00D03E3A">
        <w:rPr>
          <w:i/>
          <w:iCs/>
        </w:rPr>
        <w:t>esculenta</w:t>
      </w:r>
      <w:r>
        <w:t xml:space="preserve"> again fermented faster than </w:t>
      </w:r>
      <w:r w:rsidRPr="00D03E3A">
        <w:rPr>
          <w:i/>
          <w:iCs/>
        </w:rPr>
        <w:t>Saccharina</w:t>
      </w:r>
      <w:r>
        <w:t xml:space="preserve"> </w:t>
      </w:r>
      <w:r w:rsidRPr="00D03E3A">
        <w:rPr>
          <w:i/>
          <w:iCs/>
        </w:rPr>
        <w:t>latissima</w:t>
      </w:r>
      <w:r>
        <w:t xml:space="preserve"> when inoculated. Also in this study, inoculated </w:t>
      </w:r>
      <w:r w:rsidRPr="00D03E3A">
        <w:rPr>
          <w:i/>
          <w:iCs/>
        </w:rPr>
        <w:t>Listeria</w:t>
      </w:r>
      <w:r>
        <w:t xml:space="preserve"> </w:t>
      </w:r>
      <w:r w:rsidRPr="00D03E3A">
        <w:rPr>
          <w:i/>
          <w:iCs/>
        </w:rPr>
        <w:t>monocytogenes</w:t>
      </w:r>
      <w:r>
        <w:t xml:space="preserve"> decreased from 3.8 log CFU/g to less than 1.0 log CFU/g in four days in both </w:t>
      </w:r>
      <w:r w:rsidRPr="00D03E3A">
        <w:rPr>
          <w:i/>
          <w:iCs/>
        </w:rPr>
        <w:t>Lactiplantibacillus</w:t>
      </w:r>
      <w:r>
        <w:t xml:space="preserve"> </w:t>
      </w:r>
      <w:r w:rsidRPr="00D03E3A">
        <w:rPr>
          <w:i/>
          <w:iCs/>
        </w:rPr>
        <w:t>plantarum</w:t>
      </w:r>
      <w:r>
        <w:t xml:space="preserve"> fermentation treatments. Although only two studies have examined pathogen survival during seaweed fermentation, both found consistent reductions in pathogen levels. These findings suggest that the use of acidification through lactic acid fermentation can produce safe finished products, provided that the seaweed species used and the final pH achieved are carefully controlled and fermentation methods are validated.</w:t>
      </w:r>
    </w:p>
    <w:p w14:paraId="7060C71F" w14:textId="77777777" w:rsidR="00DD6EE3" w:rsidRDefault="00DD6EE3" w:rsidP="00691E23">
      <w:pPr>
        <w:pStyle w:val="Heading3"/>
      </w:pPr>
      <w:bookmarkStart w:id="209" w:name="_Toc208503286"/>
      <w:r>
        <w:lastRenderedPageBreak/>
        <w:t>Freezing</w:t>
      </w:r>
      <w:bookmarkEnd w:id="209"/>
    </w:p>
    <w:p w14:paraId="4BC3E680" w14:textId="29081489" w:rsidR="00DD6EE3" w:rsidRDefault="00DD6EE3" w:rsidP="00B64049">
      <w:pPr>
        <w:spacing w:before="240"/>
      </w:pPr>
      <w:r>
        <w:t xml:space="preserve">Freezing can help seaweed maintain “fresh-like” qualities but is energy intensive. It also requires the subsequent availability of frozen storage and transport. Frozen seaweeds are often </w:t>
      </w:r>
      <w:hyperlink w:anchor="_Blanching" w:tooltip="Submersion of foods in boiling water or exposure to steam for a short period of time before rapidly cooling. Blanching is commonly done to fix color and stop enzymatic activity. " w:history="1">
        <w:r w:rsidRPr="000B284B">
          <w:rPr>
            <w:rStyle w:val="Hyperlink"/>
          </w:rPr>
          <w:t>blanched</w:t>
        </w:r>
      </w:hyperlink>
      <w:r>
        <w:t xml:space="preserve"> or </w:t>
      </w:r>
      <w:hyperlink w:anchor="_Pasteurization" w:tooltip="A process (commonly heat) applied to foods to reduce the population of a target pathogen to a safe level." w:history="1">
        <w:r w:rsidRPr="00A90B55">
          <w:rPr>
            <w:rStyle w:val="Hyperlink"/>
          </w:rPr>
          <w:t>pasteurized</w:t>
        </w:r>
      </w:hyperlink>
      <w:r>
        <w:t xml:space="preserve"> before freezing in order to maintain quality during storage and may be used for further processing (e.g., fermentation or drying).</w:t>
      </w:r>
    </w:p>
    <w:p w14:paraId="356E8841" w14:textId="5B5357D0" w:rsidR="00DD6EE3" w:rsidRDefault="00DD6EE3" w:rsidP="00DD6EE3">
      <w:r>
        <w:t xml:space="preserve">In a study on </w:t>
      </w:r>
      <w:r w:rsidRPr="00D03E3A">
        <w:rPr>
          <w:i/>
          <w:iCs/>
        </w:rPr>
        <w:t>Saccharina</w:t>
      </w:r>
      <w:r>
        <w:t xml:space="preserve"> </w:t>
      </w:r>
      <w:r w:rsidRPr="00D03E3A">
        <w:rPr>
          <w:i/>
          <w:iCs/>
        </w:rPr>
        <w:t>latissima</w:t>
      </w:r>
      <w:r>
        <w:t xml:space="preserve">, the amount of </w:t>
      </w:r>
      <w:r w:rsidRPr="00D03E3A">
        <w:rPr>
          <w:i/>
          <w:iCs/>
        </w:rPr>
        <w:t>Bacillus</w:t>
      </w:r>
      <w:r>
        <w:t xml:space="preserve"> species increased from 1.1% to 80.3% after freezing relative to other taxa (Jönsson et al., 2023). This is important to note for previously frozen seaweeds that are thawed and dried, as </w:t>
      </w:r>
      <w:r w:rsidRPr="00D03E3A">
        <w:rPr>
          <w:i/>
          <w:iCs/>
        </w:rPr>
        <w:t>Bacillus</w:t>
      </w:r>
      <w:r>
        <w:t xml:space="preserve"> can produce spores that survive </w:t>
      </w:r>
      <w:hyperlink w:anchor="_Drying" w:tooltip="he natural (sun or air drying) or mechanical (dehydrator, oven, freeze drying, etc.) removal of water from a food or food product to reduce the water available for microbial growth (Aw). A commonly used method of food preservation." w:history="1">
        <w:r w:rsidRPr="004A0675">
          <w:rPr>
            <w:rStyle w:val="Hyperlink"/>
          </w:rPr>
          <w:t>drying</w:t>
        </w:r>
      </w:hyperlink>
      <w:r>
        <w:t xml:space="preserve"> and may become active again when the seaweed is rehydrated. Significant decreases (by greater than 99%) in microbial populations were observed on </w:t>
      </w:r>
      <w:r w:rsidRPr="00D03E3A">
        <w:rPr>
          <w:i/>
          <w:iCs/>
        </w:rPr>
        <w:t>Laminaria</w:t>
      </w:r>
      <w:r>
        <w:t xml:space="preserve"> </w:t>
      </w:r>
      <w:r w:rsidRPr="00D03E3A">
        <w:rPr>
          <w:i/>
          <w:iCs/>
        </w:rPr>
        <w:t>ochroleuca</w:t>
      </w:r>
      <w:r>
        <w:t xml:space="preserve"> after 60 days of frozen storage (Del Olmo et al., 2019), but this trend was not observed in multiple studies of </w:t>
      </w:r>
      <w:r w:rsidRPr="00D03E3A">
        <w:rPr>
          <w:i/>
          <w:iCs/>
        </w:rPr>
        <w:t>Saccharina</w:t>
      </w:r>
      <w:r>
        <w:t xml:space="preserve"> </w:t>
      </w:r>
      <w:r w:rsidRPr="00D03E3A">
        <w:rPr>
          <w:i/>
          <w:iCs/>
        </w:rPr>
        <w:t>latissima</w:t>
      </w:r>
      <w:r>
        <w:t xml:space="preserve"> frozen for up to 12 months (Akomea-Frempong et al., 2021; 2022). In another study, raw laver stored frozen for 15 days showed a decrease in total mesophilic count, but the decline was not linear (Lee et al., 2023).</w:t>
      </w:r>
    </w:p>
    <w:p w14:paraId="6C6DF197" w14:textId="77777777" w:rsidR="00DD6EE3" w:rsidRDefault="00DD6EE3" w:rsidP="00DD6EE3">
      <w:r>
        <w:t>Multiple authors have reported increased fungal growth (visually or measured) on previously frozen seaweeds when compared to other samples (Akomea-Frempong et al., 2022; Del Olmo et al., 2019; Jönsson et al., 2023).</w:t>
      </w:r>
    </w:p>
    <w:p w14:paraId="50DA0EBD" w14:textId="7EDA6010" w:rsidR="00DD6EE3" w:rsidRDefault="00DD6EE3" w:rsidP="00691E23">
      <w:pPr>
        <w:pStyle w:val="Heading3"/>
      </w:pPr>
      <w:bookmarkStart w:id="210" w:name="_Toc208503287"/>
      <w:r>
        <w:t>Disintegration (Shredding, Milling, Pureeing, etc.)</w:t>
      </w:r>
      <w:bookmarkEnd w:id="210"/>
    </w:p>
    <w:p w14:paraId="58743D41" w14:textId="4E1C328E" w:rsidR="00DD6EE3" w:rsidRDefault="00D03E3A" w:rsidP="00B64049">
      <w:pPr>
        <w:spacing w:before="240"/>
      </w:pPr>
      <w:r>
        <w:t>P</w:t>
      </w:r>
      <w:r w:rsidR="00DD6EE3">
        <w:t>rocesses that help in breaking down or separating ingredients</w:t>
      </w:r>
      <w:r>
        <w:t xml:space="preserve"> (disintegration unit operations</w:t>
      </w:r>
      <w:r w:rsidR="00DD6EE3">
        <w:t>) are common in the processing of fresh seaweeds (e.g., slicing, shredding) as well as dried seaweeds (e.g., milling). It is well established that mixing of foods during disintegration carries a risk of cross-contamination (Buchholz et al., 2012; Scollon et al., 2016). Laboratory studies have shown that mechanical shredding of Saccharina latissima did not increase microbial loads (Akomea-Frempong et al., 2022). However, in a study of commercial processors in Korea manufacturing dried laver snacks, chopping resulted in increases in aerobic bacterial counts ranging from 0.4-4.4 log CFU/g (Son et al., 2014).</w:t>
      </w:r>
    </w:p>
    <w:p w14:paraId="7E5EC339" w14:textId="77777777" w:rsidR="00DD6EE3" w:rsidRDefault="00DD6EE3" w:rsidP="00DD6EE3">
      <w:r>
        <w:t>It is possible for pathogens to transfer from contaminated products to equipment surfaces and vice versa. For this reason, care should be taken to ensure proper sanitation of cutting and milling equipment, particularly in the handling of high moisture (e.g., not dried) seaweeds, which provide favorable conditions for pathogen growth.</w:t>
      </w:r>
    </w:p>
    <w:p w14:paraId="14744F08" w14:textId="77777777" w:rsidR="00DD6EE3" w:rsidRDefault="00DD6EE3" w:rsidP="00691E23">
      <w:pPr>
        <w:pStyle w:val="Heading3"/>
      </w:pPr>
      <w:bookmarkStart w:id="211" w:name="_Toc208503288"/>
      <w:r>
        <w:t>Packaging</w:t>
      </w:r>
      <w:bookmarkEnd w:id="211"/>
    </w:p>
    <w:p w14:paraId="4D0899FB" w14:textId="77777777" w:rsidR="00DD6EE3" w:rsidRDefault="00DD6EE3" w:rsidP="00B64049">
      <w:pPr>
        <w:spacing w:before="240"/>
      </w:pPr>
      <w:r>
        <w:t xml:space="preserve">Packaging can influence the risk of foodborne pathogen growth by affecting environmental factors such as moisture, oxygen exposure, and temperature stability. Most bacterial pathogens of concern in seaweeds are facultatively anaerobic, meaning that they will survive and even </w:t>
      </w:r>
      <w:r>
        <w:lastRenderedPageBreak/>
        <w:t xml:space="preserve">reproduce—albeit more slowly—in the absence of oxygen. For this reason, vacuum packaging and modified atmosphere packaging (MAP) are usually used to preserve quality rather than improve safety. In an experimental investigation, the use of vacuum packaging and MAP (80% argon, 20% carbon dioxide) resulted in a significant decrease in heterotrophic marine bacterial counts on </w:t>
      </w:r>
      <w:r w:rsidRPr="00D03E3A">
        <w:rPr>
          <w:i/>
          <w:iCs/>
        </w:rPr>
        <w:t>Porphyra</w:t>
      </w:r>
      <w:r>
        <w:t xml:space="preserve"> </w:t>
      </w:r>
      <w:r w:rsidRPr="00D03E3A">
        <w:rPr>
          <w:i/>
          <w:iCs/>
        </w:rPr>
        <w:t>umbilicalis</w:t>
      </w:r>
      <w:r>
        <w:t xml:space="preserve"> (greater than 99.99% reduction) but had no effect on the same population on </w:t>
      </w:r>
      <w:r w:rsidRPr="00D03E3A">
        <w:rPr>
          <w:i/>
          <w:iCs/>
        </w:rPr>
        <w:t>Ulva</w:t>
      </w:r>
      <w:r>
        <w:t xml:space="preserve"> </w:t>
      </w:r>
      <w:r w:rsidRPr="00D03E3A">
        <w:rPr>
          <w:i/>
          <w:iCs/>
        </w:rPr>
        <w:t>lactuca</w:t>
      </w:r>
      <w:r>
        <w:t xml:space="preserve"> (Moreira-Leite et al., 2023). These results highlight the species-specific differences in bacterial behavior across various types of seaweed.</w:t>
      </w:r>
    </w:p>
    <w:p w14:paraId="5E08153D" w14:textId="30163264" w:rsidR="00DD6EE3" w:rsidRDefault="00DD6EE3" w:rsidP="00DD6EE3">
      <w:r w:rsidRPr="00D03E3A">
        <w:rPr>
          <w:i/>
          <w:iCs/>
        </w:rPr>
        <w:t>Clostridium</w:t>
      </w:r>
      <w:r>
        <w:t xml:space="preserve"> </w:t>
      </w:r>
      <w:r w:rsidRPr="00D03E3A">
        <w:rPr>
          <w:i/>
          <w:iCs/>
        </w:rPr>
        <w:t>botulinum</w:t>
      </w:r>
      <w:r>
        <w:t xml:space="preserve">, a strict anaerobe, is only considered to be a significant hazard in </w:t>
      </w:r>
      <w:hyperlink w:anchor="ROP" w:tooltip="Food packaging method that results in reduced or no presence of oxygen (mechanical vacuum, steam flush, hot fill, modified atmosphere packaging (MAP), controlled atmosphere packaging, hermetically sealed, or packed in oil)." w:history="1">
        <w:r w:rsidRPr="00AE1C32">
          <w:rPr>
            <w:rStyle w:val="Hyperlink"/>
          </w:rPr>
          <w:t>reduced oxygen packaged</w:t>
        </w:r>
      </w:hyperlink>
      <w:r>
        <w:t xml:space="preserve"> (ROP; e.g., vacuum packed in non-oxygen permeable package) products (see </w:t>
      </w:r>
      <w:hyperlink w:anchor="_Clostridium_botulinum_Toxin" w:history="1">
        <w:r w:rsidRPr="002033A6">
          <w:rPr>
            <w:rStyle w:val="Hyperlink"/>
          </w:rPr>
          <w:t>Chapter 12</w:t>
        </w:r>
      </w:hyperlink>
      <w:r>
        <w:t>).</w:t>
      </w:r>
    </w:p>
    <w:p w14:paraId="7723A3F1" w14:textId="648DC19B" w:rsidR="00DD6EE3" w:rsidRDefault="00DD6EE3" w:rsidP="00DD6EE3">
      <w:r>
        <w:t xml:space="preserve">Proper packaging and storage of dried products are essential to prevent partial rehydration. Moisture absorbed from the air can increase </w:t>
      </w:r>
      <w:hyperlink w:anchor="WaterActivity" w:tooltip="A measure of free or available water in a food, which is different from total water in a food, which is referred to as moisture content. Available water is used by microorganisms for growth; by limiting available water, one reduces aW." w:history="1">
        <w:r w:rsidRPr="00AF729A">
          <w:rPr>
            <w:rStyle w:val="Hyperlink"/>
          </w:rPr>
          <w:t>water activity</w:t>
        </w:r>
      </w:hyperlink>
      <w:r>
        <w:t>, creating conditions that support the growth of pathogens. In a study of dried seaweeds, aerobic bacterial populations rose significantly after 3</w:t>
      </w:r>
      <w:r w:rsidR="00D03E3A" w:rsidRPr="00D03E3A">
        <w:t>–</w:t>
      </w:r>
      <w:r>
        <w:t>5 days of storage at 77°F (25°C) (ambient temperature) under 70% or more relative humidity (RH), while mold counts increased after just one day. In contrast, storage at 50% RH kept microbial levels relatively stable (Hyun et al., 2018). These results underscore the importance of using packaging that limits exposure to moisture during storage.</w:t>
      </w:r>
    </w:p>
    <w:p w14:paraId="2D554C23" w14:textId="091B6DB9" w:rsidR="00DD6EE3" w:rsidRDefault="00DD6EE3" w:rsidP="00691E23">
      <w:pPr>
        <w:pStyle w:val="Heading3"/>
      </w:pPr>
      <w:bookmarkStart w:id="212" w:name="_Toc208503289"/>
      <w:r>
        <w:t>Other/Emerging</w:t>
      </w:r>
      <w:r w:rsidR="00D03E3A">
        <w:t xml:space="preserve"> Processes</w:t>
      </w:r>
      <w:bookmarkEnd w:id="212"/>
    </w:p>
    <w:p w14:paraId="3C56B0A8" w14:textId="59D59198" w:rsidR="00DD6EE3" w:rsidRDefault="00DD6EE3" w:rsidP="00B64049">
      <w:pPr>
        <w:spacing w:before="240"/>
      </w:pPr>
      <w:r>
        <w:t xml:space="preserve">A small number of publications discuss using processes including high pressure (HPP) and pulsed electric field (PEF) for the preservation of seaweeds. Recently, PEF has been investigated not as a standalone treatment but as a pretreatment for seaweed </w:t>
      </w:r>
      <w:hyperlink w:anchor="DryingDehydrating" w:tooltip="The natural (sun or air drying) or mechanical (dehydrator, oven, freeze drying, etc.) removal of water from a food or food product to reduce the water available for microbial growth (Aw). A commonly used method of food preservation." w:history="1">
        <w:r w:rsidRPr="00BC7922">
          <w:rPr>
            <w:rStyle w:val="Hyperlink"/>
          </w:rPr>
          <w:t>drying</w:t>
        </w:r>
      </w:hyperlink>
      <w:r>
        <w:t>. Authors report improved drying efficiency (Le Loeuff et al., 2024), and reduction of iodine and arsenic (Blikra et al., 2022), through the addition of PEF to drying processes.</w:t>
      </w:r>
    </w:p>
    <w:p w14:paraId="64C403FB" w14:textId="03C92EBA" w:rsidR="00DD6EE3" w:rsidRDefault="00DD6EE3" w:rsidP="00DD6EE3">
      <w:r>
        <w:t xml:space="preserve">High pressure treatment of </w:t>
      </w:r>
      <w:r w:rsidRPr="00D03E3A">
        <w:rPr>
          <w:i/>
          <w:iCs/>
        </w:rPr>
        <w:t>Listeria</w:t>
      </w:r>
      <w:r>
        <w:t xml:space="preserve"> </w:t>
      </w:r>
      <w:r w:rsidRPr="00D03E3A">
        <w:rPr>
          <w:i/>
          <w:iCs/>
        </w:rPr>
        <w:t>ochroleuca</w:t>
      </w:r>
      <w:r>
        <w:t xml:space="preserve"> resulted in an immediate decrease of total viable bacteria by approximately 2-3 log CFU/g, a reduction that was maintained during subsequent storage at 4°C (Del Olmo et al., 2019). However, the combination of </w:t>
      </w:r>
      <w:hyperlink w:anchor="Salting" w:tooltip="Adding salt to foods to preserve or enhance the food, sometimes referred to as dry brining" w:history="1">
        <w:r w:rsidRPr="003E23E8">
          <w:rPr>
            <w:rStyle w:val="Hyperlink"/>
          </w:rPr>
          <w:t>salting</w:t>
        </w:r>
      </w:hyperlink>
      <w:r>
        <w:t xml:space="preserve"> and HPP in this study did not result in improved microbial quality. HPP can be used as a processing control if the conditions applied are appropriately validated. At present, the use of HPP and PEF in seaweed processing is limited. The main challenges are the lack of available infrastructure and the high cost of specialized equipment.</w:t>
      </w:r>
    </w:p>
    <w:p w14:paraId="4ED9A40D" w14:textId="77777777" w:rsidR="00DD6EE3" w:rsidRDefault="00DD6EE3" w:rsidP="00846B8F">
      <w:pPr>
        <w:pStyle w:val="Heading2"/>
        <w:numPr>
          <w:ilvl w:val="1"/>
          <w:numId w:val="167"/>
        </w:numPr>
      </w:pPr>
      <w:bookmarkStart w:id="213" w:name="_Toc208503290"/>
      <w:r>
        <w:t>Determining if the Hazard is Significant</w:t>
      </w:r>
      <w:bookmarkEnd w:id="213"/>
    </w:p>
    <w:p w14:paraId="0E7767D5" w14:textId="67F690D9" w:rsidR="00DD6EE3" w:rsidRDefault="00DD6EE3" w:rsidP="00B64049">
      <w:pPr>
        <w:spacing w:before="240"/>
      </w:pPr>
      <w:r>
        <w:t xml:space="preserve">Post-process-related contamination is considered a significant hazard—either “reasonably likely to occur” (HACCP) or “hazard requiring a preventive control” (PCHF)—particularly for </w:t>
      </w:r>
      <w:hyperlink w:anchor="RTE" w:tooltip="Foods being sold with the intention of being consumed without any further processing or preparation." w:history="1">
        <w:r w:rsidRPr="00AE1C32">
          <w:rPr>
            <w:rStyle w:val="Hyperlink"/>
          </w:rPr>
          <w:t>ready-to-eat (RTE)</w:t>
        </w:r>
      </w:hyperlink>
      <w:r>
        <w:t xml:space="preserve"> foods, due to the ability of Listeria monocytogenes to establish itself in processing </w:t>
      </w:r>
      <w:r>
        <w:lastRenderedPageBreak/>
        <w:t xml:space="preserve">environments. This is especially important for RTE foods because they will not be cooked by the end user and there is no additional kill step to eliminate pathogens. Note that when operating under a HACCP system, sanitation controls can be part of a facility's prerequisite programs (such as GMPs) and do not need to be included in a HACCP plan. However, in a Preventive Controls Food Safety plan, sanitation controls necessary to prevent post-process cross-contamination and ensure safety must be included in the facilities Food Safety Plan. </w:t>
      </w:r>
    </w:p>
    <w:p w14:paraId="5A7B5FDD" w14:textId="15D71971" w:rsidR="00DD6EE3" w:rsidRDefault="00DD6EE3" w:rsidP="00846B8F">
      <w:pPr>
        <w:pStyle w:val="Heading2"/>
        <w:numPr>
          <w:ilvl w:val="1"/>
          <w:numId w:val="167"/>
        </w:numPr>
      </w:pPr>
      <w:bookmarkStart w:id="214" w:name="_Toc208503291"/>
      <w:r>
        <w:t>Hazard Controls and Critical Control Points</w:t>
      </w:r>
      <w:bookmarkEnd w:id="214"/>
    </w:p>
    <w:p w14:paraId="47AA7923" w14:textId="7C68538E" w:rsidR="00045395" w:rsidRDefault="00045395" w:rsidP="00C54E07">
      <w:pPr>
        <w:pStyle w:val="Caption"/>
      </w:pPr>
      <w:r w:rsidRPr="008E2322">
        <w:rPr>
          <w:b/>
          <w:bCs/>
        </w:rPr>
        <w:t xml:space="preserve">Table </w:t>
      </w:r>
      <w:r w:rsidR="00896F22" w:rsidRPr="008E2322">
        <w:rPr>
          <w:b/>
          <w:bCs/>
        </w:rPr>
        <w:fldChar w:fldCharType="begin"/>
      </w:r>
      <w:r w:rsidR="00896F22" w:rsidRPr="008E2322">
        <w:rPr>
          <w:b/>
          <w:bCs/>
        </w:rPr>
        <w:instrText xml:space="preserve"> STYLEREF 1 \s </w:instrText>
      </w:r>
      <w:r w:rsidR="00896F22" w:rsidRPr="008E2322">
        <w:rPr>
          <w:b/>
          <w:bCs/>
        </w:rPr>
        <w:fldChar w:fldCharType="separate"/>
      </w:r>
      <w:r w:rsidR="00A042AD">
        <w:rPr>
          <w:b/>
          <w:bCs/>
          <w:noProof/>
        </w:rPr>
        <w:t>11</w:t>
      </w:r>
      <w:r w:rsidR="00896F22" w:rsidRPr="008E2322">
        <w:rPr>
          <w:b/>
          <w:bCs/>
          <w:noProof/>
        </w:rPr>
        <w:fldChar w:fldCharType="end"/>
      </w:r>
      <w:r w:rsidR="00896F22" w:rsidRPr="008E2322">
        <w:rPr>
          <w:b/>
          <w:bCs/>
        </w:rPr>
        <w:noBreakHyphen/>
      </w:r>
      <w:r w:rsidR="00896F22" w:rsidRPr="008E2322">
        <w:rPr>
          <w:b/>
          <w:bCs/>
        </w:rPr>
        <w:fldChar w:fldCharType="begin"/>
      </w:r>
      <w:r w:rsidR="00896F22" w:rsidRPr="008E2322">
        <w:rPr>
          <w:b/>
          <w:bCs/>
        </w:rPr>
        <w:instrText xml:space="preserve"> SEQ Table \* ARABIC \s 1 </w:instrText>
      </w:r>
      <w:r w:rsidR="00896F22" w:rsidRPr="008E2322">
        <w:rPr>
          <w:b/>
          <w:bCs/>
        </w:rPr>
        <w:fldChar w:fldCharType="separate"/>
      </w:r>
      <w:r w:rsidR="00A042AD">
        <w:rPr>
          <w:b/>
          <w:bCs/>
          <w:noProof/>
        </w:rPr>
        <w:t>3</w:t>
      </w:r>
      <w:r w:rsidR="00896F22" w:rsidRPr="008E2322">
        <w:rPr>
          <w:b/>
          <w:bCs/>
          <w:noProof/>
        </w:rPr>
        <w:fldChar w:fldCharType="end"/>
      </w:r>
      <w:r w:rsidRPr="00045395">
        <w:t>:</w:t>
      </w:r>
      <w:r>
        <w:t xml:space="preserve"> </w:t>
      </w:r>
      <w:r w:rsidRPr="00C071A5">
        <w:t>Control Strategies for P</w:t>
      </w:r>
      <w:r>
        <w:t>athogen Contamination</w:t>
      </w:r>
    </w:p>
    <w:tbl>
      <w:tblPr>
        <w:tblStyle w:val="TableGrid"/>
        <w:tblW w:w="0" w:type="auto"/>
        <w:tblInd w:w="-5" w:type="dxa"/>
        <w:tblLook w:val="04A0" w:firstRow="1" w:lastRow="0" w:firstColumn="1" w:lastColumn="0" w:noHBand="0" w:noVBand="1"/>
      </w:tblPr>
      <w:tblGrid>
        <w:gridCol w:w="2460"/>
        <w:gridCol w:w="2460"/>
        <w:gridCol w:w="2460"/>
      </w:tblGrid>
      <w:tr w:rsidR="00D03E3A" w14:paraId="697F6ED3" w14:textId="77777777" w:rsidTr="00DF5603">
        <w:trPr>
          <w:trHeight w:val="467"/>
        </w:trPr>
        <w:tc>
          <w:tcPr>
            <w:tcW w:w="2460" w:type="dxa"/>
            <w:vAlign w:val="bottom"/>
          </w:tcPr>
          <w:p w14:paraId="308E622F" w14:textId="77777777" w:rsidR="00D03E3A" w:rsidRPr="00EB199E" w:rsidRDefault="00D03E3A" w:rsidP="00DF5603">
            <w:pPr>
              <w:jc w:val="center"/>
              <w:rPr>
                <w:b/>
                <w:bCs/>
              </w:rPr>
            </w:pPr>
            <w:r w:rsidRPr="00EB199E">
              <w:rPr>
                <w:b/>
                <w:bCs/>
              </w:rPr>
              <w:t>Control Strategy</w:t>
            </w:r>
          </w:p>
        </w:tc>
        <w:tc>
          <w:tcPr>
            <w:tcW w:w="2460" w:type="dxa"/>
            <w:vAlign w:val="bottom"/>
          </w:tcPr>
          <w:p w14:paraId="6159710D" w14:textId="77777777" w:rsidR="00D03E3A" w:rsidRPr="00EB199E" w:rsidRDefault="00D03E3A" w:rsidP="00DF5603">
            <w:pPr>
              <w:jc w:val="center"/>
              <w:rPr>
                <w:b/>
                <w:bCs/>
              </w:rPr>
            </w:pPr>
            <w:r w:rsidRPr="00EB199E">
              <w:rPr>
                <w:b/>
                <w:bCs/>
              </w:rPr>
              <w:t>Primary</w:t>
            </w:r>
            <w:r>
              <w:rPr>
                <w:b/>
                <w:bCs/>
              </w:rPr>
              <w:t xml:space="preserve"> Processor</w:t>
            </w:r>
          </w:p>
        </w:tc>
        <w:tc>
          <w:tcPr>
            <w:tcW w:w="2460" w:type="dxa"/>
            <w:vAlign w:val="bottom"/>
          </w:tcPr>
          <w:p w14:paraId="3F52E09B" w14:textId="77777777" w:rsidR="00D03E3A" w:rsidRPr="00EB199E" w:rsidRDefault="00D03E3A" w:rsidP="00DF5603">
            <w:pPr>
              <w:jc w:val="center"/>
              <w:rPr>
                <w:b/>
                <w:bCs/>
              </w:rPr>
            </w:pPr>
            <w:r w:rsidRPr="00EB199E">
              <w:rPr>
                <w:b/>
                <w:bCs/>
              </w:rPr>
              <w:t>Secondary</w:t>
            </w:r>
            <w:r>
              <w:rPr>
                <w:b/>
                <w:bCs/>
              </w:rPr>
              <w:t xml:space="preserve"> Processor</w:t>
            </w:r>
          </w:p>
        </w:tc>
      </w:tr>
      <w:tr w:rsidR="00D03E3A" w14:paraId="5A41B085" w14:textId="77777777" w:rsidTr="00DF5603">
        <w:trPr>
          <w:trHeight w:val="521"/>
        </w:trPr>
        <w:tc>
          <w:tcPr>
            <w:tcW w:w="2460" w:type="dxa"/>
            <w:vAlign w:val="center"/>
          </w:tcPr>
          <w:p w14:paraId="58CB90A8" w14:textId="312FFF6A" w:rsidR="00D03E3A" w:rsidRDefault="00D03E3A" w:rsidP="00DF5603">
            <w:r>
              <w:t>Sanitation Preventive Control</w:t>
            </w:r>
          </w:p>
        </w:tc>
        <w:tc>
          <w:tcPr>
            <w:tcW w:w="2460" w:type="dxa"/>
            <w:vAlign w:val="center"/>
          </w:tcPr>
          <w:p w14:paraId="14796E7A" w14:textId="77777777" w:rsidR="00D03E3A" w:rsidRDefault="00D03E3A" w:rsidP="00DF5603">
            <w:pPr>
              <w:jc w:val="center"/>
            </w:pPr>
            <w:r w:rsidRPr="00587FA2">
              <w:rPr>
                <w:rFonts w:ascii="Wingdings" w:hAnsi="Wingdings" w:cs="Calibri"/>
                <w:b/>
                <w:bCs/>
              </w:rPr>
              <w:t>ü</w:t>
            </w:r>
          </w:p>
        </w:tc>
        <w:tc>
          <w:tcPr>
            <w:tcW w:w="2460" w:type="dxa"/>
            <w:vAlign w:val="center"/>
          </w:tcPr>
          <w:p w14:paraId="118FF1F3" w14:textId="77777777" w:rsidR="00D03E3A" w:rsidRDefault="00D03E3A" w:rsidP="00DF5603">
            <w:pPr>
              <w:jc w:val="center"/>
            </w:pPr>
            <w:r w:rsidRPr="00587FA2">
              <w:rPr>
                <w:rFonts w:ascii="Wingdings" w:hAnsi="Wingdings" w:cs="Calibri"/>
                <w:b/>
                <w:bCs/>
              </w:rPr>
              <w:t>ü</w:t>
            </w:r>
          </w:p>
        </w:tc>
      </w:tr>
    </w:tbl>
    <w:p w14:paraId="548FED45" w14:textId="2EDA1B49" w:rsidR="00D03E3A" w:rsidRDefault="00D03E3A" w:rsidP="00846B8F">
      <w:pPr>
        <w:pStyle w:val="Heading3"/>
        <w:numPr>
          <w:ilvl w:val="2"/>
          <w:numId w:val="167"/>
        </w:numPr>
      </w:pPr>
      <w:bookmarkStart w:id="215" w:name="_Toc208503292"/>
      <w:r>
        <w:t>Control Strategy – Sanitation Preventive Control</w:t>
      </w:r>
      <w:bookmarkEnd w:id="215"/>
    </w:p>
    <w:p w14:paraId="5096ECFB" w14:textId="77777777" w:rsidR="00D03E3A" w:rsidRDefault="00D03E3A" w:rsidP="00B64049">
      <w:pPr>
        <w:spacing w:before="240"/>
      </w:pPr>
      <w:r>
        <w:rPr>
          <w:b/>
          <w:bCs/>
        </w:rPr>
        <w:t>NOTE:</w:t>
      </w:r>
      <w:r>
        <w:t xml:space="preserve"> Facilities regulated under Seafood HACCP are not required to identify sanitation controls as Critical Control Points (CCPs) in their HACCP plans. Instead, these controls can be addressed through pre-requisite programs, such as Sanitation Control Procedures (SCPs).</w:t>
      </w:r>
    </w:p>
    <w:p w14:paraId="490E4082" w14:textId="77777777" w:rsidR="00D03E3A" w:rsidRDefault="00D03E3A" w:rsidP="00D03E3A">
      <w:r>
        <w:t>In contrast, facilities regulated under the Preventive Controls for Human Foods (PCHF) rule must include any sanitation preventive controls necessary to prevent hazards directly in their written food safety plan.</w:t>
      </w:r>
    </w:p>
    <w:p w14:paraId="42CDA793" w14:textId="77777777" w:rsidR="00D03E3A" w:rsidRDefault="00D03E3A" w:rsidP="00846B8F">
      <w:pPr>
        <w:pStyle w:val="Heading4"/>
        <w:numPr>
          <w:ilvl w:val="3"/>
          <w:numId w:val="167"/>
        </w:numPr>
      </w:pPr>
      <w:r>
        <w:t>Purpose (Sanitation Preventive Control)</w:t>
      </w:r>
    </w:p>
    <w:p w14:paraId="02EB4F38" w14:textId="10C93139" w:rsidR="00D03E3A" w:rsidRDefault="00D03E3A" w:rsidP="00846B8F">
      <w:pPr>
        <w:pStyle w:val="ListParagraph"/>
        <w:numPr>
          <w:ilvl w:val="0"/>
          <w:numId w:val="80"/>
        </w:numPr>
        <w:spacing w:before="240"/>
        <w:contextualSpacing w:val="0"/>
      </w:pPr>
      <w:r>
        <w:t xml:space="preserve">Clearly define the purpose of each sanitation control and specify the equipment or area of the facility to which it applies. </w:t>
      </w:r>
      <w:r w:rsidRPr="00D03E3A">
        <w:rPr>
          <w:b/>
          <w:bCs/>
        </w:rPr>
        <w:t>For example:</w:t>
      </w:r>
      <w:r>
        <w:t xml:space="preserve"> "</w:t>
      </w:r>
      <w:r w:rsidRPr="00D03E3A">
        <w:rPr>
          <w:i/>
          <w:iCs/>
        </w:rPr>
        <w:t>To ensure the processing table is thoroughly cleaned to prevent cross-contamination with environmental pathogens or those present on other foods or raw ingredients</w:t>
      </w:r>
      <w:r>
        <w:t>"</w:t>
      </w:r>
    </w:p>
    <w:p w14:paraId="184ACF05" w14:textId="77777777" w:rsidR="00D03E3A" w:rsidRDefault="00D03E3A" w:rsidP="00846B8F">
      <w:pPr>
        <w:pStyle w:val="Heading4"/>
        <w:numPr>
          <w:ilvl w:val="3"/>
          <w:numId w:val="167"/>
        </w:numPr>
      </w:pPr>
      <w:r>
        <w:t>Frequency of cleaning</w:t>
      </w:r>
    </w:p>
    <w:p w14:paraId="08F4A4BA" w14:textId="6065BA23" w:rsidR="00D03E3A" w:rsidRDefault="00B64049" w:rsidP="00846B8F">
      <w:pPr>
        <w:pStyle w:val="ListParagraph"/>
        <w:numPr>
          <w:ilvl w:val="0"/>
          <w:numId w:val="80"/>
        </w:numPr>
        <w:spacing w:before="240"/>
        <w:contextualSpacing w:val="0"/>
      </w:pPr>
      <w:r>
        <w:t>Daily,</w:t>
      </w:r>
      <w:r w:rsidR="00D03E3A">
        <w:t xml:space="preserve"> before production and any time you transition between products or when sanitation is warranted.</w:t>
      </w:r>
    </w:p>
    <w:p w14:paraId="2C6016A3" w14:textId="2E764797" w:rsidR="00D03E3A" w:rsidRPr="003B64F8" w:rsidRDefault="00D03E3A" w:rsidP="00846B8F">
      <w:pPr>
        <w:pStyle w:val="Heading4"/>
        <w:numPr>
          <w:ilvl w:val="3"/>
          <w:numId w:val="167"/>
        </w:numPr>
      </w:pPr>
      <w:r w:rsidRPr="003B64F8">
        <w:t xml:space="preserve">Who will </w:t>
      </w:r>
      <w:r w:rsidR="003B64F8">
        <w:t>I</w:t>
      </w:r>
      <w:r w:rsidRPr="003B64F8">
        <w:t xml:space="preserve">mplement the </w:t>
      </w:r>
      <w:r w:rsidR="003B64F8">
        <w:t>S</w:t>
      </w:r>
      <w:r w:rsidRPr="003B64F8">
        <w:t xml:space="preserve">anitation </w:t>
      </w:r>
      <w:r w:rsidR="003B64F8">
        <w:t>C</w:t>
      </w:r>
      <w:r w:rsidRPr="003B64F8">
        <w:t>ontrol</w:t>
      </w:r>
    </w:p>
    <w:p w14:paraId="7D51455A" w14:textId="5D7812C3" w:rsidR="00D03E3A" w:rsidRDefault="00D03E3A" w:rsidP="00846B8F">
      <w:pPr>
        <w:pStyle w:val="ListParagraph"/>
        <w:numPr>
          <w:ilvl w:val="0"/>
          <w:numId w:val="80"/>
        </w:numPr>
        <w:spacing w:before="240"/>
        <w:contextualSpacing w:val="0"/>
      </w:pPr>
      <w:r>
        <w:t>Sanitation personnel or any other trained individual designated to carry out the sanitation control procedures.</w:t>
      </w:r>
    </w:p>
    <w:p w14:paraId="31DE7B3E" w14:textId="77777777" w:rsidR="00D03E3A" w:rsidRPr="003B64F8" w:rsidRDefault="00D03E3A" w:rsidP="00846B8F">
      <w:pPr>
        <w:pStyle w:val="Heading4"/>
        <w:numPr>
          <w:ilvl w:val="3"/>
          <w:numId w:val="167"/>
        </w:numPr>
      </w:pPr>
      <w:r w:rsidRPr="003B64F8">
        <w:lastRenderedPageBreak/>
        <w:t>Procedure</w:t>
      </w:r>
    </w:p>
    <w:p w14:paraId="3F2AC294" w14:textId="77777777" w:rsidR="00D03E3A" w:rsidRDefault="00D03E3A" w:rsidP="00846B8F">
      <w:pPr>
        <w:pStyle w:val="ListParagraph"/>
        <w:numPr>
          <w:ilvl w:val="0"/>
          <w:numId w:val="80"/>
        </w:numPr>
        <w:spacing w:before="240"/>
        <w:contextualSpacing w:val="0"/>
      </w:pPr>
      <w:r>
        <w:t xml:space="preserve">Outline the sanitation procedures for the specific equipment or area of the facility to be cleaned, following the applicable written Sanitation Standard Operating Procedure (SSOP). </w:t>
      </w:r>
    </w:p>
    <w:p w14:paraId="6677856D" w14:textId="572DF2BF" w:rsidR="00D03E3A" w:rsidRDefault="00D03E3A" w:rsidP="00846B8F">
      <w:pPr>
        <w:pStyle w:val="Heading4"/>
        <w:numPr>
          <w:ilvl w:val="3"/>
          <w:numId w:val="167"/>
        </w:numPr>
      </w:pPr>
      <w:r>
        <w:t xml:space="preserve">Monitoring – What, </w:t>
      </w:r>
      <w:r w:rsidR="003B64F8">
        <w:t>H</w:t>
      </w:r>
      <w:r>
        <w:t xml:space="preserve">ow, </w:t>
      </w:r>
      <w:r w:rsidR="003B64F8">
        <w:t>H</w:t>
      </w:r>
      <w:r>
        <w:t xml:space="preserve">ow </w:t>
      </w:r>
      <w:r w:rsidR="003B64F8">
        <w:t>O</w:t>
      </w:r>
      <w:r>
        <w:t xml:space="preserve">ften, </w:t>
      </w:r>
      <w:r w:rsidR="003B64F8">
        <w:t>W</w:t>
      </w:r>
      <w:r>
        <w:t>ho</w:t>
      </w:r>
    </w:p>
    <w:p w14:paraId="12468263" w14:textId="77777777" w:rsidR="00D03E3A" w:rsidRDefault="00D03E3A" w:rsidP="00846B8F">
      <w:pPr>
        <w:pStyle w:val="ListParagraph"/>
        <w:numPr>
          <w:ilvl w:val="0"/>
          <w:numId w:val="80"/>
        </w:numPr>
        <w:spacing w:before="240"/>
        <w:contextualSpacing w:val="0"/>
      </w:pPr>
      <w:r>
        <w:t>What will be monitored?</w:t>
      </w:r>
    </w:p>
    <w:p w14:paraId="3604D6FF" w14:textId="554C3C27" w:rsidR="00D03E3A" w:rsidRDefault="00D03E3A" w:rsidP="00846B8F">
      <w:pPr>
        <w:pStyle w:val="ListParagraph"/>
        <w:numPr>
          <w:ilvl w:val="1"/>
          <w:numId w:val="80"/>
        </w:numPr>
        <w:contextualSpacing w:val="0"/>
      </w:pPr>
      <w:r>
        <w:t>Adequacy of sanitation practices on relevant equipment and food contact surfaces used at a given processing step. Reference to SSOP.</w:t>
      </w:r>
    </w:p>
    <w:p w14:paraId="72B8D5F7" w14:textId="77777777" w:rsidR="00D03E3A" w:rsidRDefault="00D03E3A" w:rsidP="00846B8F">
      <w:pPr>
        <w:pStyle w:val="ListParagraph"/>
        <w:numPr>
          <w:ilvl w:val="0"/>
          <w:numId w:val="80"/>
        </w:numPr>
        <w:contextualSpacing w:val="0"/>
      </w:pPr>
      <w:r>
        <w:t>How will monitoring be done?</w:t>
      </w:r>
    </w:p>
    <w:p w14:paraId="37F5630F" w14:textId="77777777" w:rsidR="00D03E3A" w:rsidRDefault="00D03E3A" w:rsidP="00846B8F">
      <w:pPr>
        <w:pStyle w:val="ListParagraph"/>
        <w:numPr>
          <w:ilvl w:val="1"/>
          <w:numId w:val="80"/>
        </w:numPr>
        <w:contextualSpacing w:val="0"/>
      </w:pPr>
      <w:r>
        <w:t xml:space="preserve">Visual observation of equipment cleanliness </w:t>
      </w:r>
      <w:r w:rsidRPr="003B64F8">
        <w:rPr>
          <w:b/>
          <w:bCs/>
        </w:rPr>
        <w:t>AND/OR</w:t>
      </w:r>
      <w:r>
        <w:t xml:space="preserve"> ATP swabs (to assess for presence of organic matter indicative of potential microbial contamination).</w:t>
      </w:r>
    </w:p>
    <w:p w14:paraId="5BE619E1" w14:textId="77777777" w:rsidR="00D03E3A" w:rsidRDefault="00D03E3A" w:rsidP="00846B8F">
      <w:pPr>
        <w:pStyle w:val="ListParagraph"/>
        <w:numPr>
          <w:ilvl w:val="0"/>
          <w:numId w:val="80"/>
        </w:numPr>
        <w:contextualSpacing w:val="0"/>
      </w:pPr>
      <w:r>
        <w:t>How often will monitoring be done (frequency)?</w:t>
      </w:r>
    </w:p>
    <w:p w14:paraId="257BA801" w14:textId="77777777" w:rsidR="00D03E3A" w:rsidRDefault="00D03E3A" w:rsidP="00846B8F">
      <w:pPr>
        <w:pStyle w:val="ListParagraph"/>
        <w:numPr>
          <w:ilvl w:val="1"/>
          <w:numId w:val="80"/>
        </w:numPr>
        <w:contextualSpacing w:val="0"/>
      </w:pPr>
      <w:r>
        <w:t>After sanitation is completed and before production begins.</w:t>
      </w:r>
    </w:p>
    <w:p w14:paraId="13E8EAFC" w14:textId="77777777" w:rsidR="00D03E3A" w:rsidRDefault="00D03E3A" w:rsidP="00846B8F">
      <w:pPr>
        <w:pStyle w:val="ListParagraph"/>
        <w:numPr>
          <w:ilvl w:val="0"/>
          <w:numId w:val="80"/>
        </w:numPr>
        <w:contextualSpacing w:val="0"/>
      </w:pPr>
      <w:r>
        <w:t>Who will do the monitoring?</w:t>
      </w:r>
    </w:p>
    <w:p w14:paraId="698B76FF" w14:textId="68AC74DD" w:rsidR="00D03E3A" w:rsidRDefault="00D03E3A" w:rsidP="00846B8F">
      <w:pPr>
        <w:pStyle w:val="ListParagraph"/>
        <w:numPr>
          <w:ilvl w:val="1"/>
          <w:numId w:val="80"/>
        </w:numPr>
        <w:contextualSpacing w:val="0"/>
      </w:pPr>
      <w:r>
        <w:t>An individual with an understanding of the control and trained to carry out the required monitoring procedures.</w:t>
      </w:r>
    </w:p>
    <w:p w14:paraId="26611058" w14:textId="77777777" w:rsidR="00D03E3A" w:rsidRPr="003B64F8" w:rsidRDefault="00D03E3A" w:rsidP="00846B8F">
      <w:pPr>
        <w:pStyle w:val="Heading4"/>
        <w:numPr>
          <w:ilvl w:val="3"/>
          <w:numId w:val="167"/>
        </w:numPr>
      </w:pPr>
      <w:r w:rsidRPr="003B64F8">
        <w:t>Corrections</w:t>
      </w:r>
    </w:p>
    <w:p w14:paraId="74BCD589" w14:textId="77777777" w:rsidR="00D03E3A" w:rsidRDefault="00D03E3A" w:rsidP="00846B8F">
      <w:pPr>
        <w:pStyle w:val="ListParagraph"/>
        <w:numPr>
          <w:ilvl w:val="0"/>
          <w:numId w:val="80"/>
        </w:numPr>
        <w:spacing w:before="240"/>
        <w:contextualSpacing w:val="0"/>
      </w:pPr>
      <w:r>
        <w:t xml:space="preserve">If inadequate sanitation is observed </w:t>
      </w:r>
      <w:r w:rsidRPr="003B64F8">
        <w:rPr>
          <w:b/>
          <w:bCs/>
        </w:rPr>
        <w:t>OR</w:t>
      </w:r>
      <w:r>
        <w:t xml:space="preserve"> testing indicates that biological materials are present, then stop production, if applicable, and re-clean all food contact surfaces before retesting or assessing cleanliness.</w:t>
      </w:r>
    </w:p>
    <w:p w14:paraId="0B58D33F" w14:textId="05BFFA2F" w:rsidR="00D03E3A" w:rsidRDefault="00D03E3A" w:rsidP="003B64F8">
      <w:r w:rsidRPr="003B64F8">
        <w:rPr>
          <w:b/>
          <w:bCs/>
        </w:rPr>
        <w:t>AND</w:t>
      </w:r>
      <w:r>
        <w:t xml:space="preserve"> address the root cause to prevent future occurrence.</w:t>
      </w:r>
    </w:p>
    <w:p w14:paraId="69ACCFB5" w14:textId="30ED85D6" w:rsidR="00D03E3A" w:rsidRDefault="00D03E3A" w:rsidP="00846B8F">
      <w:pPr>
        <w:pStyle w:val="ListParagraph"/>
        <w:numPr>
          <w:ilvl w:val="0"/>
          <w:numId w:val="80"/>
        </w:numPr>
        <w:contextualSpacing w:val="0"/>
      </w:pPr>
      <w:r>
        <w:t>Retrain staff to address issues in sanitation practices and revise SSOPs as needed to address the root cause and prevent recurrence of sanitation deficiencies.</w:t>
      </w:r>
    </w:p>
    <w:p w14:paraId="25A938F5" w14:textId="77777777" w:rsidR="00D03E3A" w:rsidRDefault="00D03E3A" w:rsidP="00846B8F">
      <w:pPr>
        <w:pStyle w:val="Heading4"/>
        <w:numPr>
          <w:ilvl w:val="3"/>
          <w:numId w:val="167"/>
        </w:numPr>
      </w:pPr>
      <w:r>
        <w:t>Verification</w:t>
      </w:r>
    </w:p>
    <w:p w14:paraId="67FADF8D" w14:textId="77777777" w:rsidR="00D03E3A" w:rsidRDefault="00D03E3A" w:rsidP="00846B8F">
      <w:pPr>
        <w:pStyle w:val="ListParagraph"/>
        <w:numPr>
          <w:ilvl w:val="0"/>
          <w:numId w:val="80"/>
        </w:numPr>
        <w:spacing w:before="240"/>
        <w:contextualSpacing w:val="0"/>
      </w:pPr>
      <w:r>
        <w:t>Review of monitoring and correction records within one week of preparation to ensure they were completed appropriately.</w:t>
      </w:r>
    </w:p>
    <w:p w14:paraId="1E5F082E" w14:textId="77777777" w:rsidR="00D03E3A" w:rsidRPr="00B64049" w:rsidRDefault="00D03E3A" w:rsidP="003B64F8">
      <w:pPr>
        <w:rPr>
          <w:b/>
          <w:bCs/>
        </w:rPr>
      </w:pPr>
      <w:r w:rsidRPr="00B64049">
        <w:rPr>
          <w:b/>
          <w:bCs/>
        </w:rPr>
        <w:t>AND</w:t>
      </w:r>
    </w:p>
    <w:p w14:paraId="3EC98C07" w14:textId="65080ABA" w:rsidR="00D03E3A" w:rsidRDefault="00D03E3A" w:rsidP="00846B8F">
      <w:pPr>
        <w:pStyle w:val="ListParagraph"/>
        <w:numPr>
          <w:ilvl w:val="0"/>
          <w:numId w:val="80"/>
        </w:numPr>
        <w:contextualSpacing w:val="0"/>
      </w:pPr>
      <w:r>
        <w:lastRenderedPageBreak/>
        <w:t>Written sanitation procedures or SSOPs should be evaluated to ensure they are effective to prevent cross-contamination before implementation.</w:t>
      </w:r>
    </w:p>
    <w:p w14:paraId="550DAEAD" w14:textId="581259FB" w:rsidR="00D03E3A" w:rsidRDefault="00D03E3A" w:rsidP="00846B8F">
      <w:pPr>
        <w:pStyle w:val="ListParagraph"/>
        <w:numPr>
          <w:ilvl w:val="1"/>
          <w:numId w:val="80"/>
        </w:numPr>
        <w:contextualSpacing w:val="0"/>
      </w:pPr>
      <w:r>
        <w:t xml:space="preserve">For high risk and hard to clean equipment or areas of a facility, validation of cleaning procedures can be conducted to ensure pathogens are effectively controlled. For more information on cleaning process validation, review the </w:t>
      </w:r>
      <w:r w:rsidR="003B64F8">
        <w:t>US</w:t>
      </w:r>
      <w:r>
        <w:t xml:space="preserve">FDA’s </w:t>
      </w:r>
      <w:hyperlink r:id="rId175" w:history="1">
        <w:r w:rsidRPr="003B64F8">
          <w:rPr>
            <w:rStyle w:val="Hyperlink"/>
            <w:i/>
            <w:iCs/>
          </w:rPr>
          <w:t>Guide to Inspections Validation of Cleaning Procedures</w:t>
        </w:r>
      </w:hyperlink>
      <w:r>
        <w:t>.</w:t>
      </w:r>
    </w:p>
    <w:p w14:paraId="08F2FD4A" w14:textId="77777777" w:rsidR="00D03E3A" w:rsidRPr="003B64F8" w:rsidRDefault="00D03E3A" w:rsidP="003B64F8">
      <w:pPr>
        <w:rPr>
          <w:b/>
          <w:bCs/>
        </w:rPr>
      </w:pPr>
      <w:r w:rsidRPr="003B64F8">
        <w:rPr>
          <w:b/>
          <w:bCs/>
        </w:rPr>
        <w:t>OR</w:t>
      </w:r>
    </w:p>
    <w:p w14:paraId="6CEBBC93" w14:textId="7833D5D5" w:rsidR="00D03E3A" w:rsidRDefault="00D03E3A" w:rsidP="00846B8F">
      <w:pPr>
        <w:pStyle w:val="ListParagraph"/>
        <w:numPr>
          <w:ilvl w:val="0"/>
          <w:numId w:val="80"/>
        </w:numPr>
        <w:contextualSpacing w:val="0"/>
      </w:pPr>
      <w:r>
        <w:t>Environmental testing for pathogens of concern to assess the effectiveness of the cleaning procedures. Refer to the Food Safety Preventive Controls Alliance PCHF training for more information on environmental monitoring.</w:t>
      </w:r>
    </w:p>
    <w:p w14:paraId="2AAE3230" w14:textId="2E7190EF" w:rsidR="00D03E3A" w:rsidRDefault="00D03E3A" w:rsidP="00846B8F">
      <w:pPr>
        <w:pStyle w:val="ListParagraph"/>
        <w:numPr>
          <w:ilvl w:val="1"/>
          <w:numId w:val="80"/>
        </w:numPr>
        <w:contextualSpacing w:val="0"/>
      </w:pPr>
      <w:r>
        <w:t xml:space="preserve">More information on environmental monitoring can be found in FDA’s 2017 </w:t>
      </w:r>
      <w:hyperlink r:id="rId176" w:history="1">
        <w:r w:rsidRPr="003B64F8">
          <w:rPr>
            <w:rStyle w:val="Hyperlink"/>
          </w:rPr>
          <w:t xml:space="preserve">Control of Listeria monocytogenes in Ready-To-Eat Foods: guidance for Industry </w:t>
        </w:r>
        <w:r w:rsidRPr="003B64F8">
          <w:rPr>
            <w:rStyle w:val="Hyperlink"/>
            <w:i/>
            <w:iCs/>
          </w:rPr>
          <w:t>Draft Guidance</w:t>
        </w:r>
      </w:hyperlink>
      <w:r w:rsidR="003B64F8">
        <w:t xml:space="preserve"> (PDF)</w:t>
      </w:r>
      <w:r>
        <w:t xml:space="preserve"> or the National Fisheries Institute’s </w:t>
      </w:r>
      <w:hyperlink r:id="rId177" w:history="1">
        <w:r w:rsidRPr="003B64F8">
          <w:rPr>
            <w:rStyle w:val="Hyperlink"/>
            <w:i/>
            <w:iCs/>
          </w:rPr>
          <w:t>Ready-To-Eat Seafood Pathogen Control Guidance Manual (Listeria monocytogenes and Salmonella species)</w:t>
        </w:r>
      </w:hyperlink>
      <w:r w:rsidR="003B64F8" w:rsidRPr="003B64F8">
        <w:rPr>
          <w:i/>
          <w:iCs/>
        </w:rPr>
        <w:t xml:space="preserve"> </w:t>
      </w:r>
      <w:r w:rsidR="003B64F8">
        <w:t>(PDF)</w:t>
      </w:r>
      <w:r>
        <w:t>.</w:t>
      </w:r>
    </w:p>
    <w:p w14:paraId="77C82CBB" w14:textId="77777777" w:rsidR="00D03E3A" w:rsidRDefault="00D03E3A" w:rsidP="00846B8F">
      <w:pPr>
        <w:pStyle w:val="Heading4"/>
        <w:numPr>
          <w:ilvl w:val="3"/>
          <w:numId w:val="167"/>
        </w:numPr>
      </w:pPr>
      <w:r>
        <w:t>Records</w:t>
      </w:r>
    </w:p>
    <w:p w14:paraId="55690535" w14:textId="77777777" w:rsidR="00D03E3A" w:rsidRDefault="00D03E3A" w:rsidP="00846B8F">
      <w:pPr>
        <w:pStyle w:val="ListParagraph"/>
        <w:numPr>
          <w:ilvl w:val="0"/>
          <w:numId w:val="80"/>
        </w:numPr>
        <w:spacing w:before="240"/>
        <w:contextualSpacing w:val="0"/>
      </w:pPr>
      <w:r w:rsidRPr="003B64F8">
        <w:rPr>
          <w:b/>
          <w:bCs/>
        </w:rPr>
        <w:t>Monitoring Records:</w:t>
      </w:r>
      <w:r>
        <w:t xml:space="preserve"> Maintain a sanitation log that records when each sanitation step was performed and who performed it. It is considered good practice to also reference the specific SSOP used for the task.</w:t>
      </w:r>
    </w:p>
    <w:p w14:paraId="38F9A516" w14:textId="77777777" w:rsidR="00D03E3A" w:rsidRDefault="00D03E3A" w:rsidP="00846B8F">
      <w:pPr>
        <w:pStyle w:val="ListParagraph"/>
        <w:numPr>
          <w:ilvl w:val="1"/>
          <w:numId w:val="80"/>
        </w:numPr>
        <w:contextualSpacing w:val="0"/>
      </w:pPr>
      <w:r>
        <w:t>Written SSOPs are required for foods regulated under the Preventive Controls for Human Foods (PCHF) rule.</w:t>
      </w:r>
    </w:p>
    <w:p w14:paraId="5C3F06DF" w14:textId="702FE367" w:rsidR="00D03E3A" w:rsidRDefault="00D03E3A" w:rsidP="00846B8F">
      <w:pPr>
        <w:pStyle w:val="ListParagraph"/>
        <w:numPr>
          <w:ilvl w:val="0"/>
          <w:numId w:val="80"/>
        </w:numPr>
        <w:contextualSpacing w:val="0"/>
      </w:pPr>
      <w:r w:rsidRPr="003B64F8">
        <w:rPr>
          <w:b/>
          <w:bCs/>
        </w:rPr>
        <w:t>Correction Records:</w:t>
      </w:r>
      <w:r>
        <w:t xml:space="preserve"> Document any corrections made to address conditions or practices that required attention, including a description of the issue, the action taken, and the date and person responsible for the correction.</w:t>
      </w:r>
    </w:p>
    <w:p w14:paraId="78F77698" w14:textId="77777777" w:rsidR="00D03E3A" w:rsidRDefault="00D03E3A" w:rsidP="00846B8F">
      <w:pPr>
        <w:pStyle w:val="ListParagraph"/>
        <w:numPr>
          <w:ilvl w:val="0"/>
          <w:numId w:val="80"/>
        </w:numPr>
        <w:contextualSpacing w:val="0"/>
      </w:pPr>
      <w:r w:rsidRPr="003B64F8">
        <w:rPr>
          <w:b/>
          <w:bCs/>
        </w:rPr>
        <w:t>Verification Records:</w:t>
      </w:r>
      <w:r>
        <w:t xml:space="preserve"> Include record reviews, cleaning procedure validations, or ATP testing results, and environmental monitoring results, as applicable.</w:t>
      </w:r>
    </w:p>
    <w:p w14:paraId="488DA067" w14:textId="77777777" w:rsidR="00D03E3A" w:rsidRDefault="00D03E3A" w:rsidP="00846B8F">
      <w:pPr>
        <w:pStyle w:val="ListParagraph"/>
        <w:numPr>
          <w:ilvl w:val="0"/>
          <w:numId w:val="80"/>
        </w:numPr>
        <w:contextualSpacing w:val="0"/>
      </w:pPr>
      <w:r w:rsidRPr="003B64F8">
        <w:rPr>
          <w:b/>
          <w:bCs/>
        </w:rPr>
        <w:t>Recall Plan:</w:t>
      </w:r>
      <w:r>
        <w:t xml:space="preserve"> A written recall plan is required for any product with significant hazards when regulated under Preventive Controls for Human Foods (PCHF).</w:t>
      </w:r>
    </w:p>
    <w:p w14:paraId="779F5079" w14:textId="77777777" w:rsidR="00EB5963" w:rsidRDefault="00D03E3A" w:rsidP="00846B8F">
      <w:pPr>
        <w:pStyle w:val="ListParagraph"/>
        <w:numPr>
          <w:ilvl w:val="0"/>
          <w:numId w:val="80"/>
        </w:numPr>
        <w:contextualSpacing w:val="0"/>
        <w:sectPr w:rsidR="00EB5963" w:rsidSect="00697B0C">
          <w:pgSz w:w="12240" w:h="15840"/>
          <w:pgMar w:top="1440" w:right="1440" w:bottom="1440" w:left="1440" w:header="720" w:footer="720" w:gutter="0"/>
          <w:pgNumType w:chapStyle="1"/>
          <w:cols w:space="720"/>
          <w:docGrid w:linePitch="360"/>
        </w:sectPr>
      </w:pPr>
      <w:r w:rsidRPr="003B64F8">
        <w:rPr>
          <w:b/>
          <w:bCs/>
        </w:rPr>
        <w:t>Training Records:</w:t>
      </w:r>
      <w:r>
        <w:t xml:space="preserve"> Training records for the preventive controls qualified individual (PCQI) must be maintained if regulated under Preventive Controls for Human Foods (PCHF).</w:t>
      </w:r>
    </w:p>
    <w:p w14:paraId="2217269B" w14:textId="04428B1E" w:rsidR="00EB5963" w:rsidRDefault="00EB5963" w:rsidP="00846B8F">
      <w:pPr>
        <w:pStyle w:val="Heading4"/>
        <w:numPr>
          <w:ilvl w:val="3"/>
          <w:numId w:val="168"/>
        </w:numPr>
      </w:pPr>
      <w:r>
        <w:lastRenderedPageBreak/>
        <w:t>Example Food Safety Plan for Sanitation Preventive Control</w:t>
      </w:r>
    </w:p>
    <w:p w14:paraId="535F954C" w14:textId="3D607AF3" w:rsidR="00EB5963" w:rsidRDefault="00EB5963" w:rsidP="00EF43EE">
      <w:pPr>
        <w:spacing w:before="240"/>
        <w:ind w:left="-806"/>
      </w:pPr>
      <w:r w:rsidRPr="00EB5963">
        <w:t xml:space="preserve">Below is an example showing what a food safety plan could look like. It is intended for illustrative purposes only. Each producer must develop a plan tailored to their unique products, production and processing methods, and regulatory requirements. </w:t>
      </w:r>
      <w:r w:rsidRPr="00EB5963">
        <w:rPr>
          <w:b/>
          <w:bCs/>
        </w:rPr>
        <w:t>This example should not be copied and used without modification to fit your specific operation.</w:t>
      </w:r>
    </w:p>
    <w:p w14:paraId="7003AA17" w14:textId="5365DB37" w:rsidR="00EB5963" w:rsidRPr="00EB5963" w:rsidRDefault="00EB5963" w:rsidP="00EF43EE">
      <w:pPr>
        <w:spacing w:before="240"/>
        <w:ind w:left="-806"/>
      </w:pPr>
      <w:r w:rsidRPr="00EB5963">
        <w:rPr>
          <w:b/>
          <w:bCs/>
        </w:rPr>
        <w:t>Control Strategy:</w:t>
      </w:r>
      <w:r w:rsidRPr="00EB5963">
        <w:t xml:space="preserve"> Sanitation Preventive Control</w:t>
      </w:r>
    </w:p>
    <w:p w14:paraId="57A12C2A" w14:textId="32B3D67D" w:rsidR="00EB5963" w:rsidRPr="00EB5963" w:rsidRDefault="00EB5963" w:rsidP="00EF43EE">
      <w:pPr>
        <w:spacing w:before="240"/>
        <w:ind w:left="-806"/>
      </w:pPr>
      <w:r w:rsidRPr="00EB5963">
        <w:rPr>
          <w:b/>
          <w:bCs/>
        </w:rPr>
        <w:t>Purpose</w:t>
      </w:r>
      <w:r>
        <w:t xml:space="preserve"> </w:t>
      </w:r>
      <w:r w:rsidRPr="00EB5963">
        <w:t>(Sanitation Preventive Control)</w:t>
      </w:r>
      <w:r>
        <w:t>:</w:t>
      </w:r>
      <w:r w:rsidRPr="00EB5963">
        <w:t xml:space="preserve"> To prevent cross-contamination of seaweed granola bars after cooking and prior to packaging. This sanitation control applies specifically to the processing table used in pre-packaging operations.</w:t>
      </w:r>
    </w:p>
    <w:p w14:paraId="5D28322E" w14:textId="605E5D50" w:rsidR="00EB5963" w:rsidRPr="00EB5963" w:rsidRDefault="00EB5963" w:rsidP="00EF43EE">
      <w:pPr>
        <w:spacing w:before="240"/>
        <w:ind w:left="-806"/>
      </w:pPr>
      <w:r w:rsidRPr="00EB5963">
        <w:rPr>
          <w:b/>
          <w:bCs/>
        </w:rPr>
        <w:t>Frequency of Cleaning</w:t>
      </w:r>
      <w:r>
        <w:t>:</w:t>
      </w:r>
      <w:r w:rsidRPr="00EB5963">
        <w:t xml:space="preserve"> Daily, before production begins and at any time there is a transition between products or batches.</w:t>
      </w:r>
    </w:p>
    <w:p w14:paraId="6A19F044" w14:textId="54C8304A" w:rsidR="00EB5963" w:rsidRPr="00EB5963" w:rsidRDefault="00EB5963" w:rsidP="00EF43EE">
      <w:pPr>
        <w:spacing w:before="240"/>
        <w:ind w:left="-806"/>
      </w:pPr>
      <w:r w:rsidRPr="00EB5963">
        <w:rPr>
          <w:b/>
          <w:bCs/>
        </w:rPr>
        <w:t>Responsible</w:t>
      </w:r>
      <w:r w:rsidRPr="00EB5963">
        <w:t xml:space="preserve"> </w:t>
      </w:r>
      <w:r w:rsidRPr="00EB5963">
        <w:rPr>
          <w:b/>
          <w:bCs/>
        </w:rPr>
        <w:t>Personnel</w:t>
      </w:r>
      <w:r>
        <w:t xml:space="preserve">: </w:t>
      </w:r>
      <w:r w:rsidRPr="00EB5963">
        <w:t>Sanitation personnel or any other trained individual designated to carry out sanitation control procedures.</w:t>
      </w:r>
    </w:p>
    <w:p w14:paraId="00234D94" w14:textId="6CCF86D5" w:rsidR="00EB5963" w:rsidRDefault="00EB5963" w:rsidP="00EF43EE">
      <w:pPr>
        <w:spacing w:before="240"/>
        <w:ind w:left="-806"/>
      </w:pPr>
      <w:r w:rsidRPr="00EB5963">
        <w:rPr>
          <w:b/>
          <w:bCs/>
        </w:rPr>
        <w:t>Procedure</w:t>
      </w:r>
      <w:r>
        <w:t xml:space="preserve">: </w:t>
      </w:r>
      <w:r w:rsidRPr="00EB5963">
        <w:t>Sanitation will follow the established Sanitation Standard Operating Procedure (SSOP) for the packaging table and associated equipment, which includes: 1) Removal of visible debris; 2) Rinsing with potable water; 3) Application of an approved cleaning agent ensuring full surface contact and adequate exposure time; 4) Rinse and sanitize with food-safe sanitizer following manufacturer instructions; and 5) Allow surfaces to air dry.</w:t>
      </w:r>
    </w:p>
    <w:p w14:paraId="0A96F966" w14:textId="1B26239B" w:rsidR="00EF43EE" w:rsidRPr="00B47DD8" w:rsidRDefault="00EF43EE" w:rsidP="00EF43EE">
      <w:pPr>
        <w:spacing w:before="240"/>
        <w:ind w:left="-806"/>
        <w:contextualSpacing/>
        <w:jc w:val="center"/>
        <w:rPr>
          <w:b/>
          <w:bCs/>
        </w:rPr>
        <w:sectPr w:rsidR="00EF43EE" w:rsidRPr="00B47DD8" w:rsidSect="00EB5963">
          <w:pgSz w:w="15840" w:h="12240" w:orient="landscape"/>
          <w:pgMar w:top="1440" w:right="1440" w:bottom="1440" w:left="1440" w:header="720" w:footer="720" w:gutter="0"/>
          <w:pgNumType w:chapStyle="1"/>
          <w:cols w:space="720"/>
          <w:docGrid w:linePitch="360"/>
        </w:sectPr>
      </w:pPr>
      <w:r w:rsidRPr="00B47DD8">
        <w:rPr>
          <w:b/>
          <w:bCs/>
        </w:rPr>
        <w:t>This example is continued on the next page.</w:t>
      </w:r>
    </w:p>
    <w:p w14:paraId="33248169" w14:textId="69DDC951" w:rsidR="00EF43EE" w:rsidRPr="00EB5963" w:rsidRDefault="00EF43EE" w:rsidP="00846B8F">
      <w:pPr>
        <w:pStyle w:val="Heading4"/>
        <w:numPr>
          <w:ilvl w:val="3"/>
          <w:numId w:val="168"/>
        </w:numPr>
      </w:pPr>
      <w:r>
        <w:lastRenderedPageBreak/>
        <w:t xml:space="preserve">Example </w:t>
      </w:r>
      <w:r w:rsidR="006669F0">
        <w:t>HACCP/</w:t>
      </w:r>
      <w:r>
        <w:t>Food Safety Plan for Sanitation Preventive Control (continued)</w:t>
      </w:r>
    </w:p>
    <w:tbl>
      <w:tblPr>
        <w:tblStyle w:val="TableGrid"/>
        <w:tblW w:w="14670" w:type="dxa"/>
        <w:tblInd w:w="-81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tblCellMar>
        <w:tblLook w:val="04A0" w:firstRow="1" w:lastRow="0" w:firstColumn="1" w:lastColumn="0" w:noHBand="0" w:noVBand="1"/>
        <w:tblCaption w:val="Example HACCP/Food Safety Plan for Sanitation Preventive Control"/>
        <w:tblDescription w:val="Column Headers: Criterion, Monitoring (What/How/When/Who as subheader columns within), Corrective Action, Verification, Records."/>
      </w:tblPr>
      <w:tblGrid>
        <w:gridCol w:w="2340"/>
        <w:gridCol w:w="1417"/>
        <w:gridCol w:w="1463"/>
        <w:gridCol w:w="1440"/>
        <w:gridCol w:w="1350"/>
        <w:gridCol w:w="2610"/>
        <w:gridCol w:w="1980"/>
        <w:gridCol w:w="2070"/>
      </w:tblGrid>
      <w:tr w:rsidR="00EB5963" w14:paraId="4BE41D10" w14:textId="77777777" w:rsidTr="00A61B74">
        <w:trPr>
          <w:trHeight w:val="390"/>
        </w:trPr>
        <w:tc>
          <w:tcPr>
            <w:tcW w:w="2340" w:type="dxa"/>
            <w:vMerge w:val="restart"/>
            <w:shd w:val="clear" w:color="auto" w:fill="D1D1D1" w:themeFill="background2" w:themeFillShade="E6"/>
          </w:tcPr>
          <w:p w14:paraId="5090B78F" w14:textId="7EC5DCC7" w:rsidR="00EB5963" w:rsidRPr="0001662C" w:rsidRDefault="00EB5963" w:rsidP="00DF5603">
            <w:pPr>
              <w:jc w:val="center"/>
              <w:rPr>
                <w:b/>
                <w:bCs/>
              </w:rPr>
            </w:pPr>
            <w:r>
              <w:rPr>
                <w:b/>
                <w:bCs/>
              </w:rPr>
              <w:t>Criterion</w:t>
            </w:r>
          </w:p>
        </w:tc>
        <w:tc>
          <w:tcPr>
            <w:tcW w:w="5670" w:type="dxa"/>
            <w:gridSpan w:val="4"/>
            <w:shd w:val="clear" w:color="auto" w:fill="D1D1D1" w:themeFill="background2" w:themeFillShade="E6"/>
          </w:tcPr>
          <w:p w14:paraId="5ADEB646" w14:textId="77777777" w:rsidR="00EB5963" w:rsidRPr="0001662C" w:rsidRDefault="00EB5963" w:rsidP="00DF5603">
            <w:pPr>
              <w:jc w:val="center"/>
              <w:rPr>
                <w:b/>
                <w:bCs/>
              </w:rPr>
            </w:pPr>
            <w:r w:rsidRPr="0001662C">
              <w:rPr>
                <w:b/>
                <w:bCs/>
              </w:rPr>
              <w:t>Monitoring</w:t>
            </w:r>
          </w:p>
        </w:tc>
        <w:tc>
          <w:tcPr>
            <w:tcW w:w="2610" w:type="dxa"/>
            <w:vMerge w:val="restart"/>
            <w:shd w:val="clear" w:color="auto" w:fill="D1D1D1" w:themeFill="background2" w:themeFillShade="E6"/>
          </w:tcPr>
          <w:p w14:paraId="2D0386A7" w14:textId="77777777" w:rsidR="00EB5963" w:rsidRPr="0001662C" w:rsidRDefault="00EB5963" w:rsidP="00DF5603">
            <w:pPr>
              <w:jc w:val="center"/>
              <w:rPr>
                <w:b/>
                <w:bCs/>
              </w:rPr>
            </w:pPr>
            <w:r w:rsidRPr="0001662C">
              <w:rPr>
                <w:b/>
                <w:bCs/>
              </w:rPr>
              <w:t>Corrective Action</w:t>
            </w:r>
          </w:p>
        </w:tc>
        <w:tc>
          <w:tcPr>
            <w:tcW w:w="1980" w:type="dxa"/>
            <w:vMerge w:val="restart"/>
            <w:shd w:val="clear" w:color="auto" w:fill="D1D1D1" w:themeFill="background2" w:themeFillShade="E6"/>
          </w:tcPr>
          <w:p w14:paraId="7B518BBB" w14:textId="77777777" w:rsidR="00EB5963" w:rsidRPr="0001662C" w:rsidRDefault="00EB5963" w:rsidP="00DF5603">
            <w:pPr>
              <w:jc w:val="center"/>
              <w:rPr>
                <w:b/>
                <w:bCs/>
              </w:rPr>
            </w:pPr>
            <w:r w:rsidRPr="0001662C">
              <w:rPr>
                <w:b/>
                <w:bCs/>
              </w:rPr>
              <w:t>Verification</w:t>
            </w:r>
          </w:p>
        </w:tc>
        <w:tc>
          <w:tcPr>
            <w:tcW w:w="2070" w:type="dxa"/>
            <w:vMerge w:val="restart"/>
            <w:shd w:val="clear" w:color="auto" w:fill="D1D1D1" w:themeFill="background2" w:themeFillShade="E6"/>
          </w:tcPr>
          <w:p w14:paraId="026A87B0" w14:textId="77777777" w:rsidR="00EB5963" w:rsidRPr="0001662C" w:rsidRDefault="00EB5963" w:rsidP="00DF5603">
            <w:pPr>
              <w:jc w:val="center"/>
              <w:rPr>
                <w:b/>
                <w:bCs/>
              </w:rPr>
            </w:pPr>
            <w:r w:rsidRPr="0001662C">
              <w:rPr>
                <w:b/>
                <w:bCs/>
              </w:rPr>
              <w:t>Records</w:t>
            </w:r>
          </w:p>
        </w:tc>
      </w:tr>
      <w:tr w:rsidR="00EB5963" w14:paraId="64F8FD23" w14:textId="77777777" w:rsidTr="00A61B74">
        <w:trPr>
          <w:trHeight w:val="20"/>
        </w:trPr>
        <w:tc>
          <w:tcPr>
            <w:tcW w:w="2340" w:type="dxa"/>
            <w:vMerge/>
          </w:tcPr>
          <w:p w14:paraId="093BDC83" w14:textId="77777777" w:rsidR="00EB5963" w:rsidRPr="0001662C" w:rsidRDefault="00EB5963" w:rsidP="00DF5603">
            <w:pPr>
              <w:rPr>
                <w:b/>
                <w:bCs/>
              </w:rPr>
            </w:pPr>
          </w:p>
        </w:tc>
        <w:tc>
          <w:tcPr>
            <w:tcW w:w="1417" w:type="dxa"/>
            <w:shd w:val="clear" w:color="auto" w:fill="D1D1D1" w:themeFill="background2" w:themeFillShade="E6"/>
          </w:tcPr>
          <w:p w14:paraId="58875512" w14:textId="77777777" w:rsidR="00EB5963" w:rsidRPr="0001662C" w:rsidRDefault="00EB5963" w:rsidP="00DF5603">
            <w:pPr>
              <w:jc w:val="center"/>
              <w:rPr>
                <w:b/>
                <w:bCs/>
              </w:rPr>
            </w:pPr>
            <w:r w:rsidRPr="0001662C">
              <w:rPr>
                <w:b/>
                <w:bCs/>
              </w:rPr>
              <w:t>What</w:t>
            </w:r>
          </w:p>
        </w:tc>
        <w:tc>
          <w:tcPr>
            <w:tcW w:w="1463" w:type="dxa"/>
            <w:shd w:val="clear" w:color="auto" w:fill="D1D1D1" w:themeFill="background2" w:themeFillShade="E6"/>
          </w:tcPr>
          <w:p w14:paraId="5AD77851" w14:textId="77777777" w:rsidR="00EB5963" w:rsidRPr="0001662C" w:rsidRDefault="00EB5963" w:rsidP="00DF5603">
            <w:pPr>
              <w:jc w:val="center"/>
              <w:rPr>
                <w:b/>
                <w:bCs/>
              </w:rPr>
            </w:pPr>
            <w:r w:rsidRPr="0001662C">
              <w:rPr>
                <w:b/>
                <w:bCs/>
              </w:rPr>
              <w:t>How</w:t>
            </w:r>
          </w:p>
        </w:tc>
        <w:tc>
          <w:tcPr>
            <w:tcW w:w="1440" w:type="dxa"/>
            <w:shd w:val="clear" w:color="auto" w:fill="D1D1D1" w:themeFill="background2" w:themeFillShade="E6"/>
          </w:tcPr>
          <w:p w14:paraId="172FA108" w14:textId="77777777" w:rsidR="00EB5963" w:rsidRPr="0001662C" w:rsidRDefault="00EB5963" w:rsidP="00DF5603">
            <w:pPr>
              <w:jc w:val="center"/>
              <w:rPr>
                <w:b/>
                <w:bCs/>
              </w:rPr>
            </w:pPr>
            <w:r w:rsidRPr="0001662C">
              <w:rPr>
                <w:b/>
                <w:bCs/>
              </w:rPr>
              <w:t>When</w:t>
            </w:r>
          </w:p>
        </w:tc>
        <w:tc>
          <w:tcPr>
            <w:tcW w:w="1350" w:type="dxa"/>
            <w:shd w:val="clear" w:color="auto" w:fill="D1D1D1" w:themeFill="background2" w:themeFillShade="E6"/>
          </w:tcPr>
          <w:p w14:paraId="19416F13" w14:textId="77777777" w:rsidR="00EB5963" w:rsidRPr="0001662C" w:rsidRDefault="00EB5963" w:rsidP="00DF5603">
            <w:pPr>
              <w:jc w:val="center"/>
              <w:rPr>
                <w:b/>
                <w:bCs/>
              </w:rPr>
            </w:pPr>
            <w:r w:rsidRPr="0001662C">
              <w:rPr>
                <w:b/>
                <w:bCs/>
              </w:rPr>
              <w:t>Who</w:t>
            </w:r>
          </w:p>
        </w:tc>
        <w:tc>
          <w:tcPr>
            <w:tcW w:w="2610" w:type="dxa"/>
            <w:vMerge/>
          </w:tcPr>
          <w:p w14:paraId="7E4EE418" w14:textId="77777777" w:rsidR="00EB5963" w:rsidRDefault="00EB5963" w:rsidP="00DF5603"/>
        </w:tc>
        <w:tc>
          <w:tcPr>
            <w:tcW w:w="1980" w:type="dxa"/>
            <w:vMerge/>
          </w:tcPr>
          <w:p w14:paraId="339175C4" w14:textId="77777777" w:rsidR="00EB5963" w:rsidRDefault="00EB5963" w:rsidP="00DF5603"/>
        </w:tc>
        <w:tc>
          <w:tcPr>
            <w:tcW w:w="2070" w:type="dxa"/>
            <w:vMerge/>
          </w:tcPr>
          <w:p w14:paraId="6E5F9C38" w14:textId="77777777" w:rsidR="00EB5963" w:rsidRDefault="00EB5963" w:rsidP="00DF5603"/>
        </w:tc>
      </w:tr>
      <w:tr w:rsidR="00EB5963" w14:paraId="45854C2D" w14:textId="77777777" w:rsidTr="00A61B74">
        <w:trPr>
          <w:trHeight w:val="5358"/>
        </w:trPr>
        <w:tc>
          <w:tcPr>
            <w:tcW w:w="2340" w:type="dxa"/>
          </w:tcPr>
          <w:p w14:paraId="7D3A2ABE" w14:textId="77777777" w:rsidR="00697B0C" w:rsidRPr="00697B0C" w:rsidRDefault="00697B0C" w:rsidP="00697B0C">
            <w:pPr>
              <w:spacing w:before="240"/>
              <w:rPr>
                <w:sz w:val="22"/>
                <w:szCs w:val="22"/>
              </w:rPr>
            </w:pPr>
            <w:r w:rsidRPr="00697B0C">
              <w:rPr>
                <w:sz w:val="22"/>
                <w:szCs w:val="22"/>
              </w:rPr>
              <w:t xml:space="preserve">The table used for packaging seaweed granola bars is cleaned and sanitized before use. </w:t>
            </w:r>
          </w:p>
          <w:p w14:paraId="3F141E07" w14:textId="3B86B322" w:rsidR="00EB5963" w:rsidRPr="00677CAA" w:rsidRDefault="00697B0C" w:rsidP="00697B0C">
            <w:pPr>
              <w:spacing w:before="240"/>
              <w:rPr>
                <w:sz w:val="22"/>
                <w:szCs w:val="22"/>
              </w:rPr>
            </w:pPr>
            <w:r w:rsidRPr="00697B0C">
              <w:rPr>
                <w:sz w:val="22"/>
                <w:szCs w:val="22"/>
              </w:rPr>
              <w:t>Personnel practice good hygiene and wear gloves when handling cooked bars.</w:t>
            </w:r>
          </w:p>
        </w:tc>
        <w:tc>
          <w:tcPr>
            <w:tcW w:w="1417" w:type="dxa"/>
          </w:tcPr>
          <w:p w14:paraId="62C285A4" w14:textId="77777777" w:rsidR="00697B0C" w:rsidRPr="00697B0C" w:rsidRDefault="00697B0C" w:rsidP="00697B0C">
            <w:pPr>
              <w:spacing w:before="240"/>
              <w:rPr>
                <w:sz w:val="22"/>
                <w:szCs w:val="22"/>
              </w:rPr>
            </w:pPr>
            <w:r w:rsidRPr="00697B0C">
              <w:rPr>
                <w:sz w:val="22"/>
                <w:szCs w:val="22"/>
              </w:rPr>
              <w:t>Cleanliness of packing table.</w:t>
            </w:r>
          </w:p>
          <w:p w14:paraId="01D0C51E" w14:textId="5B8DC7DB" w:rsidR="00EB5963" w:rsidRPr="00677CAA" w:rsidRDefault="00697B0C" w:rsidP="00697B0C">
            <w:pPr>
              <w:spacing w:before="240"/>
              <w:rPr>
                <w:sz w:val="22"/>
                <w:szCs w:val="22"/>
              </w:rPr>
            </w:pPr>
            <w:r w:rsidRPr="00697B0C">
              <w:rPr>
                <w:sz w:val="22"/>
                <w:szCs w:val="22"/>
              </w:rPr>
              <w:t>Personnel are wearing gloves when packaging cooked bars.</w:t>
            </w:r>
          </w:p>
        </w:tc>
        <w:tc>
          <w:tcPr>
            <w:tcW w:w="1463" w:type="dxa"/>
          </w:tcPr>
          <w:p w14:paraId="4126C9D1" w14:textId="25AA20AD" w:rsidR="00EB5963" w:rsidRPr="00677CAA" w:rsidRDefault="00697B0C" w:rsidP="00DF5603">
            <w:pPr>
              <w:spacing w:before="240"/>
              <w:rPr>
                <w:sz w:val="22"/>
                <w:szCs w:val="22"/>
              </w:rPr>
            </w:pPr>
            <w:r>
              <w:rPr>
                <w:sz w:val="22"/>
                <w:szCs w:val="22"/>
              </w:rPr>
              <w:t>Visually</w:t>
            </w:r>
          </w:p>
        </w:tc>
        <w:tc>
          <w:tcPr>
            <w:tcW w:w="1440" w:type="dxa"/>
          </w:tcPr>
          <w:p w14:paraId="5B6219AD" w14:textId="77777777" w:rsidR="00697B0C" w:rsidRDefault="00697B0C" w:rsidP="00DF5603">
            <w:pPr>
              <w:spacing w:before="240"/>
              <w:rPr>
                <w:sz w:val="22"/>
                <w:szCs w:val="22"/>
              </w:rPr>
            </w:pPr>
            <w:r w:rsidRPr="00697B0C">
              <w:rPr>
                <w:sz w:val="22"/>
                <w:szCs w:val="22"/>
              </w:rPr>
              <w:t xml:space="preserve">Prior to packaging </w:t>
            </w:r>
          </w:p>
          <w:p w14:paraId="4FBDE110" w14:textId="5D7FF709" w:rsidR="00697B0C" w:rsidRDefault="00697B0C" w:rsidP="00DF5603">
            <w:pPr>
              <w:spacing w:before="240"/>
              <w:rPr>
                <w:sz w:val="22"/>
                <w:szCs w:val="22"/>
              </w:rPr>
            </w:pPr>
            <w:r w:rsidRPr="00697B0C">
              <w:rPr>
                <w:b/>
                <w:bCs/>
                <w:sz w:val="22"/>
                <w:szCs w:val="22"/>
              </w:rPr>
              <w:t>AND</w:t>
            </w:r>
          </w:p>
          <w:p w14:paraId="0819406E" w14:textId="63946A46" w:rsidR="00EB5963" w:rsidRPr="00677CAA" w:rsidRDefault="00697B0C" w:rsidP="00DF5603">
            <w:pPr>
              <w:spacing w:before="240"/>
              <w:rPr>
                <w:sz w:val="22"/>
                <w:szCs w:val="22"/>
              </w:rPr>
            </w:pPr>
            <w:r>
              <w:rPr>
                <w:sz w:val="22"/>
                <w:szCs w:val="22"/>
              </w:rPr>
              <w:t>B</w:t>
            </w:r>
            <w:r w:rsidRPr="00697B0C">
              <w:rPr>
                <w:sz w:val="22"/>
                <w:szCs w:val="22"/>
              </w:rPr>
              <w:t>etween production changes.</w:t>
            </w:r>
          </w:p>
        </w:tc>
        <w:tc>
          <w:tcPr>
            <w:tcW w:w="1350" w:type="dxa"/>
          </w:tcPr>
          <w:p w14:paraId="4BC97CD9" w14:textId="77777777" w:rsidR="00EB5963" w:rsidRPr="00677CAA" w:rsidRDefault="00EB5963" w:rsidP="00DF5603">
            <w:pPr>
              <w:spacing w:before="240"/>
              <w:rPr>
                <w:sz w:val="22"/>
                <w:szCs w:val="22"/>
              </w:rPr>
            </w:pPr>
            <w:r>
              <w:rPr>
                <w:sz w:val="22"/>
                <w:szCs w:val="22"/>
              </w:rPr>
              <w:t>QA Staff</w:t>
            </w:r>
          </w:p>
        </w:tc>
        <w:tc>
          <w:tcPr>
            <w:tcW w:w="2610" w:type="dxa"/>
          </w:tcPr>
          <w:p w14:paraId="1361932D" w14:textId="77777777" w:rsidR="00697B0C" w:rsidRPr="00697B0C" w:rsidRDefault="00697B0C" w:rsidP="00697B0C">
            <w:pPr>
              <w:spacing w:before="240"/>
              <w:rPr>
                <w:sz w:val="22"/>
                <w:szCs w:val="22"/>
              </w:rPr>
            </w:pPr>
            <w:r w:rsidRPr="00697B0C">
              <w:rPr>
                <w:sz w:val="22"/>
                <w:szCs w:val="22"/>
              </w:rPr>
              <w:t xml:space="preserve">If table(s) are visibly unclean, then all surfaces will be re-cleaned in accordance with appropriate SSOP </w:t>
            </w:r>
          </w:p>
          <w:p w14:paraId="2D0D5BA0" w14:textId="77777777" w:rsidR="00697B0C" w:rsidRDefault="00697B0C" w:rsidP="00697B0C">
            <w:pPr>
              <w:spacing w:before="240"/>
              <w:rPr>
                <w:sz w:val="22"/>
                <w:szCs w:val="22"/>
              </w:rPr>
            </w:pPr>
            <w:r w:rsidRPr="00697B0C">
              <w:rPr>
                <w:sz w:val="22"/>
                <w:szCs w:val="22"/>
              </w:rPr>
              <w:t xml:space="preserve">If personnel are not wearing gloves, then cooked bars handled since the last acceptable check will be discarded </w:t>
            </w:r>
            <w:r w:rsidRPr="00697B0C">
              <w:rPr>
                <w:b/>
                <w:bCs/>
                <w:sz w:val="22"/>
                <w:szCs w:val="22"/>
              </w:rPr>
              <w:t>OR</w:t>
            </w:r>
            <w:r w:rsidRPr="00697B0C">
              <w:rPr>
                <w:sz w:val="22"/>
                <w:szCs w:val="22"/>
              </w:rPr>
              <w:t xml:space="preserve"> recooked. </w:t>
            </w:r>
          </w:p>
          <w:p w14:paraId="0DF7C1C5" w14:textId="74D15F55" w:rsidR="00697B0C" w:rsidRDefault="00697B0C" w:rsidP="00697B0C">
            <w:pPr>
              <w:spacing w:before="240"/>
              <w:rPr>
                <w:sz w:val="22"/>
                <w:szCs w:val="22"/>
              </w:rPr>
            </w:pPr>
            <w:r w:rsidRPr="00697B0C">
              <w:rPr>
                <w:b/>
                <w:bCs/>
                <w:sz w:val="22"/>
                <w:szCs w:val="22"/>
              </w:rPr>
              <w:t>AND</w:t>
            </w:r>
          </w:p>
          <w:p w14:paraId="17D7FD16" w14:textId="6E07851A" w:rsidR="00EB5963" w:rsidRPr="00677CAA" w:rsidRDefault="00697B0C" w:rsidP="00697B0C">
            <w:pPr>
              <w:spacing w:before="240"/>
              <w:rPr>
                <w:sz w:val="22"/>
                <w:szCs w:val="22"/>
              </w:rPr>
            </w:pPr>
            <w:r>
              <w:rPr>
                <w:sz w:val="22"/>
                <w:szCs w:val="22"/>
              </w:rPr>
              <w:t>P</w:t>
            </w:r>
            <w:r w:rsidRPr="00697B0C">
              <w:rPr>
                <w:sz w:val="22"/>
                <w:szCs w:val="22"/>
              </w:rPr>
              <w:t>ersonnel will be retrained to prevent future violations.</w:t>
            </w:r>
          </w:p>
        </w:tc>
        <w:tc>
          <w:tcPr>
            <w:tcW w:w="1980" w:type="dxa"/>
          </w:tcPr>
          <w:p w14:paraId="40B621E5" w14:textId="77777777" w:rsidR="00697B0C" w:rsidRPr="00697B0C" w:rsidRDefault="00697B0C" w:rsidP="00697B0C">
            <w:pPr>
              <w:spacing w:before="240"/>
              <w:rPr>
                <w:sz w:val="22"/>
                <w:szCs w:val="22"/>
              </w:rPr>
            </w:pPr>
            <w:r w:rsidRPr="00697B0C">
              <w:rPr>
                <w:sz w:val="22"/>
                <w:szCs w:val="22"/>
              </w:rPr>
              <w:t xml:space="preserve">Annual review of SSOP efficacy to ensure effective cleaning. </w:t>
            </w:r>
          </w:p>
          <w:p w14:paraId="425207D1" w14:textId="263F1DB1" w:rsidR="00EB5963" w:rsidRPr="00677CAA" w:rsidRDefault="00697B0C" w:rsidP="00697B0C">
            <w:pPr>
              <w:spacing w:before="240"/>
              <w:rPr>
                <w:sz w:val="22"/>
                <w:szCs w:val="22"/>
              </w:rPr>
            </w:pPr>
            <w:r w:rsidRPr="00697B0C">
              <w:rPr>
                <w:sz w:val="22"/>
                <w:szCs w:val="22"/>
              </w:rPr>
              <w:t>Weekly review of sanitation monitoring records.</w:t>
            </w:r>
          </w:p>
        </w:tc>
        <w:tc>
          <w:tcPr>
            <w:tcW w:w="2070" w:type="dxa"/>
          </w:tcPr>
          <w:p w14:paraId="2B2E7CEF" w14:textId="77777777" w:rsidR="00697B0C" w:rsidRPr="00697B0C" w:rsidRDefault="00697B0C" w:rsidP="00697B0C">
            <w:pPr>
              <w:spacing w:before="240"/>
              <w:rPr>
                <w:sz w:val="22"/>
                <w:szCs w:val="22"/>
              </w:rPr>
            </w:pPr>
            <w:r w:rsidRPr="00697B0C">
              <w:rPr>
                <w:sz w:val="22"/>
                <w:szCs w:val="22"/>
              </w:rPr>
              <w:t>Sanitation monitoring records including checks of table cleanliness and personnel glove use.</w:t>
            </w:r>
          </w:p>
          <w:p w14:paraId="317BB038" w14:textId="77777777" w:rsidR="00697B0C" w:rsidRPr="00697B0C" w:rsidRDefault="00697B0C" w:rsidP="00697B0C">
            <w:pPr>
              <w:spacing w:before="240"/>
              <w:rPr>
                <w:sz w:val="22"/>
                <w:szCs w:val="22"/>
              </w:rPr>
            </w:pPr>
            <w:r w:rsidRPr="00697B0C">
              <w:rPr>
                <w:sz w:val="22"/>
                <w:szCs w:val="22"/>
              </w:rPr>
              <w:t>Correction/ Corrective Action records, if necessary</w:t>
            </w:r>
          </w:p>
          <w:p w14:paraId="7124348D" w14:textId="77777777" w:rsidR="00697B0C" w:rsidRPr="00697B0C" w:rsidRDefault="00697B0C" w:rsidP="00697B0C">
            <w:pPr>
              <w:spacing w:before="240"/>
              <w:rPr>
                <w:sz w:val="22"/>
                <w:szCs w:val="22"/>
              </w:rPr>
            </w:pPr>
            <w:r w:rsidRPr="00697B0C">
              <w:rPr>
                <w:sz w:val="22"/>
                <w:szCs w:val="22"/>
              </w:rPr>
              <w:t>Verification records - Environmental monitoring plan and results on monitoring</w:t>
            </w:r>
          </w:p>
          <w:p w14:paraId="728A7A5E" w14:textId="1500E7C2" w:rsidR="00EB5963" w:rsidRPr="00677CAA" w:rsidRDefault="00697B0C" w:rsidP="00697B0C">
            <w:pPr>
              <w:spacing w:before="240"/>
              <w:rPr>
                <w:sz w:val="22"/>
                <w:szCs w:val="22"/>
              </w:rPr>
            </w:pPr>
            <w:r w:rsidRPr="00697B0C">
              <w:rPr>
                <w:sz w:val="22"/>
                <w:szCs w:val="22"/>
              </w:rPr>
              <w:t>PCQI training records (PCHF only)</w:t>
            </w:r>
          </w:p>
        </w:tc>
      </w:tr>
    </w:tbl>
    <w:p w14:paraId="3B89E3E5" w14:textId="77777777" w:rsidR="00EB5963" w:rsidRDefault="00EB5963" w:rsidP="00EB5963">
      <w:pPr>
        <w:sectPr w:rsidR="00EB5963" w:rsidSect="00EB5963">
          <w:pgSz w:w="15840" w:h="12240" w:orient="landscape"/>
          <w:pgMar w:top="1440" w:right="1440" w:bottom="1440" w:left="1440" w:header="720" w:footer="720" w:gutter="0"/>
          <w:pgNumType w:chapStyle="1"/>
          <w:cols w:space="720"/>
          <w:docGrid w:linePitch="360"/>
        </w:sectPr>
      </w:pPr>
    </w:p>
    <w:p w14:paraId="7691C114" w14:textId="3F03EB9A" w:rsidR="00045395" w:rsidRDefault="00045395" w:rsidP="00C54E07">
      <w:pPr>
        <w:pStyle w:val="Caption"/>
      </w:pPr>
      <w:r w:rsidRPr="000776DB">
        <w:rPr>
          <w:b/>
          <w:bCs/>
        </w:rPr>
        <w:lastRenderedPageBreak/>
        <w:t xml:space="preserve">Table </w:t>
      </w:r>
      <w:r w:rsidR="00896F22" w:rsidRPr="000776DB">
        <w:rPr>
          <w:b/>
          <w:bCs/>
        </w:rPr>
        <w:fldChar w:fldCharType="begin"/>
      </w:r>
      <w:r w:rsidR="00896F22" w:rsidRPr="000776DB">
        <w:rPr>
          <w:b/>
          <w:bCs/>
        </w:rPr>
        <w:instrText xml:space="preserve"> STYLEREF 1 \s </w:instrText>
      </w:r>
      <w:r w:rsidR="00896F22" w:rsidRPr="000776DB">
        <w:rPr>
          <w:b/>
          <w:bCs/>
        </w:rPr>
        <w:fldChar w:fldCharType="separate"/>
      </w:r>
      <w:r w:rsidR="00A042AD">
        <w:rPr>
          <w:b/>
          <w:bCs/>
          <w:noProof/>
        </w:rPr>
        <w:t>11</w:t>
      </w:r>
      <w:r w:rsidR="00896F22" w:rsidRPr="000776DB">
        <w:rPr>
          <w:b/>
          <w:bCs/>
        </w:rPr>
        <w:fldChar w:fldCharType="end"/>
      </w:r>
      <w:r w:rsidR="00896F22" w:rsidRPr="000776DB">
        <w:rPr>
          <w:b/>
          <w:bCs/>
        </w:rPr>
        <w:noBreakHyphen/>
      </w:r>
      <w:r w:rsidR="00896F22" w:rsidRPr="000776DB">
        <w:rPr>
          <w:b/>
          <w:bCs/>
        </w:rPr>
        <w:fldChar w:fldCharType="begin"/>
      </w:r>
      <w:r w:rsidR="00896F22" w:rsidRPr="000776DB">
        <w:rPr>
          <w:b/>
          <w:bCs/>
        </w:rPr>
        <w:instrText xml:space="preserve"> SEQ Table \* ARABIC \s 1 </w:instrText>
      </w:r>
      <w:r w:rsidR="00896F22" w:rsidRPr="000776DB">
        <w:rPr>
          <w:b/>
          <w:bCs/>
        </w:rPr>
        <w:fldChar w:fldCharType="separate"/>
      </w:r>
      <w:r w:rsidR="00A042AD">
        <w:rPr>
          <w:b/>
          <w:bCs/>
          <w:noProof/>
        </w:rPr>
        <w:t>4</w:t>
      </w:r>
      <w:r w:rsidR="00896F22" w:rsidRPr="000776DB">
        <w:rPr>
          <w:b/>
          <w:bCs/>
        </w:rPr>
        <w:fldChar w:fldCharType="end"/>
      </w:r>
      <w:r w:rsidRPr="000776DB">
        <w:rPr>
          <w:b/>
          <w:bCs/>
        </w:rPr>
        <w:t>:</w:t>
      </w:r>
      <w:r w:rsidRPr="000776DB">
        <w:t xml:space="preserve"> </w:t>
      </w:r>
      <w:r w:rsidR="00CF2767" w:rsidRPr="00CF2767">
        <w:t>Process-related hazards based on type of processing applied and storage conditions. Under the Details column, “</w:t>
      </w:r>
      <w:r w:rsidR="00CF2767" w:rsidRPr="00CF2767">
        <w:rPr>
          <w:b/>
          <w:bCs/>
        </w:rPr>
        <w:t>ROP</w:t>
      </w:r>
      <w:r w:rsidR="00CF2767" w:rsidRPr="00CF2767">
        <w:t>” stands for reduced oxygen packaging, “</w:t>
      </w:r>
      <w:r w:rsidR="00CF2767" w:rsidRPr="00CF2767">
        <w:rPr>
          <w:b/>
          <w:bCs/>
        </w:rPr>
        <w:t>MAP</w:t>
      </w:r>
      <w:r w:rsidR="00CF2767" w:rsidRPr="00CF2767">
        <w:t>” stands for modified atmosphere packaging, and “</w:t>
      </w:r>
      <w:r w:rsidR="00CF2767" w:rsidRPr="00CF2767">
        <w:rPr>
          <w:b/>
          <w:bCs/>
        </w:rPr>
        <w:t>NA</w:t>
      </w:r>
      <w:r w:rsidR="00CF2767" w:rsidRPr="00CF2767">
        <w:t>” stands for not applicable. Cells with “</w:t>
      </w:r>
      <w:r w:rsidR="00CF2767" w:rsidRPr="00CF2767">
        <w:rPr>
          <w:b/>
          <w:bCs/>
        </w:rPr>
        <w:t>X</w:t>
      </w:r>
      <w:r w:rsidR="00CF2767" w:rsidRPr="00CF2767">
        <w:t>” indicate a potential hazard, and cells with a blank box (</w:t>
      </w:r>
      <w:r w:rsidR="00CF2767" w:rsidRPr="00CF2767">
        <w:rPr>
          <w:rFonts w:ascii="Segoe UI Symbol" w:hAnsi="Segoe UI Symbol" w:cs="Segoe UI Symbol"/>
          <w:b/>
          <w:bCs/>
        </w:rPr>
        <w:t>☐</w:t>
      </w:r>
      <w:r w:rsidR="00CF2767" w:rsidRPr="00CF2767">
        <w:t>) indicate that there is no evidence to date that associates this pathogen with this process.</w:t>
      </w:r>
    </w:p>
    <w:tbl>
      <w:tblPr>
        <w:tblStyle w:val="TableGrid"/>
        <w:tblW w:w="15130" w:type="dxa"/>
        <w:tblInd w:w="-1095" w:type="dxa"/>
        <w:tblLayout w:type="fixed"/>
        <w:tblLook w:val="04A0" w:firstRow="1" w:lastRow="0" w:firstColumn="1" w:lastColumn="0" w:noHBand="0" w:noVBand="1"/>
      </w:tblPr>
      <w:tblGrid>
        <w:gridCol w:w="1257"/>
        <w:gridCol w:w="1273"/>
        <w:gridCol w:w="1350"/>
        <w:gridCol w:w="971"/>
        <w:gridCol w:w="1262"/>
        <w:gridCol w:w="1277"/>
        <w:gridCol w:w="1260"/>
        <w:gridCol w:w="1250"/>
        <w:gridCol w:w="1720"/>
        <w:gridCol w:w="1620"/>
        <w:gridCol w:w="990"/>
        <w:gridCol w:w="900"/>
      </w:tblGrid>
      <w:tr w:rsidR="009B73BE" w:rsidRPr="0014075D" w14:paraId="70C20B54" w14:textId="0DEEB112" w:rsidTr="00D27879">
        <w:trPr>
          <w:trHeight w:val="528"/>
        </w:trPr>
        <w:tc>
          <w:tcPr>
            <w:tcW w:w="1257" w:type="dxa"/>
            <w:tcBorders>
              <w:top w:val="single" w:sz="12" w:space="0" w:color="0D0D0D" w:themeColor="text1" w:themeTint="F2"/>
              <w:left w:val="single" w:sz="12" w:space="0" w:color="0D0D0D" w:themeColor="text1" w:themeTint="F2"/>
              <w:bottom w:val="single" w:sz="12" w:space="0" w:color="0D0D0D" w:themeColor="text1" w:themeTint="F2"/>
            </w:tcBorders>
            <w:shd w:val="clear" w:color="auto" w:fill="28666E"/>
            <w:vAlign w:val="center"/>
          </w:tcPr>
          <w:p w14:paraId="16D569E6" w14:textId="4ED92E32" w:rsidR="00E66C87" w:rsidRPr="00F9694B" w:rsidRDefault="00E66C87" w:rsidP="009B73BE">
            <w:pPr>
              <w:rPr>
                <w:rFonts w:cs="Calibri"/>
                <w:b/>
                <w:bCs/>
                <w:color w:val="FFFFFF" w:themeColor="background1"/>
                <w:sz w:val="22"/>
                <w:szCs w:val="22"/>
              </w:rPr>
            </w:pPr>
            <w:r w:rsidRPr="00F9694B">
              <w:rPr>
                <w:rFonts w:cs="Calibri"/>
                <w:b/>
                <w:bCs/>
                <w:color w:val="FFFFFF" w:themeColor="background1"/>
                <w:sz w:val="22"/>
                <w:szCs w:val="22"/>
              </w:rPr>
              <w:t>Process Applied</w:t>
            </w:r>
          </w:p>
        </w:tc>
        <w:tc>
          <w:tcPr>
            <w:tcW w:w="1273" w:type="dxa"/>
            <w:tcBorders>
              <w:top w:val="single" w:sz="12" w:space="0" w:color="0D0D0D" w:themeColor="text1" w:themeTint="F2"/>
              <w:bottom w:val="single" w:sz="12" w:space="0" w:color="0D0D0D" w:themeColor="text1" w:themeTint="F2"/>
            </w:tcBorders>
            <w:shd w:val="clear" w:color="auto" w:fill="28666E"/>
            <w:vAlign w:val="center"/>
          </w:tcPr>
          <w:p w14:paraId="144C6ADC" w14:textId="04FB073F" w:rsidR="00E66C87" w:rsidRPr="00F9694B" w:rsidRDefault="00E66C87" w:rsidP="009B73BE">
            <w:pPr>
              <w:rPr>
                <w:rFonts w:cs="Calibri"/>
                <w:b/>
                <w:bCs/>
                <w:color w:val="FFFFFF" w:themeColor="background1"/>
                <w:sz w:val="22"/>
                <w:szCs w:val="22"/>
              </w:rPr>
            </w:pPr>
            <w:r w:rsidRPr="00F9694B">
              <w:rPr>
                <w:rFonts w:cs="Calibri"/>
                <w:b/>
                <w:bCs/>
                <w:color w:val="FFFFFF" w:themeColor="background1"/>
                <w:sz w:val="22"/>
                <w:szCs w:val="22"/>
              </w:rPr>
              <w:t>Details</w:t>
            </w:r>
          </w:p>
        </w:tc>
        <w:tc>
          <w:tcPr>
            <w:tcW w:w="1350" w:type="dxa"/>
            <w:tcBorders>
              <w:top w:val="single" w:sz="12" w:space="0" w:color="0D0D0D" w:themeColor="text1" w:themeTint="F2"/>
              <w:bottom w:val="single" w:sz="12" w:space="0" w:color="0D0D0D" w:themeColor="text1" w:themeTint="F2"/>
            </w:tcBorders>
            <w:shd w:val="clear" w:color="auto" w:fill="28666E"/>
            <w:vAlign w:val="center"/>
          </w:tcPr>
          <w:p w14:paraId="52AC2647" w14:textId="3F7A6092" w:rsidR="00E66C87" w:rsidRPr="00F9694B" w:rsidRDefault="00E66C87" w:rsidP="009B73BE">
            <w:pPr>
              <w:rPr>
                <w:rFonts w:cs="Calibri"/>
                <w:b/>
                <w:bCs/>
                <w:color w:val="FFFFFF" w:themeColor="background1"/>
                <w:sz w:val="22"/>
                <w:szCs w:val="22"/>
              </w:rPr>
            </w:pPr>
            <w:r w:rsidRPr="00F9694B">
              <w:rPr>
                <w:rFonts w:cs="Calibri"/>
                <w:b/>
                <w:bCs/>
                <w:color w:val="FFFFFF" w:themeColor="background1"/>
                <w:sz w:val="22"/>
                <w:szCs w:val="22"/>
              </w:rPr>
              <w:t>Storage</w:t>
            </w:r>
          </w:p>
        </w:tc>
        <w:tc>
          <w:tcPr>
            <w:tcW w:w="971" w:type="dxa"/>
            <w:tcBorders>
              <w:top w:val="single" w:sz="12" w:space="0" w:color="0D0D0D" w:themeColor="text1" w:themeTint="F2"/>
              <w:bottom w:val="single" w:sz="12" w:space="0" w:color="0D0D0D" w:themeColor="text1" w:themeTint="F2"/>
            </w:tcBorders>
            <w:shd w:val="clear" w:color="auto" w:fill="28666E"/>
            <w:vAlign w:val="center"/>
          </w:tcPr>
          <w:p w14:paraId="31456004" w14:textId="2AA815D1" w:rsidR="00E66C87" w:rsidRPr="00F9694B" w:rsidRDefault="00E66C87" w:rsidP="009B73BE">
            <w:pPr>
              <w:rPr>
                <w:rFonts w:cs="Calibri"/>
                <w:b/>
                <w:bCs/>
                <w:i/>
                <w:iCs/>
                <w:color w:val="FFFFFF" w:themeColor="background1"/>
                <w:sz w:val="22"/>
                <w:szCs w:val="22"/>
              </w:rPr>
            </w:pPr>
            <w:r w:rsidRPr="00F9694B">
              <w:rPr>
                <w:rFonts w:cs="Calibri"/>
                <w:b/>
                <w:bCs/>
                <w:i/>
                <w:iCs/>
                <w:color w:val="FFFFFF" w:themeColor="background1"/>
                <w:sz w:val="22"/>
                <w:szCs w:val="22"/>
              </w:rPr>
              <w:t>Bacillus cereus</w:t>
            </w:r>
          </w:p>
        </w:tc>
        <w:tc>
          <w:tcPr>
            <w:tcW w:w="1262" w:type="dxa"/>
            <w:tcBorders>
              <w:top w:val="single" w:sz="12" w:space="0" w:color="0D0D0D" w:themeColor="text1" w:themeTint="F2"/>
              <w:bottom w:val="single" w:sz="12" w:space="0" w:color="0D0D0D" w:themeColor="text1" w:themeTint="F2"/>
            </w:tcBorders>
            <w:shd w:val="clear" w:color="auto" w:fill="28666E"/>
            <w:vAlign w:val="center"/>
          </w:tcPr>
          <w:p w14:paraId="4D813459" w14:textId="2564A79C" w:rsidR="00E66C87" w:rsidRPr="00F9694B" w:rsidRDefault="00E66C87" w:rsidP="009B73BE">
            <w:pPr>
              <w:rPr>
                <w:rFonts w:cs="Calibri"/>
                <w:b/>
                <w:bCs/>
                <w:i/>
                <w:iCs/>
                <w:color w:val="FFFFFF" w:themeColor="background1"/>
                <w:sz w:val="22"/>
                <w:szCs w:val="22"/>
              </w:rPr>
            </w:pPr>
            <w:r w:rsidRPr="00F9694B">
              <w:rPr>
                <w:rFonts w:cs="Calibri"/>
                <w:b/>
                <w:bCs/>
                <w:i/>
                <w:iCs/>
                <w:color w:val="FFFFFF" w:themeColor="background1"/>
                <w:sz w:val="22"/>
                <w:szCs w:val="22"/>
              </w:rPr>
              <w:t>Clostridium botulinum</w:t>
            </w:r>
          </w:p>
        </w:tc>
        <w:tc>
          <w:tcPr>
            <w:tcW w:w="1277" w:type="dxa"/>
            <w:tcBorders>
              <w:top w:val="single" w:sz="12" w:space="0" w:color="0D0D0D" w:themeColor="text1" w:themeTint="F2"/>
              <w:bottom w:val="single" w:sz="12" w:space="0" w:color="0D0D0D" w:themeColor="text1" w:themeTint="F2"/>
            </w:tcBorders>
            <w:shd w:val="clear" w:color="auto" w:fill="28666E"/>
            <w:vAlign w:val="center"/>
          </w:tcPr>
          <w:p w14:paraId="43F43F31" w14:textId="72374150" w:rsidR="00E66C87" w:rsidRPr="00F9694B" w:rsidRDefault="00E66C87" w:rsidP="009B73BE">
            <w:pPr>
              <w:rPr>
                <w:rFonts w:cs="Calibri"/>
                <w:b/>
                <w:bCs/>
                <w:i/>
                <w:iCs/>
                <w:color w:val="FFFFFF" w:themeColor="background1"/>
                <w:sz w:val="22"/>
                <w:szCs w:val="22"/>
              </w:rPr>
            </w:pPr>
            <w:r w:rsidRPr="00F9694B">
              <w:rPr>
                <w:rFonts w:cs="Calibri"/>
                <w:b/>
                <w:bCs/>
                <w:i/>
                <w:iCs/>
                <w:color w:val="FFFFFF" w:themeColor="background1"/>
                <w:sz w:val="22"/>
                <w:szCs w:val="22"/>
              </w:rPr>
              <w:t>Clostridium perfringens</w:t>
            </w:r>
          </w:p>
        </w:tc>
        <w:tc>
          <w:tcPr>
            <w:tcW w:w="1260" w:type="dxa"/>
            <w:tcBorders>
              <w:top w:val="single" w:sz="12" w:space="0" w:color="0D0D0D" w:themeColor="text1" w:themeTint="F2"/>
              <w:bottom w:val="single" w:sz="12" w:space="0" w:color="0D0D0D" w:themeColor="text1" w:themeTint="F2"/>
            </w:tcBorders>
            <w:shd w:val="clear" w:color="auto" w:fill="28666E"/>
            <w:vAlign w:val="center"/>
          </w:tcPr>
          <w:p w14:paraId="6CA03F39" w14:textId="173FA222" w:rsidR="00E66C87" w:rsidRPr="00F9694B" w:rsidRDefault="00E66C87" w:rsidP="009B73BE">
            <w:pPr>
              <w:rPr>
                <w:rFonts w:cs="Calibri"/>
                <w:b/>
                <w:bCs/>
                <w:color w:val="FFFFFF" w:themeColor="background1"/>
                <w:sz w:val="22"/>
                <w:szCs w:val="22"/>
              </w:rPr>
            </w:pPr>
            <w:r w:rsidRPr="00F9694B">
              <w:rPr>
                <w:rFonts w:cs="Calibri"/>
                <w:b/>
                <w:bCs/>
                <w:color w:val="FFFFFF" w:themeColor="background1"/>
                <w:sz w:val="22"/>
                <w:szCs w:val="22"/>
              </w:rPr>
              <w:t xml:space="preserve">Pathogenic </w:t>
            </w:r>
            <w:r w:rsidRPr="00F9694B">
              <w:rPr>
                <w:rFonts w:cs="Calibri"/>
                <w:b/>
                <w:bCs/>
                <w:i/>
                <w:iCs/>
                <w:color w:val="FFFFFF" w:themeColor="background1"/>
                <w:sz w:val="22"/>
                <w:szCs w:val="22"/>
              </w:rPr>
              <w:t>E. coli</w:t>
            </w:r>
          </w:p>
        </w:tc>
        <w:tc>
          <w:tcPr>
            <w:tcW w:w="1250" w:type="dxa"/>
            <w:tcBorders>
              <w:top w:val="single" w:sz="12" w:space="0" w:color="0D0D0D" w:themeColor="text1" w:themeTint="F2"/>
              <w:bottom w:val="single" w:sz="12" w:space="0" w:color="0D0D0D" w:themeColor="text1" w:themeTint="F2"/>
            </w:tcBorders>
            <w:shd w:val="clear" w:color="auto" w:fill="28666E"/>
            <w:vAlign w:val="center"/>
          </w:tcPr>
          <w:p w14:paraId="726DD5BF" w14:textId="0E766979" w:rsidR="00E66C87" w:rsidRPr="00F9694B" w:rsidRDefault="00E66C87" w:rsidP="009B73BE">
            <w:pPr>
              <w:rPr>
                <w:rFonts w:cs="Calibri"/>
                <w:b/>
                <w:bCs/>
                <w:i/>
                <w:iCs/>
                <w:color w:val="FFFFFF" w:themeColor="background1"/>
                <w:sz w:val="22"/>
                <w:szCs w:val="22"/>
              </w:rPr>
            </w:pPr>
            <w:r w:rsidRPr="00F9694B">
              <w:rPr>
                <w:rFonts w:cs="Calibri"/>
                <w:b/>
                <w:bCs/>
                <w:i/>
                <w:iCs/>
                <w:color w:val="FFFFFF" w:themeColor="background1"/>
                <w:sz w:val="22"/>
                <w:szCs w:val="22"/>
              </w:rPr>
              <w:t>Salmonella</w:t>
            </w:r>
          </w:p>
        </w:tc>
        <w:tc>
          <w:tcPr>
            <w:tcW w:w="1720" w:type="dxa"/>
            <w:tcBorders>
              <w:top w:val="single" w:sz="12" w:space="0" w:color="0D0D0D" w:themeColor="text1" w:themeTint="F2"/>
              <w:bottom w:val="single" w:sz="12" w:space="0" w:color="0D0D0D" w:themeColor="text1" w:themeTint="F2"/>
            </w:tcBorders>
            <w:shd w:val="clear" w:color="auto" w:fill="28666E"/>
            <w:vAlign w:val="center"/>
          </w:tcPr>
          <w:p w14:paraId="441991BE" w14:textId="3CA5DAFA" w:rsidR="00E66C87" w:rsidRPr="00F9694B" w:rsidRDefault="00E66C87" w:rsidP="009B73BE">
            <w:pPr>
              <w:rPr>
                <w:rFonts w:cs="Calibri"/>
                <w:b/>
                <w:bCs/>
                <w:i/>
                <w:iCs/>
                <w:color w:val="FFFFFF" w:themeColor="background1"/>
                <w:sz w:val="22"/>
                <w:szCs w:val="22"/>
              </w:rPr>
            </w:pPr>
            <w:r w:rsidRPr="00F9694B">
              <w:rPr>
                <w:rFonts w:cs="Calibri"/>
                <w:b/>
                <w:bCs/>
                <w:i/>
                <w:iCs/>
                <w:color w:val="FFFFFF" w:themeColor="background1"/>
                <w:sz w:val="22"/>
                <w:szCs w:val="22"/>
              </w:rPr>
              <w:t>Listeria monocytogenes</w:t>
            </w:r>
          </w:p>
        </w:tc>
        <w:tc>
          <w:tcPr>
            <w:tcW w:w="1620" w:type="dxa"/>
            <w:tcBorders>
              <w:top w:val="single" w:sz="12" w:space="0" w:color="0D0D0D" w:themeColor="text1" w:themeTint="F2"/>
              <w:bottom w:val="single" w:sz="12" w:space="0" w:color="0D0D0D" w:themeColor="text1" w:themeTint="F2"/>
            </w:tcBorders>
            <w:shd w:val="clear" w:color="auto" w:fill="28666E"/>
            <w:vAlign w:val="center"/>
          </w:tcPr>
          <w:p w14:paraId="23F90A5B" w14:textId="2498293C" w:rsidR="00E66C87" w:rsidRPr="00F9694B" w:rsidRDefault="00E66C87" w:rsidP="009B73BE">
            <w:pPr>
              <w:rPr>
                <w:rFonts w:cs="Calibri"/>
                <w:b/>
                <w:bCs/>
                <w:i/>
                <w:iCs/>
                <w:color w:val="FFFFFF" w:themeColor="background1"/>
                <w:sz w:val="22"/>
                <w:szCs w:val="22"/>
              </w:rPr>
            </w:pPr>
            <w:r w:rsidRPr="00F9694B">
              <w:rPr>
                <w:rFonts w:cs="Calibri"/>
                <w:b/>
                <w:bCs/>
                <w:i/>
                <w:iCs/>
                <w:color w:val="FFFFFF" w:themeColor="background1"/>
                <w:sz w:val="22"/>
                <w:szCs w:val="22"/>
              </w:rPr>
              <w:t>Staphylococcus aureus</w:t>
            </w:r>
          </w:p>
        </w:tc>
        <w:tc>
          <w:tcPr>
            <w:tcW w:w="990" w:type="dxa"/>
            <w:tcBorders>
              <w:top w:val="single" w:sz="12" w:space="0" w:color="0D0D0D" w:themeColor="text1" w:themeTint="F2"/>
              <w:bottom w:val="single" w:sz="12" w:space="0" w:color="0D0D0D" w:themeColor="text1" w:themeTint="F2"/>
            </w:tcBorders>
            <w:shd w:val="clear" w:color="auto" w:fill="28666E"/>
            <w:vAlign w:val="center"/>
          </w:tcPr>
          <w:p w14:paraId="190BBCD5" w14:textId="256B7F08" w:rsidR="00E66C87" w:rsidRPr="00F9694B" w:rsidRDefault="00E66C87" w:rsidP="009B73BE">
            <w:pPr>
              <w:rPr>
                <w:rFonts w:cs="Calibri"/>
                <w:b/>
                <w:bCs/>
                <w:color w:val="FFFFFF" w:themeColor="background1"/>
                <w:sz w:val="22"/>
                <w:szCs w:val="22"/>
              </w:rPr>
            </w:pPr>
            <w:r w:rsidRPr="00F9694B">
              <w:rPr>
                <w:rFonts w:cs="Calibri"/>
                <w:b/>
                <w:bCs/>
                <w:i/>
                <w:iCs/>
                <w:color w:val="FFFFFF" w:themeColor="background1"/>
                <w:sz w:val="22"/>
                <w:szCs w:val="22"/>
              </w:rPr>
              <w:t xml:space="preserve">Vibrio </w:t>
            </w:r>
            <w:r w:rsidRPr="00F9694B">
              <w:rPr>
                <w:rFonts w:cs="Calibri"/>
                <w:b/>
                <w:bCs/>
                <w:color w:val="FFFFFF" w:themeColor="background1"/>
                <w:sz w:val="22"/>
                <w:szCs w:val="22"/>
              </w:rPr>
              <w:t>species</w:t>
            </w:r>
          </w:p>
        </w:tc>
        <w:tc>
          <w:tcPr>
            <w:tcW w:w="900" w:type="dxa"/>
            <w:tcBorders>
              <w:top w:val="single" w:sz="12" w:space="0" w:color="0D0D0D" w:themeColor="text1" w:themeTint="F2"/>
              <w:bottom w:val="single" w:sz="12" w:space="0" w:color="0D0D0D" w:themeColor="text1" w:themeTint="F2"/>
              <w:right w:val="single" w:sz="12" w:space="0" w:color="0D0D0D" w:themeColor="text1" w:themeTint="F2"/>
            </w:tcBorders>
            <w:shd w:val="clear" w:color="auto" w:fill="28666E"/>
            <w:vAlign w:val="center"/>
          </w:tcPr>
          <w:p w14:paraId="7258012E" w14:textId="1042C014" w:rsidR="00E66C87" w:rsidRPr="00F9694B" w:rsidRDefault="00E66C87" w:rsidP="009B73BE">
            <w:pPr>
              <w:rPr>
                <w:rFonts w:cs="Calibri"/>
                <w:b/>
                <w:bCs/>
                <w:color w:val="FFFFFF" w:themeColor="background1"/>
                <w:sz w:val="22"/>
                <w:szCs w:val="22"/>
              </w:rPr>
            </w:pPr>
            <w:r w:rsidRPr="00F9694B">
              <w:rPr>
                <w:rFonts w:cs="Calibri"/>
                <w:b/>
                <w:bCs/>
                <w:color w:val="FFFFFF" w:themeColor="background1"/>
                <w:sz w:val="22"/>
                <w:szCs w:val="22"/>
              </w:rPr>
              <w:t>Viruses</w:t>
            </w:r>
          </w:p>
        </w:tc>
      </w:tr>
      <w:tr w:rsidR="0014075D" w:rsidRPr="0014075D" w14:paraId="2E762E51" w14:textId="35323EB1" w:rsidTr="00D27879">
        <w:trPr>
          <w:trHeight w:val="255"/>
        </w:trPr>
        <w:tc>
          <w:tcPr>
            <w:tcW w:w="1257" w:type="dxa"/>
            <w:tcBorders>
              <w:top w:val="single" w:sz="12" w:space="0" w:color="0D0D0D" w:themeColor="text1" w:themeTint="F2"/>
              <w:left w:val="single" w:sz="12" w:space="0" w:color="0D0D0D" w:themeColor="text1" w:themeTint="F2"/>
            </w:tcBorders>
            <w:shd w:val="clear" w:color="auto" w:fill="D9D9D9" w:themeFill="background1" w:themeFillShade="D9"/>
            <w:vAlign w:val="center"/>
          </w:tcPr>
          <w:p w14:paraId="5F397CEA" w14:textId="7871A960" w:rsidR="00E66C87" w:rsidRPr="0014075D" w:rsidRDefault="00E66C87" w:rsidP="009B73BE">
            <w:pPr>
              <w:rPr>
                <w:rFonts w:cs="Calibri"/>
                <w:sz w:val="22"/>
                <w:szCs w:val="22"/>
              </w:rPr>
            </w:pPr>
            <w:r w:rsidRPr="0014075D">
              <w:rPr>
                <w:rFonts w:cs="Calibri"/>
                <w:sz w:val="22"/>
                <w:szCs w:val="22"/>
              </w:rPr>
              <w:t>None (whole / shredded</w:t>
            </w:r>
          </w:p>
        </w:tc>
        <w:tc>
          <w:tcPr>
            <w:tcW w:w="1273" w:type="dxa"/>
            <w:tcBorders>
              <w:top w:val="single" w:sz="12" w:space="0" w:color="0D0D0D" w:themeColor="text1" w:themeTint="F2"/>
            </w:tcBorders>
            <w:shd w:val="clear" w:color="auto" w:fill="D9D9D9" w:themeFill="background1" w:themeFillShade="D9"/>
            <w:vAlign w:val="center"/>
          </w:tcPr>
          <w:p w14:paraId="3B7A1053" w14:textId="09D45CBF" w:rsidR="00E66C87" w:rsidRPr="0014075D" w:rsidRDefault="00E66C87" w:rsidP="009B73BE">
            <w:pPr>
              <w:rPr>
                <w:rFonts w:cs="Calibri"/>
                <w:sz w:val="22"/>
                <w:szCs w:val="22"/>
              </w:rPr>
            </w:pPr>
            <w:r w:rsidRPr="0014075D">
              <w:rPr>
                <w:rFonts w:cs="Calibri"/>
                <w:sz w:val="22"/>
                <w:szCs w:val="22"/>
              </w:rPr>
              <w:t>Oxygen Not Excluded</w:t>
            </w:r>
          </w:p>
        </w:tc>
        <w:tc>
          <w:tcPr>
            <w:tcW w:w="1350" w:type="dxa"/>
            <w:tcBorders>
              <w:top w:val="single" w:sz="12" w:space="0" w:color="0D0D0D" w:themeColor="text1" w:themeTint="F2"/>
            </w:tcBorders>
            <w:shd w:val="clear" w:color="auto" w:fill="D9D9D9" w:themeFill="background1" w:themeFillShade="D9"/>
            <w:vAlign w:val="center"/>
          </w:tcPr>
          <w:p w14:paraId="54D10888" w14:textId="3C631B23" w:rsidR="00E66C87" w:rsidRPr="0014075D" w:rsidRDefault="00E66C87" w:rsidP="009B73BE">
            <w:pPr>
              <w:rPr>
                <w:rFonts w:cs="Calibri"/>
                <w:sz w:val="22"/>
                <w:szCs w:val="22"/>
              </w:rPr>
            </w:pPr>
            <w:r w:rsidRPr="0014075D">
              <w:rPr>
                <w:rFonts w:cs="Calibri"/>
                <w:sz w:val="22"/>
                <w:szCs w:val="22"/>
              </w:rPr>
              <w:t>Refrigerated</w:t>
            </w:r>
          </w:p>
        </w:tc>
        <w:tc>
          <w:tcPr>
            <w:tcW w:w="971" w:type="dxa"/>
            <w:tcBorders>
              <w:top w:val="single" w:sz="12" w:space="0" w:color="0D0D0D" w:themeColor="text1" w:themeTint="F2"/>
            </w:tcBorders>
            <w:shd w:val="clear" w:color="auto" w:fill="D9D9D9" w:themeFill="background1" w:themeFillShade="D9"/>
            <w:vAlign w:val="center"/>
          </w:tcPr>
          <w:p w14:paraId="72413513" w14:textId="42EBADC4" w:rsidR="00E66C87" w:rsidRPr="0014075D" w:rsidRDefault="0014075D" w:rsidP="0014075D">
            <w:pPr>
              <w:jc w:val="center"/>
              <w:rPr>
                <w:rFonts w:cs="Calibri"/>
                <w:sz w:val="22"/>
                <w:szCs w:val="22"/>
              </w:rPr>
            </w:pPr>
            <w:r w:rsidRPr="0014075D">
              <w:rPr>
                <w:rFonts w:cs="Calibri"/>
                <w:sz w:val="22"/>
                <w:szCs w:val="22"/>
              </w:rPr>
              <w:t>X</w:t>
            </w:r>
          </w:p>
        </w:tc>
        <w:tc>
          <w:tcPr>
            <w:tcW w:w="1262" w:type="dxa"/>
            <w:tcBorders>
              <w:top w:val="single" w:sz="12" w:space="0" w:color="0D0D0D" w:themeColor="text1" w:themeTint="F2"/>
            </w:tcBorders>
            <w:shd w:val="clear" w:color="auto" w:fill="D9D9D9" w:themeFill="background1" w:themeFillShade="D9"/>
            <w:vAlign w:val="center"/>
          </w:tcPr>
          <w:p w14:paraId="4A9E1AC7" w14:textId="24FFB917"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77" w:type="dxa"/>
            <w:tcBorders>
              <w:top w:val="single" w:sz="12" w:space="0" w:color="0D0D0D" w:themeColor="text1" w:themeTint="F2"/>
            </w:tcBorders>
            <w:shd w:val="clear" w:color="auto" w:fill="D9D9D9" w:themeFill="background1" w:themeFillShade="D9"/>
            <w:vAlign w:val="center"/>
          </w:tcPr>
          <w:p w14:paraId="20F53323" w14:textId="42BE4E55" w:rsidR="00E66C87" w:rsidRPr="0014075D" w:rsidRDefault="0014075D" w:rsidP="0014075D">
            <w:pPr>
              <w:jc w:val="center"/>
              <w:rPr>
                <w:rFonts w:cs="Calibri"/>
                <w:sz w:val="22"/>
                <w:szCs w:val="22"/>
              </w:rPr>
            </w:pPr>
            <w:r w:rsidRPr="0014075D">
              <w:rPr>
                <w:rFonts w:cs="Calibri"/>
                <w:sz w:val="22"/>
                <w:szCs w:val="22"/>
              </w:rPr>
              <w:t>X</w:t>
            </w:r>
          </w:p>
        </w:tc>
        <w:tc>
          <w:tcPr>
            <w:tcW w:w="1260" w:type="dxa"/>
            <w:tcBorders>
              <w:top w:val="single" w:sz="12" w:space="0" w:color="0D0D0D" w:themeColor="text1" w:themeTint="F2"/>
            </w:tcBorders>
            <w:shd w:val="clear" w:color="auto" w:fill="D9D9D9" w:themeFill="background1" w:themeFillShade="D9"/>
            <w:vAlign w:val="center"/>
          </w:tcPr>
          <w:p w14:paraId="3CE79FFF" w14:textId="023F575E" w:rsidR="00E66C87" w:rsidRPr="0014075D" w:rsidRDefault="0014075D" w:rsidP="0014075D">
            <w:pPr>
              <w:jc w:val="center"/>
              <w:rPr>
                <w:rFonts w:cs="Calibri"/>
                <w:sz w:val="22"/>
                <w:szCs w:val="22"/>
              </w:rPr>
            </w:pPr>
            <w:r w:rsidRPr="0014075D">
              <w:rPr>
                <w:rFonts w:cs="Calibri"/>
                <w:sz w:val="22"/>
                <w:szCs w:val="22"/>
              </w:rPr>
              <w:t>X</w:t>
            </w:r>
          </w:p>
        </w:tc>
        <w:tc>
          <w:tcPr>
            <w:tcW w:w="1250" w:type="dxa"/>
            <w:tcBorders>
              <w:top w:val="single" w:sz="12" w:space="0" w:color="0D0D0D" w:themeColor="text1" w:themeTint="F2"/>
            </w:tcBorders>
            <w:shd w:val="clear" w:color="auto" w:fill="D9D9D9" w:themeFill="background1" w:themeFillShade="D9"/>
            <w:vAlign w:val="center"/>
          </w:tcPr>
          <w:p w14:paraId="7CFB1966" w14:textId="7FE4023B"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720" w:type="dxa"/>
            <w:tcBorders>
              <w:top w:val="single" w:sz="12" w:space="0" w:color="0D0D0D" w:themeColor="text1" w:themeTint="F2"/>
            </w:tcBorders>
            <w:shd w:val="clear" w:color="auto" w:fill="D9D9D9" w:themeFill="background1" w:themeFillShade="D9"/>
            <w:vAlign w:val="center"/>
          </w:tcPr>
          <w:p w14:paraId="6EA08315" w14:textId="28ADFB20" w:rsidR="00E66C87" w:rsidRPr="0014075D" w:rsidRDefault="0014075D" w:rsidP="0014075D">
            <w:pPr>
              <w:jc w:val="center"/>
              <w:rPr>
                <w:rFonts w:cs="Calibri"/>
                <w:sz w:val="22"/>
                <w:szCs w:val="22"/>
              </w:rPr>
            </w:pPr>
            <w:r w:rsidRPr="0014075D">
              <w:rPr>
                <w:rFonts w:cs="Calibri"/>
                <w:sz w:val="22"/>
                <w:szCs w:val="22"/>
              </w:rPr>
              <w:t>X</w:t>
            </w:r>
          </w:p>
        </w:tc>
        <w:tc>
          <w:tcPr>
            <w:tcW w:w="1620" w:type="dxa"/>
            <w:tcBorders>
              <w:top w:val="single" w:sz="12" w:space="0" w:color="0D0D0D" w:themeColor="text1" w:themeTint="F2"/>
            </w:tcBorders>
            <w:shd w:val="clear" w:color="auto" w:fill="D9D9D9" w:themeFill="background1" w:themeFillShade="D9"/>
            <w:vAlign w:val="center"/>
          </w:tcPr>
          <w:p w14:paraId="1ED1BF4E" w14:textId="469762B5"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90" w:type="dxa"/>
            <w:tcBorders>
              <w:top w:val="single" w:sz="12" w:space="0" w:color="0D0D0D" w:themeColor="text1" w:themeTint="F2"/>
            </w:tcBorders>
            <w:shd w:val="clear" w:color="auto" w:fill="D9D9D9" w:themeFill="background1" w:themeFillShade="D9"/>
            <w:vAlign w:val="center"/>
          </w:tcPr>
          <w:p w14:paraId="639BE53D" w14:textId="3587D06B" w:rsidR="00E66C87" w:rsidRPr="0014075D" w:rsidRDefault="0014075D" w:rsidP="0014075D">
            <w:pPr>
              <w:jc w:val="center"/>
              <w:rPr>
                <w:rFonts w:cs="Calibri"/>
                <w:sz w:val="22"/>
                <w:szCs w:val="22"/>
              </w:rPr>
            </w:pPr>
            <w:r w:rsidRPr="0014075D">
              <w:rPr>
                <w:rFonts w:cs="Calibri"/>
                <w:sz w:val="22"/>
                <w:szCs w:val="22"/>
              </w:rPr>
              <w:t>X</w:t>
            </w:r>
          </w:p>
        </w:tc>
        <w:tc>
          <w:tcPr>
            <w:tcW w:w="900" w:type="dxa"/>
            <w:tcBorders>
              <w:top w:val="single" w:sz="12" w:space="0" w:color="0D0D0D" w:themeColor="text1" w:themeTint="F2"/>
              <w:right w:val="single" w:sz="12" w:space="0" w:color="0D0D0D" w:themeColor="text1" w:themeTint="F2"/>
            </w:tcBorders>
            <w:shd w:val="clear" w:color="auto" w:fill="D9D9D9" w:themeFill="background1" w:themeFillShade="D9"/>
            <w:vAlign w:val="center"/>
          </w:tcPr>
          <w:p w14:paraId="6EB6464D" w14:textId="365371E3" w:rsidR="00E66C87" w:rsidRPr="0014075D" w:rsidRDefault="0014075D" w:rsidP="0014075D">
            <w:pPr>
              <w:jc w:val="center"/>
              <w:rPr>
                <w:rFonts w:cs="Calibri"/>
                <w:sz w:val="22"/>
                <w:szCs w:val="22"/>
              </w:rPr>
            </w:pPr>
            <w:r w:rsidRPr="0014075D">
              <w:rPr>
                <w:rFonts w:cs="Calibri"/>
                <w:sz w:val="22"/>
                <w:szCs w:val="22"/>
              </w:rPr>
              <w:t>X</w:t>
            </w:r>
          </w:p>
        </w:tc>
      </w:tr>
      <w:tr w:rsidR="0014075D" w:rsidRPr="0014075D" w14:paraId="4703BAEE" w14:textId="61B3DC73" w:rsidTr="00D27879">
        <w:trPr>
          <w:trHeight w:val="255"/>
        </w:trPr>
        <w:tc>
          <w:tcPr>
            <w:tcW w:w="1257" w:type="dxa"/>
            <w:tcBorders>
              <w:left w:val="single" w:sz="12" w:space="0" w:color="0D0D0D" w:themeColor="text1" w:themeTint="F2"/>
            </w:tcBorders>
            <w:vAlign w:val="center"/>
          </w:tcPr>
          <w:p w14:paraId="06DBB418" w14:textId="458E258F" w:rsidR="00E66C87" w:rsidRPr="0014075D" w:rsidRDefault="00E66C87" w:rsidP="009B73BE">
            <w:pPr>
              <w:rPr>
                <w:rFonts w:cs="Calibri"/>
                <w:sz w:val="22"/>
                <w:szCs w:val="22"/>
              </w:rPr>
            </w:pPr>
            <w:r w:rsidRPr="0014075D">
              <w:rPr>
                <w:rFonts w:cs="Calibri"/>
                <w:sz w:val="22"/>
                <w:szCs w:val="22"/>
              </w:rPr>
              <w:t>None (whole / shredded</w:t>
            </w:r>
            <w:r w:rsidR="0014075D">
              <w:rPr>
                <w:rFonts w:cs="Calibri"/>
                <w:sz w:val="22"/>
                <w:szCs w:val="22"/>
              </w:rPr>
              <w:t>)</w:t>
            </w:r>
          </w:p>
        </w:tc>
        <w:tc>
          <w:tcPr>
            <w:tcW w:w="1273" w:type="dxa"/>
            <w:vAlign w:val="center"/>
          </w:tcPr>
          <w:p w14:paraId="3598A7F4" w14:textId="0405DE74" w:rsidR="00E66C87" w:rsidRPr="0014075D" w:rsidRDefault="009B73BE" w:rsidP="009B73BE">
            <w:pPr>
              <w:rPr>
                <w:rFonts w:cs="Calibri"/>
                <w:sz w:val="22"/>
                <w:szCs w:val="22"/>
              </w:rPr>
            </w:pPr>
            <w:r>
              <w:rPr>
                <w:rFonts w:cs="Calibri"/>
                <w:sz w:val="22"/>
                <w:szCs w:val="22"/>
              </w:rPr>
              <w:t>ROP</w:t>
            </w:r>
            <w:r w:rsidR="00E66C87" w:rsidRPr="0014075D">
              <w:rPr>
                <w:rFonts w:cs="Calibri"/>
                <w:sz w:val="22"/>
                <w:szCs w:val="22"/>
              </w:rPr>
              <w:t xml:space="preserve">, </w:t>
            </w:r>
            <w:r w:rsidR="000776DB">
              <w:rPr>
                <w:rFonts w:cs="Calibri"/>
                <w:sz w:val="22"/>
                <w:szCs w:val="22"/>
              </w:rPr>
              <w:t>V</w:t>
            </w:r>
            <w:r w:rsidR="00E66C87" w:rsidRPr="0014075D">
              <w:rPr>
                <w:rFonts w:cs="Calibri"/>
                <w:sz w:val="22"/>
                <w:szCs w:val="22"/>
              </w:rPr>
              <w:t>acuum</w:t>
            </w:r>
            <w:r>
              <w:rPr>
                <w:rFonts w:cs="Calibri"/>
                <w:sz w:val="22"/>
                <w:szCs w:val="22"/>
              </w:rPr>
              <w:t>,</w:t>
            </w:r>
            <w:r w:rsidR="00E66C87" w:rsidRPr="0014075D">
              <w:rPr>
                <w:rFonts w:cs="Calibri"/>
                <w:sz w:val="22"/>
                <w:szCs w:val="22"/>
              </w:rPr>
              <w:t xml:space="preserve"> or MAP</w:t>
            </w:r>
          </w:p>
        </w:tc>
        <w:tc>
          <w:tcPr>
            <w:tcW w:w="1350" w:type="dxa"/>
            <w:vAlign w:val="center"/>
          </w:tcPr>
          <w:p w14:paraId="3C700E10" w14:textId="24B15BD3" w:rsidR="00E66C87" w:rsidRPr="0014075D" w:rsidRDefault="00E66C87" w:rsidP="009B73BE">
            <w:pPr>
              <w:rPr>
                <w:rFonts w:cs="Calibri"/>
                <w:sz w:val="22"/>
                <w:szCs w:val="22"/>
              </w:rPr>
            </w:pPr>
            <w:r w:rsidRPr="0014075D">
              <w:rPr>
                <w:rFonts w:cs="Calibri"/>
                <w:sz w:val="22"/>
                <w:szCs w:val="22"/>
              </w:rPr>
              <w:t>Refrigerated</w:t>
            </w:r>
          </w:p>
        </w:tc>
        <w:tc>
          <w:tcPr>
            <w:tcW w:w="971" w:type="dxa"/>
            <w:vAlign w:val="center"/>
          </w:tcPr>
          <w:p w14:paraId="31D84E29" w14:textId="667610D7" w:rsidR="00E66C87" w:rsidRPr="0014075D" w:rsidRDefault="0014075D" w:rsidP="0014075D">
            <w:pPr>
              <w:jc w:val="center"/>
              <w:rPr>
                <w:rFonts w:cs="Calibri"/>
                <w:sz w:val="22"/>
                <w:szCs w:val="22"/>
              </w:rPr>
            </w:pPr>
            <w:r w:rsidRPr="0014075D">
              <w:rPr>
                <w:rFonts w:cs="Calibri"/>
                <w:sz w:val="22"/>
                <w:szCs w:val="22"/>
              </w:rPr>
              <w:t>X</w:t>
            </w:r>
          </w:p>
        </w:tc>
        <w:tc>
          <w:tcPr>
            <w:tcW w:w="1262" w:type="dxa"/>
            <w:vAlign w:val="center"/>
          </w:tcPr>
          <w:p w14:paraId="523B4646" w14:textId="76008EAF" w:rsidR="00E66C87" w:rsidRPr="0014075D" w:rsidRDefault="0014075D" w:rsidP="0014075D">
            <w:pPr>
              <w:jc w:val="center"/>
              <w:rPr>
                <w:rFonts w:cs="Calibri"/>
                <w:sz w:val="22"/>
                <w:szCs w:val="22"/>
              </w:rPr>
            </w:pPr>
            <w:r w:rsidRPr="0014075D">
              <w:rPr>
                <w:rFonts w:cs="Calibri"/>
                <w:sz w:val="22"/>
                <w:szCs w:val="22"/>
              </w:rPr>
              <w:t>X</w:t>
            </w:r>
          </w:p>
        </w:tc>
        <w:tc>
          <w:tcPr>
            <w:tcW w:w="1277" w:type="dxa"/>
            <w:vAlign w:val="center"/>
          </w:tcPr>
          <w:p w14:paraId="1240557B" w14:textId="19CFE275" w:rsidR="00E66C87" w:rsidRPr="0014075D" w:rsidRDefault="0014075D" w:rsidP="0014075D">
            <w:pPr>
              <w:jc w:val="center"/>
              <w:rPr>
                <w:rFonts w:cs="Calibri"/>
                <w:sz w:val="22"/>
                <w:szCs w:val="22"/>
              </w:rPr>
            </w:pPr>
            <w:r w:rsidRPr="0014075D">
              <w:rPr>
                <w:rFonts w:cs="Calibri"/>
                <w:sz w:val="22"/>
                <w:szCs w:val="22"/>
              </w:rPr>
              <w:t>X</w:t>
            </w:r>
          </w:p>
        </w:tc>
        <w:tc>
          <w:tcPr>
            <w:tcW w:w="1260" w:type="dxa"/>
            <w:vAlign w:val="center"/>
          </w:tcPr>
          <w:p w14:paraId="042B226B" w14:textId="53076D2A" w:rsidR="00E66C87" w:rsidRPr="0014075D" w:rsidRDefault="0014075D" w:rsidP="0014075D">
            <w:pPr>
              <w:jc w:val="center"/>
              <w:rPr>
                <w:rFonts w:cs="Calibri"/>
                <w:sz w:val="22"/>
                <w:szCs w:val="22"/>
              </w:rPr>
            </w:pPr>
            <w:r w:rsidRPr="0014075D">
              <w:rPr>
                <w:rFonts w:cs="Calibri"/>
                <w:sz w:val="22"/>
                <w:szCs w:val="22"/>
              </w:rPr>
              <w:t>X</w:t>
            </w:r>
          </w:p>
        </w:tc>
        <w:tc>
          <w:tcPr>
            <w:tcW w:w="1250" w:type="dxa"/>
            <w:vAlign w:val="center"/>
          </w:tcPr>
          <w:p w14:paraId="4D59838E" w14:textId="11984DB1"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720" w:type="dxa"/>
            <w:vAlign w:val="center"/>
          </w:tcPr>
          <w:p w14:paraId="23E9B782" w14:textId="072736EE" w:rsidR="00E66C87" w:rsidRPr="0014075D" w:rsidRDefault="0014075D" w:rsidP="0014075D">
            <w:pPr>
              <w:jc w:val="center"/>
              <w:rPr>
                <w:rFonts w:cs="Calibri"/>
                <w:sz w:val="22"/>
                <w:szCs w:val="22"/>
              </w:rPr>
            </w:pPr>
            <w:r w:rsidRPr="0014075D">
              <w:rPr>
                <w:rFonts w:cs="Calibri"/>
                <w:sz w:val="22"/>
                <w:szCs w:val="22"/>
              </w:rPr>
              <w:t>X</w:t>
            </w:r>
          </w:p>
        </w:tc>
        <w:tc>
          <w:tcPr>
            <w:tcW w:w="1620" w:type="dxa"/>
            <w:vAlign w:val="center"/>
          </w:tcPr>
          <w:p w14:paraId="5831AA9A" w14:textId="0E547A72"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90" w:type="dxa"/>
            <w:vAlign w:val="center"/>
          </w:tcPr>
          <w:p w14:paraId="4C1D17F2" w14:textId="7FCD6EF9" w:rsidR="00E66C87" w:rsidRPr="0014075D" w:rsidRDefault="0014075D" w:rsidP="0014075D">
            <w:pPr>
              <w:jc w:val="center"/>
              <w:rPr>
                <w:rFonts w:cs="Calibri"/>
                <w:sz w:val="22"/>
                <w:szCs w:val="22"/>
              </w:rPr>
            </w:pPr>
            <w:r w:rsidRPr="0014075D">
              <w:rPr>
                <w:rFonts w:cs="Calibri"/>
                <w:sz w:val="22"/>
                <w:szCs w:val="22"/>
              </w:rPr>
              <w:t>X</w:t>
            </w:r>
          </w:p>
        </w:tc>
        <w:tc>
          <w:tcPr>
            <w:tcW w:w="900" w:type="dxa"/>
            <w:tcBorders>
              <w:right w:val="single" w:sz="12" w:space="0" w:color="0D0D0D" w:themeColor="text1" w:themeTint="F2"/>
            </w:tcBorders>
            <w:vAlign w:val="center"/>
          </w:tcPr>
          <w:p w14:paraId="132C7589" w14:textId="3A44E336" w:rsidR="00E66C87" w:rsidRPr="0014075D" w:rsidRDefault="0014075D" w:rsidP="0014075D">
            <w:pPr>
              <w:jc w:val="center"/>
              <w:rPr>
                <w:rFonts w:cs="Calibri"/>
                <w:sz w:val="22"/>
                <w:szCs w:val="22"/>
              </w:rPr>
            </w:pPr>
            <w:r w:rsidRPr="0014075D">
              <w:rPr>
                <w:rFonts w:cs="Calibri"/>
                <w:sz w:val="22"/>
                <w:szCs w:val="22"/>
              </w:rPr>
              <w:t>X</w:t>
            </w:r>
          </w:p>
        </w:tc>
      </w:tr>
      <w:tr w:rsidR="0014075D" w:rsidRPr="0014075D" w14:paraId="3CB580C3" w14:textId="2BA5BB59" w:rsidTr="00D27879">
        <w:trPr>
          <w:trHeight w:val="255"/>
        </w:trPr>
        <w:tc>
          <w:tcPr>
            <w:tcW w:w="1257" w:type="dxa"/>
            <w:tcBorders>
              <w:left w:val="single" w:sz="12" w:space="0" w:color="0D0D0D" w:themeColor="text1" w:themeTint="F2"/>
              <w:bottom w:val="single" w:sz="12" w:space="0" w:color="0D0D0D" w:themeColor="text1" w:themeTint="F2"/>
            </w:tcBorders>
            <w:shd w:val="clear" w:color="auto" w:fill="D9D9D9" w:themeFill="background1" w:themeFillShade="D9"/>
            <w:vAlign w:val="center"/>
          </w:tcPr>
          <w:p w14:paraId="75270B95" w14:textId="7943ABBF" w:rsidR="00E66C87" w:rsidRPr="0014075D" w:rsidRDefault="00E66C87" w:rsidP="009B73BE">
            <w:pPr>
              <w:rPr>
                <w:rFonts w:cs="Calibri"/>
                <w:sz w:val="22"/>
                <w:szCs w:val="22"/>
              </w:rPr>
            </w:pPr>
            <w:r w:rsidRPr="0014075D">
              <w:rPr>
                <w:rFonts w:cs="Calibri"/>
                <w:sz w:val="22"/>
                <w:szCs w:val="22"/>
              </w:rPr>
              <w:t>None (whole / shredded</w:t>
            </w:r>
            <w:r w:rsidR="0014075D">
              <w:rPr>
                <w:rFonts w:cs="Calibri"/>
                <w:sz w:val="22"/>
                <w:szCs w:val="22"/>
              </w:rPr>
              <w:t>)</w:t>
            </w:r>
          </w:p>
        </w:tc>
        <w:tc>
          <w:tcPr>
            <w:tcW w:w="1273" w:type="dxa"/>
            <w:tcBorders>
              <w:bottom w:val="single" w:sz="12" w:space="0" w:color="0D0D0D" w:themeColor="text1" w:themeTint="F2"/>
            </w:tcBorders>
            <w:shd w:val="clear" w:color="auto" w:fill="D9D9D9" w:themeFill="background1" w:themeFillShade="D9"/>
            <w:vAlign w:val="center"/>
          </w:tcPr>
          <w:p w14:paraId="75F44C23" w14:textId="4932208E" w:rsidR="00E66C87" w:rsidRPr="000776DB" w:rsidRDefault="009B73BE" w:rsidP="009B73BE">
            <w:pPr>
              <w:rPr>
                <w:rFonts w:cs="Calibri"/>
                <w:i/>
                <w:iCs/>
                <w:sz w:val="22"/>
                <w:szCs w:val="22"/>
              </w:rPr>
            </w:pPr>
            <w:r w:rsidRPr="000776DB">
              <w:rPr>
                <w:rFonts w:cs="Calibri"/>
                <w:i/>
                <w:iCs/>
                <w:sz w:val="22"/>
                <w:szCs w:val="22"/>
              </w:rPr>
              <w:t>NA</w:t>
            </w:r>
          </w:p>
        </w:tc>
        <w:tc>
          <w:tcPr>
            <w:tcW w:w="1350" w:type="dxa"/>
            <w:tcBorders>
              <w:bottom w:val="single" w:sz="12" w:space="0" w:color="0D0D0D" w:themeColor="text1" w:themeTint="F2"/>
            </w:tcBorders>
            <w:shd w:val="clear" w:color="auto" w:fill="D9D9D9" w:themeFill="background1" w:themeFillShade="D9"/>
            <w:vAlign w:val="center"/>
          </w:tcPr>
          <w:p w14:paraId="3819C20B" w14:textId="19CB10EF" w:rsidR="00E66C87" w:rsidRPr="0014075D" w:rsidRDefault="00E66C87" w:rsidP="009B73BE">
            <w:pPr>
              <w:rPr>
                <w:rFonts w:cs="Calibri"/>
                <w:sz w:val="22"/>
                <w:szCs w:val="22"/>
              </w:rPr>
            </w:pPr>
            <w:r w:rsidRPr="0014075D">
              <w:rPr>
                <w:rFonts w:cs="Calibri"/>
                <w:sz w:val="22"/>
                <w:szCs w:val="22"/>
              </w:rPr>
              <w:t>Frozen</w:t>
            </w:r>
          </w:p>
        </w:tc>
        <w:tc>
          <w:tcPr>
            <w:tcW w:w="971" w:type="dxa"/>
            <w:tcBorders>
              <w:bottom w:val="single" w:sz="12" w:space="0" w:color="0D0D0D" w:themeColor="text1" w:themeTint="F2"/>
            </w:tcBorders>
            <w:shd w:val="clear" w:color="auto" w:fill="D9D9D9" w:themeFill="background1" w:themeFillShade="D9"/>
            <w:vAlign w:val="center"/>
          </w:tcPr>
          <w:p w14:paraId="4F35E60E" w14:textId="250298A0"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62" w:type="dxa"/>
            <w:tcBorders>
              <w:bottom w:val="single" w:sz="12" w:space="0" w:color="0D0D0D" w:themeColor="text1" w:themeTint="F2"/>
            </w:tcBorders>
            <w:shd w:val="clear" w:color="auto" w:fill="D9D9D9" w:themeFill="background1" w:themeFillShade="D9"/>
            <w:vAlign w:val="center"/>
          </w:tcPr>
          <w:p w14:paraId="61C77A8E" w14:textId="5DD2E8D6"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77" w:type="dxa"/>
            <w:tcBorders>
              <w:bottom w:val="single" w:sz="12" w:space="0" w:color="0D0D0D" w:themeColor="text1" w:themeTint="F2"/>
            </w:tcBorders>
            <w:shd w:val="clear" w:color="auto" w:fill="D9D9D9" w:themeFill="background1" w:themeFillShade="D9"/>
            <w:vAlign w:val="center"/>
          </w:tcPr>
          <w:p w14:paraId="525611B4" w14:textId="789A5F25"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60" w:type="dxa"/>
            <w:tcBorders>
              <w:bottom w:val="single" w:sz="12" w:space="0" w:color="0D0D0D" w:themeColor="text1" w:themeTint="F2"/>
            </w:tcBorders>
            <w:shd w:val="clear" w:color="auto" w:fill="D9D9D9" w:themeFill="background1" w:themeFillShade="D9"/>
            <w:vAlign w:val="center"/>
          </w:tcPr>
          <w:p w14:paraId="35643AC1" w14:textId="557EF816"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50" w:type="dxa"/>
            <w:tcBorders>
              <w:bottom w:val="single" w:sz="12" w:space="0" w:color="0D0D0D" w:themeColor="text1" w:themeTint="F2"/>
            </w:tcBorders>
            <w:shd w:val="clear" w:color="auto" w:fill="D9D9D9" w:themeFill="background1" w:themeFillShade="D9"/>
            <w:vAlign w:val="center"/>
          </w:tcPr>
          <w:p w14:paraId="16E08E55" w14:textId="34C2DB5C"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720" w:type="dxa"/>
            <w:tcBorders>
              <w:bottom w:val="single" w:sz="12" w:space="0" w:color="0D0D0D" w:themeColor="text1" w:themeTint="F2"/>
            </w:tcBorders>
            <w:shd w:val="clear" w:color="auto" w:fill="D9D9D9" w:themeFill="background1" w:themeFillShade="D9"/>
            <w:vAlign w:val="center"/>
          </w:tcPr>
          <w:p w14:paraId="0BB5A5E5" w14:textId="022CCF67" w:rsidR="00E66C87" w:rsidRPr="0014075D" w:rsidRDefault="0014075D" w:rsidP="0014075D">
            <w:pPr>
              <w:jc w:val="center"/>
              <w:rPr>
                <w:rFonts w:cs="Calibri"/>
                <w:sz w:val="22"/>
                <w:szCs w:val="22"/>
              </w:rPr>
            </w:pPr>
            <w:r w:rsidRPr="0014075D">
              <w:rPr>
                <w:rFonts w:cs="Calibri"/>
                <w:sz w:val="22"/>
                <w:szCs w:val="22"/>
              </w:rPr>
              <w:t>X</w:t>
            </w:r>
          </w:p>
        </w:tc>
        <w:tc>
          <w:tcPr>
            <w:tcW w:w="1620" w:type="dxa"/>
            <w:tcBorders>
              <w:bottom w:val="single" w:sz="12" w:space="0" w:color="0D0D0D" w:themeColor="text1" w:themeTint="F2"/>
            </w:tcBorders>
            <w:shd w:val="clear" w:color="auto" w:fill="D9D9D9" w:themeFill="background1" w:themeFillShade="D9"/>
            <w:vAlign w:val="center"/>
          </w:tcPr>
          <w:p w14:paraId="52A9EE8C" w14:textId="78195772"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90" w:type="dxa"/>
            <w:tcBorders>
              <w:bottom w:val="single" w:sz="12" w:space="0" w:color="0D0D0D" w:themeColor="text1" w:themeTint="F2"/>
            </w:tcBorders>
            <w:shd w:val="clear" w:color="auto" w:fill="D9D9D9" w:themeFill="background1" w:themeFillShade="D9"/>
            <w:vAlign w:val="center"/>
          </w:tcPr>
          <w:p w14:paraId="1011101D" w14:textId="61E24DBC"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00" w:type="dxa"/>
            <w:tcBorders>
              <w:bottom w:val="single" w:sz="12" w:space="0" w:color="0D0D0D" w:themeColor="text1" w:themeTint="F2"/>
              <w:right w:val="single" w:sz="12" w:space="0" w:color="0D0D0D" w:themeColor="text1" w:themeTint="F2"/>
            </w:tcBorders>
            <w:shd w:val="clear" w:color="auto" w:fill="D9D9D9" w:themeFill="background1" w:themeFillShade="D9"/>
            <w:vAlign w:val="center"/>
          </w:tcPr>
          <w:p w14:paraId="79A3E6A6" w14:textId="0672EE4E" w:rsidR="00E66C87" w:rsidRPr="0014075D" w:rsidRDefault="0014075D" w:rsidP="0014075D">
            <w:pPr>
              <w:jc w:val="center"/>
              <w:rPr>
                <w:rFonts w:cs="Calibri"/>
                <w:sz w:val="22"/>
                <w:szCs w:val="22"/>
              </w:rPr>
            </w:pPr>
            <w:r w:rsidRPr="0014075D">
              <w:rPr>
                <w:rFonts w:cs="Calibri"/>
                <w:sz w:val="22"/>
                <w:szCs w:val="22"/>
              </w:rPr>
              <w:t>X</w:t>
            </w:r>
          </w:p>
        </w:tc>
      </w:tr>
      <w:tr w:rsidR="0014075D" w:rsidRPr="0014075D" w14:paraId="6F627962" w14:textId="1FD45E66" w:rsidTr="00D27879">
        <w:trPr>
          <w:trHeight w:val="255"/>
        </w:trPr>
        <w:tc>
          <w:tcPr>
            <w:tcW w:w="1257" w:type="dxa"/>
            <w:tcBorders>
              <w:top w:val="single" w:sz="12" w:space="0" w:color="0D0D0D" w:themeColor="text1" w:themeTint="F2"/>
              <w:left w:val="single" w:sz="12" w:space="0" w:color="0D0D0D" w:themeColor="text1" w:themeTint="F2"/>
            </w:tcBorders>
            <w:vAlign w:val="center"/>
          </w:tcPr>
          <w:p w14:paraId="1A199741" w14:textId="4827C069" w:rsidR="00E66C87" w:rsidRPr="0014075D" w:rsidRDefault="00E66C87" w:rsidP="009B73BE">
            <w:pPr>
              <w:rPr>
                <w:rFonts w:cs="Calibri"/>
                <w:sz w:val="22"/>
                <w:szCs w:val="22"/>
              </w:rPr>
            </w:pPr>
            <w:r w:rsidRPr="0014075D">
              <w:rPr>
                <w:rFonts w:cs="Calibri"/>
                <w:sz w:val="22"/>
                <w:szCs w:val="22"/>
              </w:rPr>
              <w:t>Heat Treated</w:t>
            </w:r>
          </w:p>
        </w:tc>
        <w:tc>
          <w:tcPr>
            <w:tcW w:w="1273" w:type="dxa"/>
            <w:tcBorders>
              <w:top w:val="single" w:sz="12" w:space="0" w:color="0D0D0D" w:themeColor="text1" w:themeTint="F2"/>
            </w:tcBorders>
            <w:vAlign w:val="center"/>
          </w:tcPr>
          <w:p w14:paraId="62CC46FE" w14:textId="607BC8D4" w:rsidR="00E66C87" w:rsidRPr="0014075D" w:rsidRDefault="00E66C87" w:rsidP="009B73BE">
            <w:pPr>
              <w:rPr>
                <w:rFonts w:cs="Calibri"/>
                <w:sz w:val="22"/>
                <w:szCs w:val="22"/>
              </w:rPr>
            </w:pPr>
            <w:r w:rsidRPr="0014075D">
              <w:rPr>
                <w:rFonts w:cs="Calibri"/>
                <w:sz w:val="22"/>
                <w:szCs w:val="22"/>
              </w:rPr>
              <w:t>Oxygen Not Excluded</w:t>
            </w:r>
          </w:p>
        </w:tc>
        <w:tc>
          <w:tcPr>
            <w:tcW w:w="1350" w:type="dxa"/>
            <w:tcBorders>
              <w:top w:val="single" w:sz="12" w:space="0" w:color="0D0D0D" w:themeColor="text1" w:themeTint="F2"/>
            </w:tcBorders>
            <w:vAlign w:val="center"/>
          </w:tcPr>
          <w:p w14:paraId="51CC68D2" w14:textId="180B8942" w:rsidR="00E66C87" w:rsidRPr="0014075D" w:rsidRDefault="00E66C87" w:rsidP="009B73BE">
            <w:pPr>
              <w:rPr>
                <w:rFonts w:cs="Calibri"/>
                <w:sz w:val="22"/>
                <w:szCs w:val="22"/>
              </w:rPr>
            </w:pPr>
            <w:r w:rsidRPr="0014075D">
              <w:rPr>
                <w:rFonts w:cs="Calibri"/>
                <w:sz w:val="22"/>
                <w:szCs w:val="22"/>
              </w:rPr>
              <w:t>Refrigerated</w:t>
            </w:r>
          </w:p>
        </w:tc>
        <w:tc>
          <w:tcPr>
            <w:tcW w:w="971" w:type="dxa"/>
            <w:tcBorders>
              <w:top w:val="single" w:sz="12" w:space="0" w:color="0D0D0D" w:themeColor="text1" w:themeTint="F2"/>
            </w:tcBorders>
            <w:vAlign w:val="center"/>
          </w:tcPr>
          <w:p w14:paraId="29DE255E" w14:textId="5A7103BC" w:rsidR="00E66C87" w:rsidRPr="0014075D" w:rsidRDefault="0014075D" w:rsidP="0014075D">
            <w:pPr>
              <w:jc w:val="center"/>
              <w:rPr>
                <w:rFonts w:cs="Calibri"/>
                <w:sz w:val="22"/>
                <w:szCs w:val="22"/>
              </w:rPr>
            </w:pPr>
            <w:r w:rsidRPr="0014075D">
              <w:rPr>
                <w:rFonts w:cs="Calibri"/>
                <w:sz w:val="22"/>
                <w:szCs w:val="22"/>
              </w:rPr>
              <w:t>X</w:t>
            </w:r>
          </w:p>
        </w:tc>
        <w:tc>
          <w:tcPr>
            <w:tcW w:w="1262" w:type="dxa"/>
            <w:tcBorders>
              <w:top w:val="single" w:sz="12" w:space="0" w:color="0D0D0D" w:themeColor="text1" w:themeTint="F2"/>
            </w:tcBorders>
            <w:vAlign w:val="center"/>
          </w:tcPr>
          <w:p w14:paraId="4A4C6243" w14:textId="0E6EB8DA" w:rsidR="00E66C87" w:rsidRPr="0014075D" w:rsidRDefault="0014075D" w:rsidP="0014075D">
            <w:pPr>
              <w:jc w:val="center"/>
              <w:rPr>
                <w:rFonts w:cs="Calibri"/>
                <w:sz w:val="22"/>
                <w:szCs w:val="22"/>
              </w:rPr>
            </w:pPr>
            <w:r w:rsidRPr="0014075D">
              <w:rPr>
                <w:rFonts w:cs="Calibri"/>
                <w:sz w:val="22"/>
                <w:szCs w:val="22"/>
              </w:rPr>
              <w:t>X</w:t>
            </w:r>
          </w:p>
        </w:tc>
        <w:tc>
          <w:tcPr>
            <w:tcW w:w="1277" w:type="dxa"/>
            <w:tcBorders>
              <w:top w:val="single" w:sz="12" w:space="0" w:color="0D0D0D" w:themeColor="text1" w:themeTint="F2"/>
            </w:tcBorders>
            <w:vAlign w:val="center"/>
          </w:tcPr>
          <w:p w14:paraId="43724CEA" w14:textId="572F523B" w:rsidR="00E66C87" w:rsidRPr="0014075D" w:rsidRDefault="0014075D" w:rsidP="0014075D">
            <w:pPr>
              <w:jc w:val="center"/>
              <w:rPr>
                <w:rFonts w:cs="Calibri"/>
                <w:sz w:val="22"/>
                <w:szCs w:val="22"/>
              </w:rPr>
            </w:pPr>
            <w:r w:rsidRPr="0014075D">
              <w:rPr>
                <w:rFonts w:cs="Calibri"/>
                <w:sz w:val="22"/>
                <w:szCs w:val="22"/>
              </w:rPr>
              <w:t>X</w:t>
            </w:r>
          </w:p>
        </w:tc>
        <w:tc>
          <w:tcPr>
            <w:tcW w:w="1260" w:type="dxa"/>
            <w:tcBorders>
              <w:top w:val="single" w:sz="12" w:space="0" w:color="0D0D0D" w:themeColor="text1" w:themeTint="F2"/>
            </w:tcBorders>
            <w:vAlign w:val="center"/>
          </w:tcPr>
          <w:p w14:paraId="5B1174FA" w14:textId="5EF3D10E" w:rsidR="00E66C87" w:rsidRPr="0014075D" w:rsidRDefault="0014075D" w:rsidP="0014075D">
            <w:pPr>
              <w:jc w:val="center"/>
              <w:rPr>
                <w:rFonts w:cs="Calibri"/>
                <w:sz w:val="22"/>
                <w:szCs w:val="22"/>
              </w:rPr>
            </w:pPr>
            <w:r w:rsidRPr="0014075D">
              <w:rPr>
                <w:rFonts w:cs="Calibri"/>
                <w:sz w:val="22"/>
                <w:szCs w:val="22"/>
              </w:rPr>
              <w:t>X</w:t>
            </w:r>
          </w:p>
        </w:tc>
        <w:tc>
          <w:tcPr>
            <w:tcW w:w="1250" w:type="dxa"/>
            <w:tcBorders>
              <w:top w:val="single" w:sz="12" w:space="0" w:color="0D0D0D" w:themeColor="text1" w:themeTint="F2"/>
            </w:tcBorders>
            <w:vAlign w:val="center"/>
          </w:tcPr>
          <w:p w14:paraId="6AA4E829" w14:textId="528DB3D6" w:rsidR="00E66C87" w:rsidRPr="0014075D" w:rsidRDefault="0014075D" w:rsidP="0014075D">
            <w:pPr>
              <w:jc w:val="center"/>
              <w:rPr>
                <w:rFonts w:cs="Calibri"/>
                <w:sz w:val="22"/>
                <w:szCs w:val="22"/>
              </w:rPr>
            </w:pPr>
            <w:r w:rsidRPr="0014075D">
              <w:rPr>
                <w:rFonts w:cs="Calibri"/>
                <w:sz w:val="22"/>
                <w:szCs w:val="22"/>
              </w:rPr>
              <w:t>X</w:t>
            </w:r>
          </w:p>
        </w:tc>
        <w:tc>
          <w:tcPr>
            <w:tcW w:w="1720" w:type="dxa"/>
            <w:tcBorders>
              <w:top w:val="single" w:sz="12" w:space="0" w:color="0D0D0D" w:themeColor="text1" w:themeTint="F2"/>
            </w:tcBorders>
            <w:vAlign w:val="center"/>
          </w:tcPr>
          <w:p w14:paraId="6D196385" w14:textId="0C1D4437" w:rsidR="00E66C87" w:rsidRPr="0014075D" w:rsidRDefault="0014075D" w:rsidP="0014075D">
            <w:pPr>
              <w:jc w:val="center"/>
              <w:rPr>
                <w:rFonts w:cs="Calibri"/>
                <w:sz w:val="22"/>
                <w:szCs w:val="22"/>
              </w:rPr>
            </w:pPr>
            <w:r w:rsidRPr="0014075D">
              <w:rPr>
                <w:rFonts w:cs="Calibri"/>
                <w:sz w:val="22"/>
                <w:szCs w:val="22"/>
              </w:rPr>
              <w:t>X</w:t>
            </w:r>
          </w:p>
        </w:tc>
        <w:tc>
          <w:tcPr>
            <w:tcW w:w="1620" w:type="dxa"/>
            <w:tcBorders>
              <w:top w:val="single" w:sz="12" w:space="0" w:color="0D0D0D" w:themeColor="text1" w:themeTint="F2"/>
            </w:tcBorders>
            <w:vAlign w:val="center"/>
          </w:tcPr>
          <w:p w14:paraId="020BDCAE" w14:textId="3E54D420"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90" w:type="dxa"/>
            <w:tcBorders>
              <w:top w:val="single" w:sz="12" w:space="0" w:color="0D0D0D" w:themeColor="text1" w:themeTint="F2"/>
            </w:tcBorders>
            <w:vAlign w:val="center"/>
          </w:tcPr>
          <w:p w14:paraId="31363EB4" w14:textId="22BA24E9"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00" w:type="dxa"/>
            <w:tcBorders>
              <w:top w:val="single" w:sz="12" w:space="0" w:color="0D0D0D" w:themeColor="text1" w:themeTint="F2"/>
              <w:right w:val="single" w:sz="12" w:space="0" w:color="0D0D0D" w:themeColor="text1" w:themeTint="F2"/>
            </w:tcBorders>
            <w:vAlign w:val="center"/>
          </w:tcPr>
          <w:p w14:paraId="09105C75" w14:textId="44602FB4"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r>
      <w:tr w:rsidR="0014075D" w:rsidRPr="0014075D" w14:paraId="6D7B335F" w14:textId="53B7988B" w:rsidTr="00D27879">
        <w:trPr>
          <w:trHeight w:val="255"/>
        </w:trPr>
        <w:tc>
          <w:tcPr>
            <w:tcW w:w="1257" w:type="dxa"/>
            <w:tcBorders>
              <w:left w:val="single" w:sz="12" w:space="0" w:color="0D0D0D" w:themeColor="text1" w:themeTint="F2"/>
            </w:tcBorders>
            <w:shd w:val="clear" w:color="auto" w:fill="D9D9D9" w:themeFill="background1" w:themeFillShade="D9"/>
            <w:vAlign w:val="center"/>
          </w:tcPr>
          <w:p w14:paraId="2FD784A9" w14:textId="4799E3DC" w:rsidR="00E66C87" w:rsidRPr="0014075D" w:rsidRDefault="00E66C87" w:rsidP="009B73BE">
            <w:pPr>
              <w:rPr>
                <w:rFonts w:cs="Calibri"/>
                <w:sz w:val="22"/>
                <w:szCs w:val="22"/>
              </w:rPr>
            </w:pPr>
            <w:r w:rsidRPr="0014075D">
              <w:rPr>
                <w:rFonts w:cs="Calibri"/>
                <w:sz w:val="22"/>
                <w:szCs w:val="22"/>
              </w:rPr>
              <w:t>Heat Treated</w:t>
            </w:r>
          </w:p>
        </w:tc>
        <w:tc>
          <w:tcPr>
            <w:tcW w:w="1273" w:type="dxa"/>
            <w:shd w:val="clear" w:color="auto" w:fill="D9D9D9" w:themeFill="background1" w:themeFillShade="D9"/>
            <w:vAlign w:val="center"/>
          </w:tcPr>
          <w:p w14:paraId="7A091C23" w14:textId="09C02473" w:rsidR="00E66C87" w:rsidRPr="0014075D" w:rsidRDefault="009B73BE" w:rsidP="009B73BE">
            <w:pPr>
              <w:rPr>
                <w:rFonts w:cs="Calibri"/>
                <w:sz w:val="22"/>
                <w:szCs w:val="22"/>
              </w:rPr>
            </w:pPr>
            <w:r>
              <w:rPr>
                <w:rFonts w:cs="Calibri"/>
                <w:sz w:val="22"/>
                <w:szCs w:val="22"/>
              </w:rPr>
              <w:t>ROP</w:t>
            </w:r>
            <w:r w:rsidR="00E66C87" w:rsidRPr="0014075D">
              <w:rPr>
                <w:rFonts w:cs="Calibri"/>
                <w:sz w:val="22"/>
                <w:szCs w:val="22"/>
              </w:rPr>
              <w:t xml:space="preserve">, </w:t>
            </w:r>
            <w:r w:rsidR="000776DB">
              <w:rPr>
                <w:rFonts w:cs="Calibri"/>
                <w:sz w:val="22"/>
                <w:szCs w:val="22"/>
              </w:rPr>
              <w:t>V</w:t>
            </w:r>
            <w:r w:rsidR="00E66C87" w:rsidRPr="0014075D">
              <w:rPr>
                <w:rFonts w:cs="Calibri"/>
                <w:sz w:val="22"/>
                <w:szCs w:val="22"/>
              </w:rPr>
              <w:t>acuum</w:t>
            </w:r>
            <w:r>
              <w:rPr>
                <w:rFonts w:cs="Calibri"/>
                <w:sz w:val="22"/>
                <w:szCs w:val="22"/>
              </w:rPr>
              <w:t>,</w:t>
            </w:r>
            <w:r w:rsidR="00E66C87" w:rsidRPr="0014075D">
              <w:rPr>
                <w:rFonts w:cs="Calibri"/>
                <w:sz w:val="22"/>
                <w:szCs w:val="22"/>
              </w:rPr>
              <w:t xml:space="preserve"> or MAP</w:t>
            </w:r>
          </w:p>
        </w:tc>
        <w:tc>
          <w:tcPr>
            <w:tcW w:w="1350" w:type="dxa"/>
            <w:shd w:val="clear" w:color="auto" w:fill="D9D9D9" w:themeFill="background1" w:themeFillShade="D9"/>
            <w:vAlign w:val="center"/>
          </w:tcPr>
          <w:p w14:paraId="4A895543" w14:textId="0D9D58C9" w:rsidR="00E66C87" w:rsidRPr="0014075D" w:rsidRDefault="00E66C87" w:rsidP="009B73BE">
            <w:pPr>
              <w:rPr>
                <w:rFonts w:cs="Calibri"/>
                <w:sz w:val="22"/>
                <w:szCs w:val="22"/>
              </w:rPr>
            </w:pPr>
            <w:r w:rsidRPr="0014075D">
              <w:rPr>
                <w:rFonts w:cs="Calibri"/>
                <w:sz w:val="22"/>
                <w:szCs w:val="22"/>
              </w:rPr>
              <w:t>Refrigerated</w:t>
            </w:r>
          </w:p>
        </w:tc>
        <w:tc>
          <w:tcPr>
            <w:tcW w:w="971" w:type="dxa"/>
            <w:shd w:val="clear" w:color="auto" w:fill="D9D9D9" w:themeFill="background1" w:themeFillShade="D9"/>
            <w:vAlign w:val="center"/>
          </w:tcPr>
          <w:p w14:paraId="1198D092" w14:textId="3CA93843" w:rsidR="00E66C87" w:rsidRPr="0014075D" w:rsidRDefault="0014075D" w:rsidP="0014075D">
            <w:pPr>
              <w:jc w:val="center"/>
              <w:rPr>
                <w:rFonts w:cs="Calibri"/>
                <w:sz w:val="22"/>
                <w:szCs w:val="22"/>
              </w:rPr>
            </w:pPr>
            <w:r w:rsidRPr="0014075D">
              <w:rPr>
                <w:rFonts w:cs="Calibri"/>
                <w:sz w:val="22"/>
                <w:szCs w:val="22"/>
              </w:rPr>
              <w:t>X</w:t>
            </w:r>
          </w:p>
        </w:tc>
        <w:tc>
          <w:tcPr>
            <w:tcW w:w="1262" w:type="dxa"/>
            <w:shd w:val="clear" w:color="auto" w:fill="D9D9D9" w:themeFill="background1" w:themeFillShade="D9"/>
            <w:vAlign w:val="center"/>
          </w:tcPr>
          <w:p w14:paraId="2E8633BA" w14:textId="48B63E9D" w:rsidR="00E66C87" w:rsidRPr="0014075D" w:rsidRDefault="0014075D" w:rsidP="0014075D">
            <w:pPr>
              <w:jc w:val="center"/>
              <w:rPr>
                <w:rFonts w:cs="Calibri"/>
                <w:sz w:val="22"/>
                <w:szCs w:val="22"/>
              </w:rPr>
            </w:pPr>
            <w:r w:rsidRPr="0014075D">
              <w:rPr>
                <w:rFonts w:cs="Calibri"/>
                <w:sz w:val="22"/>
                <w:szCs w:val="22"/>
              </w:rPr>
              <w:t>X</w:t>
            </w:r>
          </w:p>
        </w:tc>
        <w:tc>
          <w:tcPr>
            <w:tcW w:w="1277" w:type="dxa"/>
            <w:shd w:val="clear" w:color="auto" w:fill="D9D9D9" w:themeFill="background1" w:themeFillShade="D9"/>
            <w:vAlign w:val="center"/>
          </w:tcPr>
          <w:p w14:paraId="20B2A0F5" w14:textId="4D729652" w:rsidR="00E66C87" w:rsidRPr="0014075D" w:rsidRDefault="0014075D" w:rsidP="0014075D">
            <w:pPr>
              <w:jc w:val="center"/>
              <w:rPr>
                <w:rFonts w:cs="Calibri"/>
                <w:sz w:val="22"/>
                <w:szCs w:val="22"/>
              </w:rPr>
            </w:pPr>
            <w:r w:rsidRPr="0014075D">
              <w:rPr>
                <w:rFonts w:cs="Calibri"/>
                <w:sz w:val="22"/>
                <w:szCs w:val="22"/>
              </w:rPr>
              <w:t>X</w:t>
            </w:r>
          </w:p>
        </w:tc>
        <w:tc>
          <w:tcPr>
            <w:tcW w:w="1260" w:type="dxa"/>
            <w:shd w:val="clear" w:color="auto" w:fill="D9D9D9" w:themeFill="background1" w:themeFillShade="D9"/>
            <w:vAlign w:val="center"/>
          </w:tcPr>
          <w:p w14:paraId="675CBE42" w14:textId="099E12C8"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50" w:type="dxa"/>
            <w:shd w:val="clear" w:color="auto" w:fill="D9D9D9" w:themeFill="background1" w:themeFillShade="D9"/>
            <w:vAlign w:val="center"/>
          </w:tcPr>
          <w:p w14:paraId="58654ADC" w14:textId="659870BD"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720" w:type="dxa"/>
            <w:shd w:val="clear" w:color="auto" w:fill="D9D9D9" w:themeFill="background1" w:themeFillShade="D9"/>
            <w:vAlign w:val="center"/>
          </w:tcPr>
          <w:p w14:paraId="3C680413" w14:textId="4EB51130"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620" w:type="dxa"/>
            <w:shd w:val="clear" w:color="auto" w:fill="D9D9D9" w:themeFill="background1" w:themeFillShade="D9"/>
            <w:vAlign w:val="center"/>
          </w:tcPr>
          <w:p w14:paraId="7D712829" w14:textId="74FC15EA"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90" w:type="dxa"/>
            <w:shd w:val="clear" w:color="auto" w:fill="D9D9D9" w:themeFill="background1" w:themeFillShade="D9"/>
            <w:vAlign w:val="center"/>
          </w:tcPr>
          <w:p w14:paraId="4563F47F" w14:textId="3EC98956"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00" w:type="dxa"/>
            <w:tcBorders>
              <w:right w:val="single" w:sz="12" w:space="0" w:color="0D0D0D" w:themeColor="text1" w:themeTint="F2"/>
            </w:tcBorders>
            <w:shd w:val="clear" w:color="auto" w:fill="D9D9D9" w:themeFill="background1" w:themeFillShade="D9"/>
            <w:vAlign w:val="center"/>
          </w:tcPr>
          <w:p w14:paraId="26A78A79" w14:textId="161B42E9"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r>
      <w:tr w:rsidR="00166F39" w:rsidRPr="0014075D" w14:paraId="71F1E4EC" w14:textId="77777777" w:rsidTr="00D27879">
        <w:trPr>
          <w:trHeight w:val="255"/>
        </w:trPr>
        <w:tc>
          <w:tcPr>
            <w:tcW w:w="1257" w:type="dxa"/>
            <w:tcBorders>
              <w:left w:val="single" w:sz="12" w:space="0" w:color="0D0D0D" w:themeColor="text1" w:themeTint="F2"/>
              <w:bottom w:val="single" w:sz="12" w:space="0" w:color="0D0D0D" w:themeColor="text1" w:themeTint="F2"/>
            </w:tcBorders>
            <w:vAlign w:val="center"/>
          </w:tcPr>
          <w:p w14:paraId="7B1F216A" w14:textId="75C75831" w:rsidR="00E66C87" w:rsidRPr="0014075D" w:rsidRDefault="00E66C87" w:rsidP="009B73BE">
            <w:pPr>
              <w:rPr>
                <w:rFonts w:cs="Calibri"/>
                <w:sz w:val="22"/>
                <w:szCs w:val="22"/>
              </w:rPr>
            </w:pPr>
            <w:r w:rsidRPr="0014075D">
              <w:rPr>
                <w:rFonts w:cs="Calibri"/>
                <w:sz w:val="22"/>
                <w:szCs w:val="22"/>
              </w:rPr>
              <w:t>Heat Treated</w:t>
            </w:r>
          </w:p>
        </w:tc>
        <w:tc>
          <w:tcPr>
            <w:tcW w:w="1273" w:type="dxa"/>
            <w:tcBorders>
              <w:bottom w:val="single" w:sz="12" w:space="0" w:color="0D0D0D" w:themeColor="text1" w:themeTint="F2"/>
            </w:tcBorders>
            <w:vAlign w:val="center"/>
          </w:tcPr>
          <w:p w14:paraId="7451C854" w14:textId="6407C5E0" w:rsidR="00E66C87" w:rsidRPr="000776DB" w:rsidRDefault="009B73BE" w:rsidP="009B73BE">
            <w:pPr>
              <w:rPr>
                <w:rFonts w:cs="Calibri"/>
                <w:i/>
                <w:iCs/>
                <w:sz w:val="22"/>
                <w:szCs w:val="22"/>
              </w:rPr>
            </w:pPr>
            <w:r w:rsidRPr="000776DB">
              <w:rPr>
                <w:rFonts w:cs="Calibri"/>
                <w:i/>
                <w:iCs/>
                <w:sz w:val="22"/>
                <w:szCs w:val="22"/>
              </w:rPr>
              <w:t>NA</w:t>
            </w:r>
          </w:p>
        </w:tc>
        <w:tc>
          <w:tcPr>
            <w:tcW w:w="1350" w:type="dxa"/>
            <w:tcBorders>
              <w:bottom w:val="single" w:sz="12" w:space="0" w:color="0D0D0D" w:themeColor="text1" w:themeTint="F2"/>
            </w:tcBorders>
            <w:vAlign w:val="center"/>
          </w:tcPr>
          <w:p w14:paraId="007F4338" w14:textId="0C7B4FEF" w:rsidR="00E66C87" w:rsidRPr="0014075D" w:rsidRDefault="00E66C87" w:rsidP="009B73BE">
            <w:pPr>
              <w:rPr>
                <w:rFonts w:cs="Calibri"/>
                <w:sz w:val="22"/>
                <w:szCs w:val="22"/>
              </w:rPr>
            </w:pPr>
            <w:r w:rsidRPr="0014075D">
              <w:rPr>
                <w:rFonts w:cs="Calibri"/>
                <w:sz w:val="22"/>
                <w:szCs w:val="22"/>
              </w:rPr>
              <w:t>Frozen</w:t>
            </w:r>
          </w:p>
        </w:tc>
        <w:tc>
          <w:tcPr>
            <w:tcW w:w="971" w:type="dxa"/>
            <w:tcBorders>
              <w:bottom w:val="single" w:sz="12" w:space="0" w:color="0D0D0D" w:themeColor="text1" w:themeTint="F2"/>
            </w:tcBorders>
            <w:vAlign w:val="center"/>
          </w:tcPr>
          <w:p w14:paraId="2D4262D5" w14:textId="5139139A"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62" w:type="dxa"/>
            <w:tcBorders>
              <w:bottom w:val="single" w:sz="12" w:space="0" w:color="0D0D0D" w:themeColor="text1" w:themeTint="F2"/>
            </w:tcBorders>
            <w:vAlign w:val="center"/>
          </w:tcPr>
          <w:p w14:paraId="66D654A7" w14:textId="448B5496"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77" w:type="dxa"/>
            <w:tcBorders>
              <w:bottom w:val="single" w:sz="12" w:space="0" w:color="0D0D0D" w:themeColor="text1" w:themeTint="F2"/>
            </w:tcBorders>
            <w:vAlign w:val="center"/>
          </w:tcPr>
          <w:p w14:paraId="477A76C0" w14:textId="5E613B4B"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60" w:type="dxa"/>
            <w:tcBorders>
              <w:bottom w:val="single" w:sz="12" w:space="0" w:color="0D0D0D" w:themeColor="text1" w:themeTint="F2"/>
            </w:tcBorders>
            <w:vAlign w:val="center"/>
          </w:tcPr>
          <w:p w14:paraId="402A9172" w14:textId="097E31E4"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50" w:type="dxa"/>
            <w:tcBorders>
              <w:bottom w:val="single" w:sz="12" w:space="0" w:color="0D0D0D" w:themeColor="text1" w:themeTint="F2"/>
            </w:tcBorders>
            <w:vAlign w:val="center"/>
          </w:tcPr>
          <w:p w14:paraId="3C1A9942" w14:textId="2F529281"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720" w:type="dxa"/>
            <w:tcBorders>
              <w:bottom w:val="single" w:sz="12" w:space="0" w:color="0D0D0D" w:themeColor="text1" w:themeTint="F2"/>
            </w:tcBorders>
            <w:vAlign w:val="center"/>
          </w:tcPr>
          <w:p w14:paraId="63764075" w14:textId="59CEA263" w:rsidR="00E66C87" w:rsidRPr="0014075D" w:rsidRDefault="0014075D" w:rsidP="0014075D">
            <w:pPr>
              <w:jc w:val="center"/>
              <w:rPr>
                <w:rFonts w:cs="Calibri"/>
                <w:sz w:val="22"/>
                <w:szCs w:val="22"/>
              </w:rPr>
            </w:pPr>
            <w:r w:rsidRPr="0014075D">
              <w:rPr>
                <w:rFonts w:cs="Calibri"/>
                <w:sz w:val="22"/>
                <w:szCs w:val="22"/>
              </w:rPr>
              <w:t>X</w:t>
            </w:r>
          </w:p>
        </w:tc>
        <w:tc>
          <w:tcPr>
            <w:tcW w:w="1620" w:type="dxa"/>
            <w:tcBorders>
              <w:bottom w:val="single" w:sz="12" w:space="0" w:color="0D0D0D" w:themeColor="text1" w:themeTint="F2"/>
            </w:tcBorders>
            <w:vAlign w:val="center"/>
          </w:tcPr>
          <w:p w14:paraId="4A93AD48" w14:textId="68E42A92"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90" w:type="dxa"/>
            <w:tcBorders>
              <w:bottom w:val="single" w:sz="12" w:space="0" w:color="0D0D0D" w:themeColor="text1" w:themeTint="F2"/>
            </w:tcBorders>
            <w:vAlign w:val="center"/>
          </w:tcPr>
          <w:p w14:paraId="1E6B88C3" w14:textId="5ACE0DC8"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00" w:type="dxa"/>
            <w:tcBorders>
              <w:bottom w:val="single" w:sz="12" w:space="0" w:color="0D0D0D" w:themeColor="text1" w:themeTint="F2"/>
              <w:right w:val="single" w:sz="12" w:space="0" w:color="0D0D0D" w:themeColor="text1" w:themeTint="F2"/>
            </w:tcBorders>
            <w:vAlign w:val="center"/>
          </w:tcPr>
          <w:p w14:paraId="1E6A6002" w14:textId="1590A10C"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r>
      <w:tr w:rsidR="00166F39" w:rsidRPr="0014075D" w14:paraId="697CA161" w14:textId="77777777" w:rsidTr="00D27879">
        <w:trPr>
          <w:trHeight w:val="404"/>
        </w:trPr>
        <w:tc>
          <w:tcPr>
            <w:tcW w:w="1257" w:type="dxa"/>
            <w:tcBorders>
              <w:top w:val="single" w:sz="12" w:space="0" w:color="0D0D0D" w:themeColor="text1" w:themeTint="F2"/>
              <w:left w:val="single" w:sz="12" w:space="0" w:color="0D0D0D" w:themeColor="text1" w:themeTint="F2"/>
            </w:tcBorders>
            <w:shd w:val="clear" w:color="auto" w:fill="D9D9D9" w:themeFill="background1" w:themeFillShade="D9"/>
            <w:vAlign w:val="center"/>
          </w:tcPr>
          <w:p w14:paraId="67E8146A" w14:textId="5EE3656C" w:rsidR="00E66C87" w:rsidRPr="0014075D" w:rsidRDefault="00E66C87" w:rsidP="009B73BE">
            <w:pPr>
              <w:rPr>
                <w:rFonts w:cs="Calibri"/>
                <w:sz w:val="22"/>
                <w:szCs w:val="22"/>
              </w:rPr>
            </w:pPr>
            <w:hyperlink w:anchor="Salting" w:tooltip="Adding salt to foods to preserve or enhance the food, sometimes referred to as dry brining" w:history="1">
              <w:r w:rsidRPr="003E23E8">
                <w:rPr>
                  <w:rStyle w:val="Hyperlink"/>
                  <w:rFonts w:cs="Calibri"/>
                  <w:sz w:val="22"/>
                  <w:szCs w:val="22"/>
                </w:rPr>
                <w:t>Salted</w:t>
              </w:r>
            </w:hyperlink>
          </w:p>
        </w:tc>
        <w:tc>
          <w:tcPr>
            <w:tcW w:w="1273" w:type="dxa"/>
            <w:tcBorders>
              <w:top w:val="single" w:sz="12" w:space="0" w:color="0D0D0D" w:themeColor="text1" w:themeTint="F2"/>
            </w:tcBorders>
            <w:shd w:val="clear" w:color="auto" w:fill="D9D9D9" w:themeFill="background1" w:themeFillShade="D9"/>
            <w:vAlign w:val="center"/>
          </w:tcPr>
          <w:p w14:paraId="4D6408E3" w14:textId="24A5CA62" w:rsidR="00E66C87" w:rsidRPr="000776DB" w:rsidRDefault="009B73BE" w:rsidP="009B73BE">
            <w:pPr>
              <w:rPr>
                <w:rFonts w:cs="Calibri"/>
                <w:i/>
                <w:iCs/>
                <w:sz w:val="22"/>
                <w:szCs w:val="22"/>
              </w:rPr>
            </w:pPr>
            <w:r w:rsidRPr="000776DB">
              <w:rPr>
                <w:rFonts w:cs="Calibri"/>
                <w:i/>
                <w:iCs/>
                <w:sz w:val="22"/>
                <w:szCs w:val="22"/>
              </w:rPr>
              <w:t>NA</w:t>
            </w:r>
          </w:p>
        </w:tc>
        <w:tc>
          <w:tcPr>
            <w:tcW w:w="1350" w:type="dxa"/>
            <w:tcBorders>
              <w:top w:val="single" w:sz="12" w:space="0" w:color="0D0D0D" w:themeColor="text1" w:themeTint="F2"/>
            </w:tcBorders>
            <w:shd w:val="clear" w:color="auto" w:fill="D9D9D9" w:themeFill="background1" w:themeFillShade="D9"/>
            <w:vAlign w:val="center"/>
          </w:tcPr>
          <w:p w14:paraId="11B5D944" w14:textId="7CE7BE24" w:rsidR="00E66C87" w:rsidRPr="0014075D" w:rsidRDefault="00E66C87" w:rsidP="009B73BE">
            <w:pPr>
              <w:rPr>
                <w:rFonts w:cs="Calibri"/>
                <w:sz w:val="22"/>
                <w:szCs w:val="22"/>
              </w:rPr>
            </w:pPr>
            <w:r w:rsidRPr="0014075D">
              <w:rPr>
                <w:rFonts w:cs="Calibri"/>
                <w:sz w:val="22"/>
                <w:szCs w:val="22"/>
              </w:rPr>
              <w:t>Ambient</w:t>
            </w:r>
          </w:p>
        </w:tc>
        <w:tc>
          <w:tcPr>
            <w:tcW w:w="971" w:type="dxa"/>
            <w:tcBorders>
              <w:top w:val="single" w:sz="12" w:space="0" w:color="0D0D0D" w:themeColor="text1" w:themeTint="F2"/>
            </w:tcBorders>
            <w:shd w:val="clear" w:color="auto" w:fill="D9D9D9" w:themeFill="background1" w:themeFillShade="D9"/>
            <w:vAlign w:val="center"/>
          </w:tcPr>
          <w:p w14:paraId="085CAF4B" w14:textId="25B217E1"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62" w:type="dxa"/>
            <w:tcBorders>
              <w:top w:val="single" w:sz="12" w:space="0" w:color="0D0D0D" w:themeColor="text1" w:themeTint="F2"/>
            </w:tcBorders>
            <w:shd w:val="clear" w:color="auto" w:fill="D9D9D9" w:themeFill="background1" w:themeFillShade="D9"/>
            <w:vAlign w:val="center"/>
          </w:tcPr>
          <w:p w14:paraId="66BD7C74" w14:textId="25892DCB"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77" w:type="dxa"/>
            <w:tcBorders>
              <w:top w:val="single" w:sz="12" w:space="0" w:color="0D0D0D" w:themeColor="text1" w:themeTint="F2"/>
            </w:tcBorders>
            <w:shd w:val="clear" w:color="auto" w:fill="D9D9D9" w:themeFill="background1" w:themeFillShade="D9"/>
            <w:vAlign w:val="center"/>
          </w:tcPr>
          <w:p w14:paraId="0E5C4E6D" w14:textId="74E664FF"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60" w:type="dxa"/>
            <w:tcBorders>
              <w:top w:val="single" w:sz="12" w:space="0" w:color="0D0D0D" w:themeColor="text1" w:themeTint="F2"/>
            </w:tcBorders>
            <w:shd w:val="clear" w:color="auto" w:fill="D9D9D9" w:themeFill="background1" w:themeFillShade="D9"/>
            <w:vAlign w:val="center"/>
          </w:tcPr>
          <w:p w14:paraId="06396EBD" w14:textId="4AA7ED09" w:rsidR="00E66C87" w:rsidRPr="0014075D" w:rsidRDefault="0014075D" w:rsidP="0014075D">
            <w:pPr>
              <w:jc w:val="center"/>
              <w:rPr>
                <w:rFonts w:cs="Calibri"/>
                <w:sz w:val="22"/>
                <w:szCs w:val="22"/>
              </w:rPr>
            </w:pPr>
            <w:r w:rsidRPr="0014075D">
              <w:rPr>
                <w:rFonts w:cs="Calibri"/>
                <w:sz w:val="22"/>
                <w:szCs w:val="22"/>
              </w:rPr>
              <w:t>X</w:t>
            </w:r>
          </w:p>
        </w:tc>
        <w:tc>
          <w:tcPr>
            <w:tcW w:w="1250" w:type="dxa"/>
            <w:tcBorders>
              <w:top w:val="single" w:sz="12" w:space="0" w:color="0D0D0D" w:themeColor="text1" w:themeTint="F2"/>
            </w:tcBorders>
            <w:shd w:val="clear" w:color="auto" w:fill="D9D9D9" w:themeFill="background1" w:themeFillShade="D9"/>
            <w:vAlign w:val="center"/>
          </w:tcPr>
          <w:p w14:paraId="6459F28B" w14:textId="2138EBEA" w:rsidR="00E66C87" w:rsidRPr="0014075D" w:rsidRDefault="0014075D" w:rsidP="0014075D">
            <w:pPr>
              <w:jc w:val="center"/>
              <w:rPr>
                <w:rFonts w:cs="Calibri"/>
                <w:sz w:val="22"/>
                <w:szCs w:val="22"/>
              </w:rPr>
            </w:pPr>
            <w:r w:rsidRPr="0014075D">
              <w:rPr>
                <w:rFonts w:cs="Calibri"/>
                <w:sz w:val="22"/>
                <w:szCs w:val="22"/>
              </w:rPr>
              <w:t>X</w:t>
            </w:r>
          </w:p>
        </w:tc>
        <w:tc>
          <w:tcPr>
            <w:tcW w:w="1720" w:type="dxa"/>
            <w:tcBorders>
              <w:top w:val="single" w:sz="12" w:space="0" w:color="0D0D0D" w:themeColor="text1" w:themeTint="F2"/>
            </w:tcBorders>
            <w:shd w:val="clear" w:color="auto" w:fill="D9D9D9" w:themeFill="background1" w:themeFillShade="D9"/>
            <w:vAlign w:val="center"/>
          </w:tcPr>
          <w:p w14:paraId="69BAACF0" w14:textId="67388778" w:rsidR="00E66C87" w:rsidRPr="0014075D" w:rsidRDefault="0014075D" w:rsidP="0014075D">
            <w:pPr>
              <w:jc w:val="center"/>
              <w:rPr>
                <w:rFonts w:cs="Calibri"/>
                <w:sz w:val="22"/>
                <w:szCs w:val="22"/>
              </w:rPr>
            </w:pPr>
            <w:r w:rsidRPr="0014075D">
              <w:rPr>
                <w:rFonts w:cs="Calibri"/>
                <w:sz w:val="22"/>
                <w:szCs w:val="22"/>
              </w:rPr>
              <w:t>X</w:t>
            </w:r>
          </w:p>
        </w:tc>
        <w:tc>
          <w:tcPr>
            <w:tcW w:w="1620" w:type="dxa"/>
            <w:tcBorders>
              <w:top w:val="single" w:sz="12" w:space="0" w:color="0D0D0D" w:themeColor="text1" w:themeTint="F2"/>
            </w:tcBorders>
            <w:shd w:val="clear" w:color="auto" w:fill="D9D9D9" w:themeFill="background1" w:themeFillShade="D9"/>
            <w:vAlign w:val="center"/>
          </w:tcPr>
          <w:p w14:paraId="3989695A" w14:textId="7EB1FD80" w:rsidR="00E66C87" w:rsidRPr="0014075D" w:rsidRDefault="0014075D" w:rsidP="0014075D">
            <w:pPr>
              <w:jc w:val="center"/>
              <w:rPr>
                <w:rFonts w:cs="Calibri"/>
                <w:sz w:val="22"/>
                <w:szCs w:val="22"/>
              </w:rPr>
            </w:pPr>
            <w:r w:rsidRPr="0014075D">
              <w:rPr>
                <w:rFonts w:cs="Calibri"/>
                <w:sz w:val="22"/>
                <w:szCs w:val="22"/>
              </w:rPr>
              <w:t>X</w:t>
            </w:r>
          </w:p>
        </w:tc>
        <w:tc>
          <w:tcPr>
            <w:tcW w:w="990" w:type="dxa"/>
            <w:tcBorders>
              <w:top w:val="single" w:sz="12" w:space="0" w:color="0D0D0D" w:themeColor="text1" w:themeTint="F2"/>
            </w:tcBorders>
            <w:shd w:val="clear" w:color="auto" w:fill="D9D9D9" w:themeFill="background1" w:themeFillShade="D9"/>
            <w:vAlign w:val="center"/>
          </w:tcPr>
          <w:p w14:paraId="679B6654" w14:textId="060FD317"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00" w:type="dxa"/>
            <w:tcBorders>
              <w:top w:val="single" w:sz="12" w:space="0" w:color="0D0D0D" w:themeColor="text1" w:themeTint="F2"/>
              <w:right w:val="single" w:sz="12" w:space="0" w:color="0D0D0D" w:themeColor="text1" w:themeTint="F2"/>
            </w:tcBorders>
            <w:shd w:val="clear" w:color="auto" w:fill="D9D9D9" w:themeFill="background1" w:themeFillShade="D9"/>
            <w:vAlign w:val="center"/>
          </w:tcPr>
          <w:p w14:paraId="4FB18D0A" w14:textId="5FFAAB55"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r>
      <w:tr w:rsidR="00166F39" w:rsidRPr="0014075D" w14:paraId="78A4040B" w14:textId="77777777" w:rsidTr="00D27879">
        <w:trPr>
          <w:trHeight w:val="431"/>
        </w:trPr>
        <w:tc>
          <w:tcPr>
            <w:tcW w:w="1257" w:type="dxa"/>
            <w:tcBorders>
              <w:left w:val="single" w:sz="12" w:space="0" w:color="0D0D0D" w:themeColor="text1" w:themeTint="F2"/>
              <w:bottom w:val="single" w:sz="12" w:space="0" w:color="0D0D0D" w:themeColor="text1" w:themeTint="F2"/>
            </w:tcBorders>
            <w:vAlign w:val="center"/>
          </w:tcPr>
          <w:p w14:paraId="4899746B" w14:textId="49C8368B" w:rsidR="00E66C87" w:rsidRPr="0014075D" w:rsidRDefault="00E66C87" w:rsidP="009B73BE">
            <w:pPr>
              <w:rPr>
                <w:rFonts w:cs="Calibri"/>
                <w:sz w:val="22"/>
                <w:szCs w:val="22"/>
              </w:rPr>
            </w:pPr>
            <w:r w:rsidRPr="0014075D">
              <w:rPr>
                <w:rFonts w:cs="Calibri"/>
                <w:sz w:val="22"/>
                <w:szCs w:val="22"/>
              </w:rPr>
              <w:t>Salted</w:t>
            </w:r>
          </w:p>
        </w:tc>
        <w:tc>
          <w:tcPr>
            <w:tcW w:w="1273" w:type="dxa"/>
            <w:tcBorders>
              <w:bottom w:val="single" w:sz="12" w:space="0" w:color="0D0D0D" w:themeColor="text1" w:themeTint="F2"/>
            </w:tcBorders>
            <w:vAlign w:val="center"/>
          </w:tcPr>
          <w:p w14:paraId="42140403" w14:textId="675B7DED" w:rsidR="00E66C87" w:rsidRPr="000776DB" w:rsidRDefault="009B73BE" w:rsidP="009B73BE">
            <w:pPr>
              <w:rPr>
                <w:rFonts w:cs="Calibri"/>
                <w:i/>
                <w:iCs/>
                <w:sz w:val="22"/>
                <w:szCs w:val="22"/>
              </w:rPr>
            </w:pPr>
            <w:r w:rsidRPr="000776DB">
              <w:rPr>
                <w:rFonts w:cs="Calibri"/>
                <w:i/>
                <w:iCs/>
                <w:sz w:val="22"/>
                <w:szCs w:val="22"/>
              </w:rPr>
              <w:t>NA</w:t>
            </w:r>
          </w:p>
        </w:tc>
        <w:tc>
          <w:tcPr>
            <w:tcW w:w="1350" w:type="dxa"/>
            <w:tcBorders>
              <w:bottom w:val="single" w:sz="12" w:space="0" w:color="0D0D0D" w:themeColor="text1" w:themeTint="F2"/>
            </w:tcBorders>
            <w:vAlign w:val="center"/>
          </w:tcPr>
          <w:p w14:paraId="14EACA73" w14:textId="297F5DAF" w:rsidR="00E66C87" w:rsidRPr="0014075D" w:rsidRDefault="00E66C87" w:rsidP="009B73BE">
            <w:pPr>
              <w:rPr>
                <w:rFonts w:cs="Calibri"/>
                <w:sz w:val="22"/>
                <w:szCs w:val="22"/>
              </w:rPr>
            </w:pPr>
            <w:r w:rsidRPr="0014075D">
              <w:rPr>
                <w:rFonts w:cs="Calibri"/>
                <w:sz w:val="22"/>
                <w:szCs w:val="22"/>
              </w:rPr>
              <w:t>Refrigerated</w:t>
            </w:r>
          </w:p>
        </w:tc>
        <w:tc>
          <w:tcPr>
            <w:tcW w:w="971" w:type="dxa"/>
            <w:tcBorders>
              <w:bottom w:val="single" w:sz="12" w:space="0" w:color="0D0D0D" w:themeColor="text1" w:themeTint="F2"/>
            </w:tcBorders>
            <w:vAlign w:val="center"/>
          </w:tcPr>
          <w:p w14:paraId="0E654BB6" w14:textId="3E3B924B"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62" w:type="dxa"/>
            <w:tcBorders>
              <w:bottom w:val="single" w:sz="12" w:space="0" w:color="0D0D0D" w:themeColor="text1" w:themeTint="F2"/>
            </w:tcBorders>
            <w:vAlign w:val="center"/>
          </w:tcPr>
          <w:p w14:paraId="5F1645DB" w14:textId="28059D78"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77" w:type="dxa"/>
            <w:tcBorders>
              <w:bottom w:val="single" w:sz="12" w:space="0" w:color="0D0D0D" w:themeColor="text1" w:themeTint="F2"/>
            </w:tcBorders>
            <w:vAlign w:val="center"/>
          </w:tcPr>
          <w:p w14:paraId="7482B9FF" w14:textId="75A94C8F"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60" w:type="dxa"/>
            <w:tcBorders>
              <w:bottom w:val="single" w:sz="12" w:space="0" w:color="0D0D0D" w:themeColor="text1" w:themeTint="F2"/>
            </w:tcBorders>
            <w:vAlign w:val="center"/>
          </w:tcPr>
          <w:p w14:paraId="56266ADD" w14:textId="273D6224" w:rsidR="00E66C87" w:rsidRPr="0014075D" w:rsidRDefault="0014075D" w:rsidP="0014075D">
            <w:pPr>
              <w:jc w:val="center"/>
              <w:rPr>
                <w:rFonts w:cs="Calibri"/>
                <w:sz w:val="22"/>
                <w:szCs w:val="22"/>
              </w:rPr>
            </w:pPr>
            <w:r w:rsidRPr="0014075D">
              <w:rPr>
                <w:rFonts w:cs="Calibri"/>
                <w:sz w:val="22"/>
                <w:szCs w:val="22"/>
              </w:rPr>
              <w:t>X</w:t>
            </w:r>
          </w:p>
        </w:tc>
        <w:tc>
          <w:tcPr>
            <w:tcW w:w="1250" w:type="dxa"/>
            <w:tcBorders>
              <w:bottom w:val="single" w:sz="12" w:space="0" w:color="0D0D0D" w:themeColor="text1" w:themeTint="F2"/>
            </w:tcBorders>
            <w:vAlign w:val="center"/>
          </w:tcPr>
          <w:p w14:paraId="1ADE8A9C" w14:textId="1FBF3B50" w:rsidR="00E66C87" w:rsidRPr="0014075D" w:rsidRDefault="0014075D" w:rsidP="0014075D">
            <w:pPr>
              <w:jc w:val="center"/>
              <w:rPr>
                <w:rFonts w:cs="Calibri"/>
                <w:sz w:val="22"/>
                <w:szCs w:val="22"/>
              </w:rPr>
            </w:pPr>
            <w:r w:rsidRPr="0014075D">
              <w:rPr>
                <w:rFonts w:cs="Calibri"/>
                <w:sz w:val="22"/>
                <w:szCs w:val="22"/>
              </w:rPr>
              <w:t>X</w:t>
            </w:r>
          </w:p>
        </w:tc>
        <w:tc>
          <w:tcPr>
            <w:tcW w:w="1720" w:type="dxa"/>
            <w:tcBorders>
              <w:bottom w:val="single" w:sz="12" w:space="0" w:color="0D0D0D" w:themeColor="text1" w:themeTint="F2"/>
            </w:tcBorders>
            <w:vAlign w:val="center"/>
          </w:tcPr>
          <w:p w14:paraId="667852D8" w14:textId="62B934C0" w:rsidR="00E66C87" w:rsidRPr="0014075D" w:rsidRDefault="0014075D" w:rsidP="0014075D">
            <w:pPr>
              <w:jc w:val="center"/>
              <w:rPr>
                <w:rFonts w:cs="Calibri"/>
                <w:sz w:val="22"/>
                <w:szCs w:val="22"/>
              </w:rPr>
            </w:pPr>
            <w:r w:rsidRPr="0014075D">
              <w:rPr>
                <w:rFonts w:cs="Calibri"/>
                <w:sz w:val="22"/>
                <w:szCs w:val="22"/>
              </w:rPr>
              <w:t>X</w:t>
            </w:r>
          </w:p>
        </w:tc>
        <w:tc>
          <w:tcPr>
            <w:tcW w:w="1620" w:type="dxa"/>
            <w:tcBorders>
              <w:bottom w:val="single" w:sz="12" w:space="0" w:color="0D0D0D" w:themeColor="text1" w:themeTint="F2"/>
            </w:tcBorders>
            <w:vAlign w:val="center"/>
          </w:tcPr>
          <w:p w14:paraId="310F0FF2" w14:textId="7629A42E" w:rsidR="00E66C87" w:rsidRPr="0014075D" w:rsidRDefault="0014075D" w:rsidP="0014075D">
            <w:pPr>
              <w:jc w:val="center"/>
              <w:rPr>
                <w:rFonts w:cs="Calibri"/>
                <w:sz w:val="22"/>
                <w:szCs w:val="22"/>
              </w:rPr>
            </w:pPr>
            <w:r w:rsidRPr="0014075D">
              <w:rPr>
                <w:rFonts w:cs="Calibri"/>
                <w:sz w:val="22"/>
                <w:szCs w:val="22"/>
              </w:rPr>
              <w:t>X</w:t>
            </w:r>
          </w:p>
        </w:tc>
        <w:tc>
          <w:tcPr>
            <w:tcW w:w="990" w:type="dxa"/>
            <w:tcBorders>
              <w:bottom w:val="single" w:sz="12" w:space="0" w:color="0D0D0D" w:themeColor="text1" w:themeTint="F2"/>
            </w:tcBorders>
            <w:vAlign w:val="center"/>
          </w:tcPr>
          <w:p w14:paraId="29E38AD6" w14:textId="0CCBB4C3"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00" w:type="dxa"/>
            <w:tcBorders>
              <w:bottom w:val="single" w:sz="12" w:space="0" w:color="0D0D0D" w:themeColor="text1" w:themeTint="F2"/>
              <w:right w:val="single" w:sz="12" w:space="0" w:color="0D0D0D" w:themeColor="text1" w:themeTint="F2"/>
            </w:tcBorders>
            <w:vAlign w:val="center"/>
          </w:tcPr>
          <w:p w14:paraId="1951F801" w14:textId="6965979E"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r>
      <w:tr w:rsidR="00166F39" w:rsidRPr="0014075D" w14:paraId="76702AD2" w14:textId="77777777" w:rsidTr="00D27879">
        <w:trPr>
          <w:trHeight w:val="255"/>
        </w:trPr>
        <w:tc>
          <w:tcPr>
            <w:tcW w:w="1257" w:type="dxa"/>
            <w:tcBorders>
              <w:top w:val="single" w:sz="12" w:space="0" w:color="0D0D0D" w:themeColor="text1" w:themeTint="F2"/>
              <w:left w:val="single" w:sz="12" w:space="0" w:color="0D0D0D" w:themeColor="text1" w:themeTint="F2"/>
            </w:tcBorders>
            <w:shd w:val="clear" w:color="auto" w:fill="D9D9D9" w:themeFill="background1" w:themeFillShade="D9"/>
            <w:vAlign w:val="center"/>
          </w:tcPr>
          <w:p w14:paraId="473C175A" w14:textId="35356599" w:rsidR="0014075D" w:rsidRPr="0014075D" w:rsidRDefault="0014075D" w:rsidP="009B73BE">
            <w:pPr>
              <w:rPr>
                <w:rFonts w:cs="Calibri"/>
                <w:sz w:val="22"/>
                <w:szCs w:val="22"/>
              </w:rPr>
            </w:pPr>
            <w:r w:rsidRPr="0014075D">
              <w:rPr>
                <w:rFonts w:cs="Calibri"/>
                <w:sz w:val="22"/>
                <w:szCs w:val="22"/>
              </w:rPr>
              <w:t>Dried / Dehydrated</w:t>
            </w:r>
          </w:p>
        </w:tc>
        <w:tc>
          <w:tcPr>
            <w:tcW w:w="1273" w:type="dxa"/>
            <w:tcBorders>
              <w:top w:val="single" w:sz="12" w:space="0" w:color="0D0D0D" w:themeColor="text1" w:themeTint="F2"/>
            </w:tcBorders>
            <w:shd w:val="clear" w:color="auto" w:fill="D9D9D9" w:themeFill="background1" w:themeFillShade="D9"/>
            <w:vAlign w:val="center"/>
          </w:tcPr>
          <w:p w14:paraId="6758AD30" w14:textId="0ABED64B" w:rsidR="0014075D" w:rsidRPr="0014075D" w:rsidRDefault="0014075D" w:rsidP="009B73BE">
            <w:pPr>
              <w:rPr>
                <w:rFonts w:cs="Calibri"/>
                <w:sz w:val="22"/>
                <w:szCs w:val="22"/>
              </w:rPr>
            </w:pPr>
            <w:r w:rsidRPr="0014075D">
              <w:rPr>
                <w:rFonts w:cs="Calibri"/>
                <w:sz w:val="22"/>
                <w:szCs w:val="22"/>
              </w:rPr>
              <w:t>Oxygen Not Excluded</w:t>
            </w:r>
          </w:p>
        </w:tc>
        <w:tc>
          <w:tcPr>
            <w:tcW w:w="1350" w:type="dxa"/>
            <w:tcBorders>
              <w:top w:val="single" w:sz="12" w:space="0" w:color="0D0D0D" w:themeColor="text1" w:themeTint="F2"/>
            </w:tcBorders>
            <w:shd w:val="clear" w:color="auto" w:fill="D9D9D9" w:themeFill="background1" w:themeFillShade="D9"/>
            <w:vAlign w:val="center"/>
          </w:tcPr>
          <w:p w14:paraId="4FF8EDF1" w14:textId="11FC9937" w:rsidR="0014075D" w:rsidRPr="0014075D" w:rsidRDefault="0014075D" w:rsidP="009B73BE">
            <w:pPr>
              <w:rPr>
                <w:rFonts w:cs="Calibri"/>
                <w:sz w:val="22"/>
                <w:szCs w:val="22"/>
              </w:rPr>
            </w:pPr>
            <w:r w:rsidRPr="0014075D">
              <w:rPr>
                <w:rFonts w:cs="Calibri"/>
                <w:sz w:val="22"/>
                <w:szCs w:val="22"/>
              </w:rPr>
              <w:t>Ambient</w:t>
            </w:r>
          </w:p>
        </w:tc>
        <w:tc>
          <w:tcPr>
            <w:tcW w:w="971" w:type="dxa"/>
            <w:tcBorders>
              <w:top w:val="single" w:sz="12" w:space="0" w:color="0D0D0D" w:themeColor="text1" w:themeTint="F2"/>
            </w:tcBorders>
            <w:shd w:val="clear" w:color="auto" w:fill="D9D9D9" w:themeFill="background1" w:themeFillShade="D9"/>
            <w:vAlign w:val="center"/>
          </w:tcPr>
          <w:p w14:paraId="1BCD18C9" w14:textId="42E02A92" w:rsidR="0014075D" w:rsidRPr="0014075D" w:rsidRDefault="0014075D" w:rsidP="0014075D">
            <w:pPr>
              <w:jc w:val="center"/>
              <w:rPr>
                <w:rFonts w:cs="Calibri"/>
                <w:sz w:val="22"/>
                <w:szCs w:val="22"/>
              </w:rPr>
            </w:pPr>
            <w:r w:rsidRPr="0014075D">
              <w:rPr>
                <w:rFonts w:cs="Calibri"/>
                <w:sz w:val="22"/>
                <w:szCs w:val="22"/>
              </w:rPr>
              <w:t>X</w:t>
            </w:r>
          </w:p>
        </w:tc>
        <w:tc>
          <w:tcPr>
            <w:tcW w:w="1262" w:type="dxa"/>
            <w:tcBorders>
              <w:top w:val="single" w:sz="12" w:space="0" w:color="0D0D0D" w:themeColor="text1" w:themeTint="F2"/>
            </w:tcBorders>
            <w:shd w:val="clear" w:color="auto" w:fill="D9D9D9" w:themeFill="background1" w:themeFillShade="D9"/>
            <w:vAlign w:val="center"/>
          </w:tcPr>
          <w:p w14:paraId="263C8F84" w14:textId="60FA9FEA" w:rsidR="0014075D"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77" w:type="dxa"/>
            <w:tcBorders>
              <w:top w:val="single" w:sz="12" w:space="0" w:color="0D0D0D" w:themeColor="text1" w:themeTint="F2"/>
            </w:tcBorders>
            <w:shd w:val="clear" w:color="auto" w:fill="D9D9D9" w:themeFill="background1" w:themeFillShade="D9"/>
            <w:vAlign w:val="center"/>
          </w:tcPr>
          <w:p w14:paraId="7C5A9324" w14:textId="631AF1BB" w:rsidR="0014075D"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60" w:type="dxa"/>
            <w:tcBorders>
              <w:top w:val="single" w:sz="12" w:space="0" w:color="0D0D0D" w:themeColor="text1" w:themeTint="F2"/>
            </w:tcBorders>
            <w:shd w:val="clear" w:color="auto" w:fill="D9D9D9" w:themeFill="background1" w:themeFillShade="D9"/>
            <w:vAlign w:val="center"/>
          </w:tcPr>
          <w:p w14:paraId="39CBC444" w14:textId="1D0EA82C" w:rsidR="0014075D"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50" w:type="dxa"/>
            <w:tcBorders>
              <w:top w:val="single" w:sz="12" w:space="0" w:color="0D0D0D" w:themeColor="text1" w:themeTint="F2"/>
            </w:tcBorders>
            <w:shd w:val="clear" w:color="auto" w:fill="D9D9D9" w:themeFill="background1" w:themeFillShade="D9"/>
            <w:vAlign w:val="center"/>
          </w:tcPr>
          <w:p w14:paraId="593525AA" w14:textId="06533499" w:rsidR="0014075D" w:rsidRPr="0014075D" w:rsidRDefault="0014075D" w:rsidP="0014075D">
            <w:pPr>
              <w:jc w:val="center"/>
              <w:rPr>
                <w:rFonts w:cs="Calibri"/>
                <w:sz w:val="22"/>
                <w:szCs w:val="22"/>
              </w:rPr>
            </w:pPr>
            <w:r w:rsidRPr="0014075D">
              <w:rPr>
                <w:rFonts w:cs="Calibri"/>
                <w:sz w:val="22"/>
                <w:szCs w:val="22"/>
              </w:rPr>
              <w:t>X</w:t>
            </w:r>
          </w:p>
        </w:tc>
        <w:tc>
          <w:tcPr>
            <w:tcW w:w="1720" w:type="dxa"/>
            <w:tcBorders>
              <w:top w:val="single" w:sz="12" w:space="0" w:color="0D0D0D" w:themeColor="text1" w:themeTint="F2"/>
            </w:tcBorders>
            <w:shd w:val="clear" w:color="auto" w:fill="D9D9D9" w:themeFill="background1" w:themeFillShade="D9"/>
            <w:vAlign w:val="center"/>
          </w:tcPr>
          <w:p w14:paraId="66F2D71A" w14:textId="0F1FAC4E" w:rsidR="0014075D" w:rsidRPr="0014075D" w:rsidRDefault="0014075D" w:rsidP="0014075D">
            <w:pPr>
              <w:jc w:val="center"/>
              <w:rPr>
                <w:rFonts w:cs="Calibri"/>
                <w:sz w:val="22"/>
                <w:szCs w:val="22"/>
              </w:rPr>
            </w:pPr>
            <w:r w:rsidRPr="0014075D">
              <w:rPr>
                <w:rFonts w:cs="Calibri"/>
                <w:sz w:val="22"/>
                <w:szCs w:val="22"/>
              </w:rPr>
              <w:t>X</w:t>
            </w:r>
          </w:p>
        </w:tc>
        <w:tc>
          <w:tcPr>
            <w:tcW w:w="1620" w:type="dxa"/>
            <w:tcBorders>
              <w:top w:val="single" w:sz="12" w:space="0" w:color="0D0D0D" w:themeColor="text1" w:themeTint="F2"/>
            </w:tcBorders>
            <w:shd w:val="clear" w:color="auto" w:fill="D9D9D9" w:themeFill="background1" w:themeFillShade="D9"/>
            <w:vAlign w:val="center"/>
          </w:tcPr>
          <w:p w14:paraId="0D32F350" w14:textId="5A0F3A74" w:rsidR="0014075D"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90" w:type="dxa"/>
            <w:tcBorders>
              <w:top w:val="single" w:sz="12" w:space="0" w:color="0D0D0D" w:themeColor="text1" w:themeTint="F2"/>
            </w:tcBorders>
            <w:shd w:val="clear" w:color="auto" w:fill="D9D9D9" w:themeFill="background1" w:themeFillShade="D9"/>
            <w:vAlign w:val="center"/>
          </w:tcPr>
          <w:p w14:paraId="76AD08FE" w14:textId="06329F4C" w:rsidR="0014075D"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00" w:type="dxa"/>
            <w:tcBorders>
              <w:top w:val="single" w:sz="12" w:space="0" w:color="0D0D0D" w:themeColor="text1" w:themeTint="F2"/>
              <w:right w:val="single" w:sz="12" w:space="0" w:color="0D0D0D" w:themeColor="text1" w:themeTint="F2"/>
            </w:tcBorders>
            <w:shd w:val="clear" w:color="auto" w:fill="D9D9D9" w:themeFill="background1" w:themeFillShade="D9"/>
            <w:vAlign w:val="center"/>
          </w:tcPr>
          <w:p w14:paraId="673EFCAB" w14:textId="395953C3" w:rsidR="0014075D" w:rsidRPr="0014075D" w:rsidRDefault="009B73BE" w:rsidP="0014075D">
            <w:pPr>
              <w:jc w:val="center"/>
              <w:rPr>
                <w:rFonts w:cs="Calibri"/>
                <w:sz w:val="22"/>
                <w:szCs w:val="22"/>
              </w:rPr>
            </w:pPr>
            <w:r w:rsidRPr="009B73BE">
              <w:rPr>
                <w:rFonts w:ascii="Segoe UI Symbol" w:hAnsi="Segoe UI Symbol" w:cs="Segoe UI Symbol"/>
                <w:sz w:val="22"/>
                <w:szCs w:val="22"/>
              </w:rPr>
              <w:t>☐</w:t>
            </w:r>
          </w:p>
        </w:tc>
      </w:tr>
      <w:tr w:rsidR="00166F39" w:rsidRPr="0014075D" w14:paraId="242009D6" w14:textId="77777777" w:rsidTr="00D27879">
        <w:trPr>
          <w:trHeight w:val="255"/>
        </w:trPr>
        <w:tc>
          <w:tcPr>
            <w:tcW w:w="1257" w:type="dxa"/>
            <w:tcBorders>
              <w:left w:val="single" w:sz="12" w:space="0" w:color="0D0D0D" w:themeColor="text1" w:themeTint="F2"/>
              <w:bottom w:val="single" w:sz="12" w:space="0" w:color="0D0D0D" w:themeColor="text1" w:themeTint="F2"/>
            </w:tcBorders>
            <w:vAlign w:val="center"/>
          </w:tcPr>
          <w:p w14:paraId="29878098" w14:textId="458F6854" w:rsidR="0014075D" w:rsidRPr="0014075D" w:rsidRDefault="0014075D" w:rsidP="009B73BE">
            <w:pPr>
              <w:rPr>
                <w:rFonts w:cs="Calibri"/>
                <w:sz w:val="22"/>
                <w:szCs w:val="22"/>
              </w:rPr>
            </w:pPr>
            <w:r w:rsidRPr="0014075D">
              <w:rPr>
                <w:rFonts w:cs="Calibri"/>
                <w:sz w:val="22"/>
                <w:szCs w:val="22"/>
              </w:rPr>
              <w:t>Dried / Dehydrated</w:t>
            </w:r>
          </w:p>
        </w:tc>
        <w:tc>
          <w:tcPr>
            <w:tcW w:w="1273" w:type="dxa"/>
            <w:tcBorders>
              <w:bottom w:val="single" w:sz="12" w:space="0" w:color="0D0D0D" w:themeColor="text1" w:themeTint="F2"/>
            </w:tcBorders>
            <w:vAlign w:val="center"/>
          </w:tcPr>
          <w:p w14:paraId="4E5D1644" w14:textId="426E027A" w:rsidR="0014075D" w:rsidRPr="0014075D" w:rsidRDefault="0014075D" w:rsidP="009B73BE">
            <w:pPr>
              <w:rPr>
                <w:rFonts w:cs="Calibri"/>
                <w:sz w:val="22"/>
                <w:szCs w:val="22"/>
              </w:rPr>
            </w:pPr>
            <w:r w:rsidRPr="0014075D">
              <w:rPr>
                <w:rFonts w:cs="Calibri"/>
                <w:sz w:val="22"/>
                <w:szCs w:val="22"/>
              </w:rPr>
              <w:t>R</w:t>
            </w:r>
            <w:r w:rsidR="009B73BE">
              <w:rPr>
                <w:rFonts w:cs="Calibri"/>
                <w:sz w:val="22"/>
                <w:szCs w:val="22"/>
              </w:rPr>
              <w:t>OP</w:t>
            </w:r>
            <w:r w:rsidRPr="0014075D">
              <w:rPr>
                <w:rFonts w:cs="Calibri"/>
                <w:sz w:val="22"/>
                <w:szCs w:val="22"/>
              </w:rPr>
              <w:t xml:space="preserve">, </w:t>
            </w:r>
            <w:r w:rsidR="000776DB">
              <w:rPr>
                <w:rFonts w:cs="Calibri"/>
                <w:sz w:val="22"/>
                <w:szCs w:val="22"/>
              </w:rPr>
              <w:t>V</w:t>
            </w:r>
            <w:r w:rsidRPr="0014075D">
              <w:rPr>
                <w:rFonts w:cs="Calibri"/>
                <w:sz w:val="22"/>
                <w:szCs w:val="22"/>
              </w:rPr>
              <w:t>acuum</w:t>
            </w:r>
            <w:r w:rsidR="009B73BE">
              <w:rPr>
                <w:rFonts w:cs="Calibri"/>
                <w:sz w:val="22"/>
                <w:szCs w:val="22"/>
              </w:rPr>
              <w:t>,</w:t>
            </w:r>
            <w:r w:rsidRPr="0014075D">
              <w:rPr>
                <w:rFonts w:cs="Calibri"/>
                <w:sz w:val="22"/>
                <w:szCs w:val="22"/>
              </w:rPr>
              <w:t xml:space="preserve"> or MAP</w:t>
            </w:r>
          </w:p>
        </w:tc>
        <w:tc>
          <w:tcPr>
            <w:tcW w:w="1350" w:type="dxa"/>
            <w:tcBorders>
              <w:bottom w:val="single" w:sz="12" w:space="0" w:color="0D0D0D" w:themeColor="text1" w:themeTint="F2"/>
            </w:tcBorders>
            <w:vAlign w:val="center"/>
          </w:tcPr>
          <w:p w14:paraId="642C20BE" w14:textId="4E38D4D6" w:rsidR="0014075D" w:rsidRPr="0014075D" w:rsidRDefault="0014075D" w:rsidP="009B73BE">
            <w:pPr>
              <w:rPr>
                <w:rFonts w:cs="Calibri"/>
                <w:sz w:val="22"/>
                <w:szCs w:val="22"/>
              </w:rPr>
            </w:pPr>
            <w:r w:rsidRPr="0014075D">
              <w:rPr>
                <w:rFonts w:cs="Calibri"/>
                <w:sz w:val="22"/>
                <w:szCs w:val="22"/>
              </w:rPr>
              <w:t>Ambient</w:t>
            </w:r>
          </w:p>
        </w:tc>
        <w:tc>
          <w:tcPr>
            <w:tcW w:w="971" w:type="dxa"/>
            <w:tcBorders>
              <w:bottom w:val="single" w:sz="12" w:space="0" w:color="0D0D0D" w:themeColor="text1" w:themeTint="F2"/>
            </w:tcBorders>
            <w:vAlign w:val="center"/>
          </w:tcPr>
          <w:p w14:paraId="0BF10466" w14:textId="2CCE00C7" w:rsidR="0014075D" w:rsidRPr="0014075D" w:rsidRDefault="0014075D" w:rsidP="0014075D">
            <w:pPr>
              <w:jc w:val="center"/>
              <w:rPr>
                <w:rFonts w:cs="Calibri"/>
                <w:sz w:val="22"/>
                <w:szCs w:val="22"/>
              </w:rPr>
            </w:pPr>
            <w:r w:rsidRPr="0014075D">
              <w:rPr>
                <w:rFonts w:cs="Calibri"/>
                <w:sz w:val="22"/>
                <w:szCs w:val="22"/>
              </w:rPr>
              <w:t>X</w:t>
            </w:r>
          </w:p>
        </w:tc>
        <w:tc>
          <w:tcPr>
            <w:tcW w:w="1262" w:type="dxa"/>
            <w:tcBorders>
              <w:bottom w:val="single" w:sz="12" w:space="0" w:color="0D0D0D" w:themeColor="text1" w:themeTint="F2"/>
            </w:tcBorders>
            <w:vAlign w:val="center"/>
          </w:tcPr>
          <w:p w14:paraId="38427BB2" w14:textId="128CE873" w:rsidR="0014075D" w:rsidRPr="0014075D" w:rsidRDefault="0014075D" w:rsidP="0014075D">
            <w:pPr>
              <w:jc w:val="center"/>
              <w:rPr>
                <w:rFonts w:cs="Calibri"/>
                <w:sz w:val="22"/>
                <w:szCs w:val="22"/>
              </w:rPr>
            </w:pPr>
            <w:r w:rsidRPr="0014075D">
              <w:rPr>
                <w:rFonts w:cs="Calibri"/>
                <w:sz w:val="22"/>
                <w:szCs w:val="22"/>
              </w:rPr>
              <w:t>X</w:t>
            </w:r>
          </w:p>
        </w:tc>
        <w:tc>
          <w:tcPr>
            <w:tcW w:w="1277" w:type="dxa"/>
            <w:tcBorders>
              <w:bottom w:val="single" w:sz="12" w:space="0" w:color="0D0D0D" w:themeColor="text1" w:themeTint="F2"/>
            </w:tcBorders>
            <w:vAlign w:val="center"/>
          </w:tcPr>
          <w:p w14:paraId="69902FCE" w14:textId="3FFDAF6A" w:rsidR="0014075D" w:rsidRPr="0014075D" w:rsidRDefault="0014075D" w:rsidP="0014075D">
            <w:pPr>
              <w:jc w:val="center"/>
              <w:rPr>
                <w:rFonts w:cs="Calibri"/>
                <w:sz w:val="22"/>
                <w:szCs w:val="22"/>
              </w:rPr>
            </w:pPr>
            <w:r w:rsidRPr="0014075D">
              <w:rPr>
                <w:rFonts w:cs="Calibri"/>
                <w:sz w:val="22"/>
                <w:szCs w:val="22"/>
              </w:rPr>
              <w:t>X</w:t>
            </w:r>
          </w:p>
        </w:tc>
        <w:tc>
          <w:tcPr>
            <w:tcW w:w="1260" w:type="dxa"/>
            <w:tcBorders>
              <w:bottom w:val="single" w:sz="12" w:space="0" w:color="0D0D0D" w:themeColor="text1" w:themeTint="F2"/>
            </w:tcBorders>
            <w:vAlign w:val="center"/>
          </w:tcPr>
          <w:p w14:paraId="5B86F15D" w14:textId="26A97A3E" w:rsidR="0014075D"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50" w:type="dxa"/>
            <w:tcBorders>
              <w:bottom w:val="single" w:sz="12" w:space="0" w:color="0D0D0D" w:themeColor="text1" w:themeTint="F2"/>
            </w:tcBorders>
            <w:vAlign w:val="center"/>
          </w:tcPr>
          <w:p w14:paraId="62E65C77" w14:textId="41157E77" w:rsidR="0014075D" w:rsidRPr="0014075D" w:rsidRDefault="0014075D" w:rsidP="0014075D">
            <w:pPr>
              <w:jc w:val="center"/>
              <w:rPr>
                <w:rFonts w:cs="Calibri"/>
                <w:sz w:val="22"/>
                <w:szCs w:val="22"/>
              </w:rPr>
            </w:pPr>
            <w:r w:rsidRPr="0014075D">
              <w:rPr>
                <w:rFonts w:cs="Calibri"/>
                <w:sz w:val="22"/>
                <w:szCs w:val="22"/>
              </w:rPr>
              <w:t>X</w:t>
            </w:r>
          </w:p>
        </w:tc>
        <w:tc>
          <w:tcPr>
            <w:tcW w:w="1720" w:type="dxa"/>
            <w:tcBorders>
              <w:bottom w:val="single" w:sz="12" w:space="0" w:color="0D0D0D" w:themeColor="text1" w:themeTint="F2"/>
            </w:tcBorders>
            <w:vAlign w:val="center"/>
          </w:tcPr>
          <w:p w14:paraId="3A763FB6" w14:textId="44E247F2" w:rsidR="0014075D" w:rsidRPr="0014075D" w:rsidRDefault="0014075D" w:rsidP="0014075D">
            <w:pPr>
              <w:jc w:val="center"/>
              <w:rPr>
                <w:rFonts w:cs="Calibri"/>
                <w:sz w:val="22"/>
                <w:szCs w:val="22"/>
              </w:rPr>
            </w:pPr>
            <w:r w:rsidRPr="0014075D">
              <w:rPr>
                <w:rFonts w:cs="Calibri"/>
                <w:sz w:val="22"/>
                <w:szCs w:val="22"/>
              </w:rPr>
              <w:t>X</w:t>
            </w:r>
          </w:p>
        </w:tc>
        <w:tc>
          <w:tcPr>
            <w:tcW w:w="1620" w:type="dxa"/>
            <w:tcBorders>
              <w:bottom w:val="single" w:sz="12" w:space="0" w:color="0D0D0D" w:themeColor="text1" w:themeTint="F2"/>
            </w:tcBorders>
            <w:vAlign w:val="center"/>
          </w:tcPr>
          <w:p w14:paraId="6576F3F8" w14:textId="2A6A6C47" w:rsidR="0014075D"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90" w:type="dxa"/>
            <w:tcBorders>
              <w:bottom w:val="single" w:sz="12" w:space="0" w:color="0D0D0D" w:themeColor="text1" w:themeTint="F2"/>
            </w:tcBorders>
            <w:vAlign w:val="center"/>
          </w:tcPr>
          <w:p w14:paraId="1F7A5C8B" w14:textId="7283460D" w:rsidR="0014075D"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00" w:type="dxa"/>
            <w:tcBorders>
              <w:bottom w:val="single" w:sz="12" w:space="0" w:color="0D0D0D" w:themeColor="text1" w:themeTint="F2"/>
              <w:right w:val="single" w:sz="12" w:space="0" w:color="0D0D0D" w:themeColor="text1" w:themeTint="F2"/>
            </w:tcBorders>
            <w:vAlign w:val="center"/>
          </w:tcPr>
          <w:p w14:paraId="343D061B" w14:textId="029A3FAF" w:rsidR="0014075D" w:rsidRPr="0014075D" w:rsidRDefault="009B73BE" w:rsidP="0014075D">
            <w:pPr>
              <w:jc w:val="center"/>
              <w:rPr>
                <w:rFonts w:cs="Calibri"/>
                <w:sz w:val="22"/>
                <w:szCs w:val="22"/>
              </w:rPr>
            </w:pPr>
            <w:r w:rsidRPr="009B73BE">
              <w:rPr>
                <w:rFonts w:ascii="Segoe UI Symbol" w:hAnsi="Segoe UI Symbol" w:cs="Segoe UI Symbol"/>
                <w:sz w:val="22"/>
                <w:szCs w:val="22"/>
              </w:rPr>
              <w:t>☐</w:t>
            </w:r>
          </w:p>
        </w:tc>
      </w:tr>
      <w:tr w:rsidR="0014075D" w:rsidRPr="0014075D" w14:paraId="71BB70BD" w14:textId="77777777" w:rsidTr="00D27879">
        <w:trPr>
          <w:trHeight w:val="255"/>
        </w:trPr>
        <w:tc>
          <w:tcPr>
            <w:tcW w:w="1257" w:type="dxa"/>
            <w:tcBorders>
              <w:top w:val="single" w:sz="12" w:space="0" w:color="0D0D0D" w:themeColor="text1" w:themeTint="F2"/>
              <w:left w:val="single" w:sz="12" w:space="0" w:color="0D0D0D" w:themeColor="text1" w:themeTint="F2"/>
            </w:tcBorders>
            <w:shd w:val="clear" w:color="auto" w:fill="D9D9D9" w:themeFill="background1" w:themeFillShade="D9"/>
            <w:vAlign w:val="center"/>
          </w:tcPr>
          <w:p w14:paraId="61F3F9ED" w14:textId="14703334" w:rsidR="00E66C87" w:rsidRPr="0014075D" w:rsidRDefault="00E66C87" w:rsidP="009B73BE">
            <w:pPr>
              <w:rPr>
                <w:rFonts w:cs="Calibri"/>
                <w:sz w:val="22"/>
                <w:szCs w:val="22"/>
              </w:rPr>
            </w:pPr>
            <w:hyperlink w:anchor="_Fermentation" w:tooltip="A process commonly used to preserve and/or enhance foods, which involves the chemical breakdown of molecules such as sugars by bacteria into acids. This rapidly reduces the pH of the product and is another form of pickling." w:history="1">
              <w:r w:rsidRPr="00BC7922">
                <w:rPr>
                  <w:rStyle w:val="Hyperlink"/>
                  <w:rFonts w:cs="Calibri"/>
                  <w:sz w:val="22"/>
                  <w:szCs w:val="22"/>
                </w:rPr>
                <w:t>Fermented</w:t>
              </w:r>
            </w:hyperlink>
          </w:p>
        </w:tc>
        <w:tc>
          <w:tcPr>
            <w:tcW w:w="1273" w:type="dxa"/>
            <w:tcBorders>
              <w:top w:val="single" w:sz="12" w:space="0" w:color="0D0D0D" w:themeColor="text1" w:themeTint="F2"/>
            </w:tcBorders>
            <w:shd w:val="clear" w:color="auto" w:fill="D9D9D9" w:themeFill="background1" w:themeFillShade="D9"/>
            <w:vAlign w:val="center"/>
          </w:tcPr>
          <w:p w14:paraId="67C7F314" w14:textId="65BDF1A1" w:rsidR="00E66C87" w:rsidRPr="0014075D" w:rsidRDefault="0014075D" w:rsidP="009B73BE">
            <w:pPr>
              <w:rPr>
                <w:rFonts w:cs="Calibri"/>
                <w:sz w:val="22"/>
                <w:szCs w:val="22"/>
              </w:rPr>
            </w:pPr>
            <w:r w:rsidRPr="0014075D">
              <w:rPr>
                <w:rFonts w:cs="Calibri"/>
                <w:sz w:val="22"/>
                <w:szCs w:val="22"/>
              </w:rPr>
              <w:t>pH ≤ 4.5</w:t>
            </w:r>
          </w:p>
        </w:tc>
        <w:tc>
          <w:tcPr>
            <w:tcW w:w="1350" w:type="dxa"/>
            <w:tcBorders>
              <w:top w:val="single" w:sz="12" w:space="0" w:color="0D0D0D" w:themeColor="text1" w:themeTint="F2"/>
            </w:tcBorders>
            <w:shd w:val="clear" w:color="auto" w:fill="D9D9D9" w:themeFill="background1" w:themeFillShade="D9"/>
            <w:vAlign w:val="center"/>
          </w:tcPr>
          <w:p w14:paraId="7CC53B60" w14:textId="7D252CCB" w:rsidR="00E66C87" w:rsidRPr="0014075D" w:rsidRDefault="00E66C87" w:rsidP="009B73BE">
            <w:pPr>
              <w:rPr>
                <w:rFonts w:cs="Calibri"/>
                <w:sz w:val="22"/>
                <w:szCs w:val="22"/>
              </w:rPr>
            </w:pPr>
            <w:r w:rsidRPr="0014075D">
              <w:rPr>
                <w:rFonts w:cs="Calibri"/>
                <w:sz w:val="22"/>
                <w:szCs w:val="22"/>
              </w:rPr>
              <w:t>Ambient</w:t>
            </w:r>
          </w:p>
        </w:tc>
        <w:tc>
          <w:tcPr>
            <w:tcW w:w="971" w:type="dxa"/>
            <w:tcBorders>
              <w:top w:val="single" w:sz="12" w:space="0" w:color="0D0D0D" w:themeColor="text1" w:themeTint="F2"/>
            </w:tcBorders>
            <w:shd w:val="clear" w:color="auto" w:fill="D9D9D9" w:themeFill="background1" w:themeFillShade="D9"/>
            <w:vAlign w:val="center"/>
          </w:tcPr>
          <w:p w14:paraId="3583CE68" w14:textId="4C8F7A79"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62" w:type="dxa"/>
            <w:tcBorders>
              <w:top w:val="single" w:sz="12" w:space="0" w:color="0D0D0D" w:themeColor="text1" w:themeTint="F2"/>
            </w:tcBorders>
            <w:shd w:val="clear" w:color="auto" w:fill="D9D9D9" w:themeFill="background1" w:themeFillShade="D9"/>
            <w:vAlign w:val="center"/>
          </w:tcPr>
          <w:p w14:paraId="1C92416D" w14:textId="169246F4"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77" w:type="dxa"/>
            <w:tcBorders>
              <w:top w:val="single" w:sz="12" w:space="0" w:color="0D0D0D" w:themeColor="text1" w:themeTint="F2"/>
            </w:tcBorders>
            <w:shd w:val="clear" w:color="auto" w:fill="D9D9D9" w:themeFill="background1" w:themeFillShade="D9"/>
            <w:vAlign w:val="center"/>
          </w:tcPr>
          <w:p w14:paraId="31E4BDAD" w14:textId="599D17B8"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60" w:type="dxa"/>
            <w:tcBorders>
              <w:top w:val="single" w:sz="12" w:space="0" w:color="0D0D0D" w:themeColor="text1" w:themeTint="F2"/>
            </w:tcBorders>
            <w:shd w:val="clear" w:color="auto" w:fill="D9D9D9" w:themeFill="background1" w:themeFillShade="D9"/>
            <w:vAlign w:val="center"/>
          </w:tcPr>
          <w:p w14:paraId="2F4D6FD6" w14:textId="78EAB9D2" w:rsidR="00E66C87" w:rsidRPr="0014075D" w:rsidRDefault="0014075D" w:rsidP="0014075D">
            <w:pPr>
              <w:jc w:val="center"/>
              <w:rPr>
                <w:rFonts w:cs="Calibri"/>
                <w:sz w:val="22"/>
                <w:szCs w:val="22"/>
              </w:rPr>
            </w:pPr>
            <w:r w:rsidRPr="0014075D">
              <w:rPr>
                <w:rFonts w:cs="Calibri"/>
                <w:sz w:val="22"/>
                <w:szCs w:val="22"/>
              </w:rPr>
              <w:t>X</w:t>
            </w:r>
          </w:p>
        </w:tc>
        <w:tc>
          <w:tcPr>
            <w:tcW w:w="1250" w:type="dxa"/>
            <w:tcBorders>
              <w:top w:val="single" w:sz="12" w:space="0" w:color="0D0D0D" w:themeColor="text1" w:themeTint="F2"/>
            </w:tcBorders>
            <w:shd w:val="clear" w:color="auto" w:fill="D9D9D9" w:themeFill="background1" w:themeFillShade="D9"/>
            <w:vAlign w:val="center"/>
          </w:tcPr>
          <w:p w14:paraId="48C8445A" w14:textId="70A16D80" w:rsidR="00E66C87" w:rsidRPr="0014075D" w:rsidRDefault="0014075D" w:rsidP="0014075D">
            <w:pPr>
              <w:jc w:val="center"/>
              <w:rPr>
                <w:rFonts w:cs="Calibri"/>
                <w:sz w:val="22"/>
                <w:szCs w:val="22"/>
              </w:rPr>
            </w:pPr>
            <w:r w:rsidRPr="0014075D">
              <w:rPr>
                <w:rFonts w:cs="Calibri"/>
                <w:sz w:val="22"/>
                <w:szCs w:val="22"/>
              </w:rPr>
              <w:t>X</w:t>
            </w:r>
          </w:p>
        </w:tc>
        <w:tc>
          <w:tcPr>
            <w:tcW w:w="1720" w:type="dxa"/>
            <w:tcBorders>
              <w:top w:val="single" w:sz="12" w:space="0" w:color="0D0D0D" w:themeColor="text1" w:themeTint="F2"/>
            </w:tcBorders>
            <w:shd w:val="clear" w:color="auto" w:fill="D9D9D9" w:themeFill="background1" w:themeFillShade="D9"/>
            <w:vAlign w:val="center"/>
          </w:tcPr>
          <w:p w14:paraId="45F301D8" w14:textId="641EDD61" w:rsidR="00E66C87" w:rsidRPr="0014075D" w:rsidRDefault="0014075D" w:rsidP="0014075D">
            <w:pPr>
              <w:jc w:val="center"/>
              <w:rPr>
                <w:rFonts w:cs="Calibri"/>
                <w:sz w:val="22"/>
                <w:szCs w:val="22"/>
              </w:rPr>
            </w:pPr>
            <w:r w:rsidRPr="0014075D">
              <w:rPr>
                <w:rFonts w:cs="Calibri"/>
                <w:sz w:val="22"/>
                <w:szCs w:val="22"/>
              </w:rPr>
              <w:t>X</w:t>
            </w:r>
          </w:p>
        </w:tc>
        <w:tc>
          <w:tcPr>
            <w:tcW w:w="1620" w:type="dxa"/>
            <w:tcBorders>
              <w:top w:val="single" w:sz="12" w:space="0" w:color="0D0D0D" w:themeColor="text1" w:themeTint="F2"/>
            </w:tcBorders>
            <w:shd w:val="clear" w:color="auto" w:fill="D9D9D9" w:themeFill="background1" w:themeFillShade="D9"/>
            <w:vAlign w:val="center"/>
          </w:tcPr>
          <w:p w14:paraId="169A8A72" w14:textId="45AB7961"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90" w:type="dxa"/>
            <w:tcBorders>
              <w:top w:val="single" w:sz="12" w:space="0" w:color="0D0D0D" w:themeColor="text1" w:themeTint="F2"/>
            </w:tcBorders>
            <w:shd w:val="clear" w:color="auto" w:fill="D9D9D9" w:themeFill="background1" w:themeFillShade="D9"/>
            <w:vAlign w:val="center"/>
          </w:tcPr>
          <w:p w14:paraId="41BDFC20" w14:textId="4BFA64F3"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00" w:type="dxa"/>
            <w:tcBorders>
              <w:top w:val="single" w:sz="12" w:space="0" w:color="0D0D0D" w:themeColor="text1" w:themeTint="F2"/>
              <w:right w:val="single" w:sz="12" w:space="0" w:color="0D0D0D" w:themeColor="text1" w:themeTint="F2"/>
            </w:tcBorders>
            <w:shd w:val="clear" w:color="auto" w:fill="D9D9D9" w:themeFill="background1" w:themeFillShade="D9"/>
            <w:vAlign w:val="center"/>
          </w:tcPr>
          <w:p w14:paraId="307E20C2" w14:textId="5EBBB9F7"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r>
      <w:tr w:rsidR="0014075D" w:rsidRPr="0014075D" w14:paraId="7FF2706F" w14:textId="77777777" w:rsidTr="00D27879">
        <w:trPr>
          <w:trHeight w:val="449"/>
        </w:trPr>
        <w:tc>
          <w:tcPr>
            <w:tcW w:w="1257" w:type="dxa"/>
            <w:tcBorders>
              <w:left w:val="single" w:sz="12" w:space="0" w:color="0D0D0D" w:themeColor="text1" w:themeTint="F2"/>
              <w:bottom w:val="single" w:sz="12" w:space="0" w:color="0D0D0D" w:themeColor="text1" w:themeTint="F2"/>
            </w:tcBorders>
            <w:vAlign w:val="center"/>
          </w:tcPr>
          <w:p w14:paraId="3376A324" w14:textId="4CFAFDD3" w:rsidR="00E66C87" w:rsidRPr="0014075D" w:rsidRDefault="00E66C87" w:rsidP="009B73BE">
            <w:pPr>
              <w:rPr>
                <w:rFonts w:cs="Calibri"/>
                <w:sz w:val="22"/>
                <w:szCs w:val="22"/>
              </w:rPr>
            </w:pPr>
            <w:r w:rsidRPr="0014075D">
              <w:rPr>
                <w:rFonts w:cs="Calibri"/>
                <w:sz w:val="22"/>
                <w:szCs w:val="22"/>
              </w:rPr>
              <w:t>Fermented</w:t>
            </w:r>
          </w:p>
        </w:tc>
        <w:tc>
          <w:tcPr>
            <w:tcW w:w="1273" w:type="dxa"/>
            <w:tcBorders>
              <w:bottom w:val="single" w:sz="12" w:space="0" w:color="0D0D0D" w:themeColor="text1" w:themeTint="F2"/>
            </w:tcBorders>
            <w:vAlign w:val="center"/>
          </w:tcPr>
          <w:p w14:paraId="695D72EB" w14:textId="22776B47" w:rsidR="00E66C87" w:rsidRPr="000776DB" w:rsidRDefault="009B73BE" w:rsidP="009B73BE">
            <w:pPr>
              <w:rPr>
                <w:rFonts w:cs="Calibri"/>
                <w:i/>
                <w:iCs/>
                <w:sz w:val="22"/>
                <w:szCs w:val="22"/>
              </w:rPr>
            </w:pPr>
            <w:r w:rsidRPr="000776DB">
              <w:rPr>
                <w:rFonts w:cs="Calibri"/>
                <w:i/>
                <w:iCs/>
                <w:sz w:val="22"/>
                <w:szCs w:val="22"/>
              </w:rPr>
              <w:t>NA</w:t>
            </w:r>
          </w:p>
        </w:tc>
        <w:tc>
          <w:tcPr>
            <w:tcW w:w="1350" w:type="dxa"/>
            <w:tcBorders>
              <w:bottom w:val="single" w:sz="12" w:space="0" w:color="0D0D0D" w:themeColor="text1" w:themeTint="F2"/>
            </w:tcBorders>
            <w:vAlign w:val="center"/>
          </w:tcPr>
          <w:p w14:paraId="410E8F37" w14:textId="32E6663E" w:rsidR="00E66C87" w:rsidRPr="0014075D" w:rsidRDefault="00E66C87" w:rsidP="009B73BE">
            <w:pPr>
              <w:rPr>
                <w:rFonts w:cs="Calibri"/>
                <w:sz w:val="22"/>
                <w:szCs w:val="22"/>
              </w:rPr>
            </w:pPr>
            <w:r w:rsidRPr="0014075D">
              <w:rPr>
                <w:rFonts w:cs="Calibri"/>
                <w:sz w:val="22"/>
                <w:szCs w:val="22"/>
              </w:rPr>
              <w:t>Refrigerated</w:t>
            </w:r>
          </w:p>
        </w:tc>
        <w:tc>
          <w:tcPr>
            <w:tcW w:w="971" w:type="dxa"/>
            <w:tcBorders>
              <w:bottom w:val="single" w:sz="12" w:space="0" w:color="0D0D0D" w:themeColor="text1" w:themeTint="F2"/>
            </w:tcBorders>
            <w:vAlign w:val="center"/>
          </w:tcPr>
          <w:p w14:paraId="669915C2" w14:textId="3DC54559"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62" w:type="dxa"/>
            <w:tcBorders>
              <w:bottom w:val="single" w:sz="12" w:space="0" w:color="0D0D0D" w:themeColor="text1" w:themeTint="F2"/>
            </w:tcBorders>
            <w:vAlign w:val="center"/>
          </w:tcPr>
          <w:p w14:paraId="19E49915" w14:textId="6A72D8D9"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77" w:type="dxa"/>
            <w:tcBorders>
              <w:bottom w:val="single" w:sz="12" w:space="0" w:color="0D0D0D" w:themeColor="text1" w:themeTint="F2"/>
            </w:tcBorders>
            <w:vAlign w:val="center"/>
          </w:tcPr>
          <w:p w14:paraId="71D179CA" w14:textId="7824475C"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1260" w:type="dxa"/>
            <w:tcBorders>
              <w:bottom w:val="single" w:sz="12" w:space="0" w:color="0D0D0D" w:themeColor="text1" w:themeTint="F2"/>
            </w:tcBorders>
            <w:vAlign w:val="center"/>
          </w:tcPr>
          <w:p w14:paraId="0C3A3F4F" w14:textId="5FE796B6" w:rsidR="00E66C87" w:rsidRPr="0014075D" w:rsidRDefault="0014075D" w:rsidP="0014075D">
            <w:pPr>
              <w:jc w:val="center"/>
              <w:rPr>
                <w:rFonts w:cs="Calibri"/>
                <w:sz w:val="22"/>
                <w:szCs w:val="22"/>
              </w:rPr>
            </w:pPr>
            <w:r w:rsidRPr="0014075D">
              <w:rPr>
                <w:rFonts w:cs="Calibri"/>
                <w:sz w:val="22"/>
                <w:szCs w:val="22"/>
              </w:rPr>
              <w:t>X</w:t>
            </w:r>
          </w:p>
        </w:tc>
        <w:tc>
          <w:tcPr>
            <w:tcW w:w="1250" w:type="dxa"/>
            <w:tcBorders>
              <w:bottom w:val="single" w:sz="12" w:space="0" w:color="0D0D0D" w:themeColor="text1" w:themeTint="F2"/>
            </w:tcBorders>
            <w:vAlign w:val="center"/>
          </w:tcPr>
          <w:p w14:paraId="319B762B" w14:textId="7BF2B245" w:rsidR="00E66C87" w:rsidRPr="0014075D" w:rsidRDefault="0014075D" w:rsidP="0014075D">
            <w:pPr>
              <w:jc w:val="center"/>
              <w:rPr>
                <w:rFonts w:cs="Calibri"/>
                <w:sz w:val="22"/>
                <w:szCs w:val="22"/>
              </w:rPr>
            </w:pPr>
            <w:r w:rsidRPr="0014075D">
              <w:rPr>
                <w:rFonts w:cs="Calibri"/>
                <w:sz w:val="22"/>
                <w:szCs w:val="22"/>
              </w:rPr>
              <w:t>X</w:t>
            </w:r>
          </w:p>
        </w:tc>
        <w:tc>
          <w:tcPr>
            <w:tcW w:w="1720" w:type="dxa"/>
            <w:tcBorders>
              <w:bottom w:val="single" w:sz="12" w:space="0" w:color="0D0D0D" w:themeColor="text1" w:themeTint="F2"/>
            </w:tcBorders>
            <w:vAlign w:val="center"/>
          </w:tcPr>
          <w:p w14:paraId="34111980" w14:textId="37EEEDA0" w:rsidR="00E66C87" w:rsidRPr="0014075D" w:rsidRDefault="0014075D" w:rsidP="0014075D">
            <w:pPr>
              <w:jc w:val="center"/>
              <w:rPr>
                <w:rFonts w:cs="Calibri"/>
                <w:sz w:val="22"/>
                <w:szCs w:val="22"/>
              </w:rPr>
            </w:pPr>
            <w:r w:rsidRPr="0014075D">
              <w:rPr>
                <w:rFonts w:cs="Calibri"/>
                <w:sz w:val="22"/>
                <w:szCs w:val="22"/>
              </w:rPr>
              <w:t>X</w:t>
            </w:r>
          </w:p>
        </w:tc>
        <w:tc>
          <w:tcPr>
            <w:tcW w:w="1620" w:type="dxa"/>
            <w:tcBorders>
              <w:bottom w:val="single" w:sz="12" w:space="0" w:color="0D0D0D" w:themeColor="text1" w:themeTint="F2"/>
            </w:tcBorders>
            <w:vAlign w:val="center"/>
          </w:tcPr>
          <w:p w14:paraId="0F0C2117" w14:textId="7B63A549"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90" w:type="dxa"/>
            <w:tcBorders>
              <w:bottom w:val="single" w:sz="12" w:space="0" w:color="0D0D0D" w:themeColor="text1" w:themeTint="F2"/>
            </w:tcBorders>
            <w:vAlign w:val="center"/>
          </w:tcPr>
          <w:p w14:paraId="5F5E1DCF" w14:textId="7204977D"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c>
          <w:tcPr>
            <w:tcW w:w="900" w:type="dxa"/>
            <w:tcBorders>
              <w:bottom w:val="single" w:sz="12" w:space="0" w:color="0D0D0D" w:themeColor="text1" w:themeTint="F2"/>
              <w:right w:val="single" w:sz="12" w:space="0" w:color="0D0D0D" w:themeColor="text1" w:themeTint="F2"/>
            </w:tcBorders>
            <w:vAlign w:val="center"/>
          </w:tcPr>
          <w:p w14:paraId="38AA7FB7" w14:textId="556E8AC9" w:rsidR="00E66C87" w:rsidRPr="0014075D" w:rsidRDefault="009B73BE" w:rsidP="0014075D">
            <w:pPr>
              <w:jc w:val="center"/>
              <w:rPr>
                <w:rFonts w:cs="Calibri"/>
                <w:sz w:val="22"/>
                <w:szCs w:val="22"/>
              </w:rPr>
            </w:pPr>
            <w:r w:rsidRPr="009B73BE">
              <w:rPr>
                <w:rFonts w:ascii="Segoe UI Symbol" w:hAnsi="Segoe UI Symbol" w:cs="Segoe UI Symbol"/>
                <w:sz w:val="22"/>
                <w:szCs w:val="22"/>
              </w:rPr>
              <w:t>☐</w:t>
            </w:r>
          </w:p>
        </w:tc>
      </w:tr>
    </w:tbl>
    <w:p w14:paraId="0082BA98" w14:textId="77777777" w:rsidR="00697B0C" w:rsidRDefault="00697B0C" w:rsidP="00EB5963">
      <w:pPr>
        <w:sectPr w:rsidR="00697B0C" w:rsidSect="00697B0C">
          <w:pgSz w:w="15840" w:h="12240" w:orient="landscape"/>
          <w:pgMar w:top="1440" w:right="1440" w:bottom="1440" w:left="1440" w:header="720" w:footer="720" w:gutter="0"/>
          <w:pgNumType w:chapStyle="1"/>
          <w:cols w:space="720"/>
          <w:docGrid w:linePitch="360"/>
        </w:sectPr>
      </w:pPr>
    </w:p>
    <w:p w14:paraId="4C001DF3" w14:textId="38BE1F33" w:rsidR="00EB5963" w:rsidRDefault="00697B0C" w:rsidP="00846B8F">
      <w:pPr>
        <w:pStyle w:val="Heading2"/>
        <w:numPr>
          <w:ilvl w:val="1"/>
          <w:numId w:val="169"/>
        </w:numPr>
      </w:pPr>
      <w:bookmarkStart w:id="216" w:name="_Toc208503293"/>
      <w:r>
        <w:lastRenderedPageBreak/>
        <w:t>References</w:t>
      </w:r>
      <w:bookmarkEnd w:id="216"/>
    </w:p>
    <w:p w14:paraId="6502E96D" w14:textId="77777777" w:rsidR="0096181A" w:rsidRDefault="0096181A" w:rsidP="0096181A">
      <w:pPr>
        <w:rPr>
          <w:rFonts w:ascii="Times New Roman" w:hAnsi="Times New Roman"/>
        </w:rPr>
      </w:pPr>
      <w:r>
        <w:t xml:space="preserve">Aase, B., Sundheim, G., Langsrud, S., &amp; Rørvik, L. M. (2000). Occurrence of and a possible mechanism for resistance to a quaternary ammonium compound in Listeria monocytogenes. </w:t>
      </w:r>
      <w:r>
        <w:rPr>
          <w:i/>
          <w:iCs/>
        </w:rPr>
        <w:t>International Journal of Food Microbiology</w:t>
      </w:r>
      <w:r>
        <w:t xml:space="preserve">, </w:t>
      </w:r>
      <w:r>
        <w:rPr>
          <w:i/>
          <w:iCs/>
        </w:rPr>
        <w:t>62</w:t>
      </w:r>
      <w:r>
        <w:t>(1–2), 57–63. https://doi.org/10.1016/S0168-1605(00)00357-3</w:t>
      </w:r>
    </w:p>
    <w:p w14:paraId="3BC1E05A" w14:textId="77777777" w:rsidR="0096181A" w:rsidRDefault="0096181A" w:rsidP="0096181A">
      <w:r>
        <w:t xml:space="preserve">Akomea-Frempong, S., Perry, J. J., &amp; Skonberg, D. I. (2022). Effects of pre-freezing blanching procedures on the physicochemical properties and microbial quality of frozen sugar kelp. </w:t>
      </w:r>
      <w:r>
        <w:rPr>
          <w:i/>
          <w:iCs/>
        </w:rPr>
        <w:t>Journal of Applied Phycology</w:t>
      </w:r>
      <w:r>
        <w:t xml:space="preserve">, </w:t>
      </w:r>
      <w:r>
        <w:rPr>
          <w:i/>
          <w:iCs/>
        </w:rPr>
        <w:t>34</w:t>
      </w:r>
      <w:r>
        <w:t>(1), 609–624. https://doi.org/10.1007/s10811-021-02610-0</w:t>
      </w:r>
    </w:p>
    <w:p w14:paraId="17C8A9CD" w14:textId="77777777" w:rsidR="0096181A" w:rsidRDefault="0096181A" w:rsidP="0096181A">
      <w:r>
        <w:t xml:space="preserve">Akomea-Frempong, S., Skonberg, D. I., Camire, M. E., &amp; Perry, J. J. (2021). Impact of Blanching, Freezing, and Fermentation on Physicochemical, Microbial, and Sensory Quality of Sugar Kelp (Saccharina latissima). </w:t>
      </w:r>
      <w:r>
        <w:rPr>
          <w:i/>
          <w:iCs/>
        </w:rPr>
        <w:t>Foods</w:t>
      </w:r>
      <w:r>
        <w:t xml:space="preserve">, </w:t>
      </w:r>
      <w:r>
        <w:rPr>
          <w:i/>
          <w:iCs/>
        </w:rPr>
        <w:t>10</w:t>
      </w:r>
      <w:r>
        <w:t>(10), 2258. https://doi.org/10.3390/foods10102258</w:t>
      </w:r>
    </w:p>
    <w:p w14:paraId="0826CD6E" w14:textId="77777777" w:rsidR="0096181A" w:rsidRDefault="0096181A" w:rsidP="0096181A">
      <w:r>
        <w:t>Arya, R. (2025). Impact of post-harvest processing and preservation methods on safety, quality and sensory attributes of sugar kelp (</w:t>
      </w:r>
      <w:r>
        <w:rPr>
          <w:i/>
          <w:iCs/>
        </w:rPr>
        <w:t>Saccharina latissima</w:t>
      </w:r>
      <w:r>
        <w:t>). Thesis, University of Maine.</w:t>
      </w:r>
    </w:p>
    <w:p w14:paraId="53A3B207" w14:textId="77777777" w:rsidR="0096181A" w:rsidRDefault="0096181A" w:rsidP="0096181A">
      <w:r>
        <w:t xml:space="preserve">Beuchat, L., Komitopoulou, E., Betts, R., Beckers, H., Bourdichon, F., Joosten, H., Fanning, S., &amp; ter Kuile, B. (2011). </w:t>
      </w:r>
      <w:r>
        <w:rPr>
          <w:i/>
          <w:iCs/>
        </w:rPr>
        <w:t>Persistence and survival of pathogens in dry foods and dry food processing environments</w:t>
      </w:r>
      <w:r>
        <w:t>. ILSI Europe.</w:t>
      </w:r>
    </w:p>
    <w:p w14:paraId="49F191CE" w14:textId="77777777" w:rsidR="0096181A" w:rsidRDefault="0096181A" w:rsidP="0096181A">
      <w:r>
        <w:t xml:space="preserve">Blikra, M. J., Skipnes, D., &amp; Skåra, T. (2022). On the use of pulsed electric field technology as a pretreatment to reduce the content of potentially toxic elements in dried Saccharina latissima. </w:t>
      </w:r>
      <w:r>
        <w:rPr>
          <w:i/>
          <w:iCs/>
        </w:rPr>
        <w:t>LWT</w:t>
      </w:r>
      <w:r>
        <w:t xml:space="preserve">, </w:t>
      </w:r>
      <w:r>
        <w:rPr>
          <w:i/>
          <w:iCs/>
        </w:rPr>
        <w:t>169</w:t>
      </w:r>
      <w:r>
        <w:t>, 114033. https://doi.org/10.1016/j.lwt.2022.114033</w:t>
      </w:r>
    </w:p>
    <w:p w14:paraId="53736ED1" w14:textId="77777777" w:rsidR="0096181A" w:rsidRDefault="0096181A" w:rsidP="0096181A">
      <w:r>
        <w:t xml:space="preserve">Bruhn, A., Brynning, G., Johansen, A., Lindegaard, M. S., Sveigaard, H. H., Aarup, B., Fonager, L., Andersen, L. L., Rasmussen, M. B., Larsen, M. M., Elsser-Gravesen, D., &amp; Børsting, M. E. (2019). Fermentation of sugar kelp (Saccharina latissima)—Effects on sensory properties, and content of minerals and metals. </w:t>
      </w:r>
      <w:r>
        <w:rPr>
          <w:i/>
          <w:iCs/>
        </w:rPr>
        <w:t>Journal of Applied Phycology</w:t>
      </w:r>
      <w:r>
        <w:t xml:space="preserve">, </w:t>
      </w:r>
      <w:r>
        <w:rPr>
          <w:i/>
          <w:iCs/>
        </w:rPr>
        <w:t>31</w:t>
      </w:r>
      <w:r>
        <w:t>(5), 3175–3187. https://doi.org/10.1007/s10811-019-01827-4</w:t>
      </w:r>
    </w:p>
    <w:p w14:paraId="0E6F1FBF" w14:textId="77777777" w:rsidR="0096181A" w:rsidRDefault="0096181A" w:rsidP="0096181A">
      <w:r>
        <w:t xml:space="preserve">Buchholz, A. L., Davidson, G. R., Marks, B. P., Todd, E. C. D., &amp; Ryser, E. T. (2012). Transfer of Escherichia coli O157:H7 from Equipment Surfaces to Fresh-Cut Leafy Greens during Processing in a Model Pilot-Plant Production Line with Sanitizer-Free Water. </w:t>
      </w:r>
      <w:r>
        <w:rPr>
          <w:i/>
          <w:iCs/>
        </w:rPr>
        <w:t>Journal of Food Protection</w:t>
      </w:r>
      <w:r>
        <w:t xml:space="preserve">, </w:t>
      </w:r>
      <w:r>
        <w:rPr>
          <w:i/>
          <w:iCs/>
        </w:rPr>
        <w:t>75</w:t>
      </w:r>
      <w:r>
        <w:t>(11), 1920–1929. https://doi.org/10.4315/0362-028X.JFP-11-558</w:t>
      </w:r>
    </w:p>
    <w:p w14:paraId="5821915E" w14:textId="77777777" w:rsidR="0096181A" w:rsidRDefault="0096181A" w:rsidP="0096181A">
      <w:r>
        <w:t xml:space="preserve">Campos, B. M., Ramalho, E., Marmelo, I., Noronha, J. P., Malfeito-Ferreira, M., Mata, P., &amp; Diniz, M. S. (2022). Proximate Composition, Physicochemical and Microbiological Characterization of Edible Seaweeds Available in the Portuguese Market. </w:t>
      </w:r>
      <w:r>
        <w:rPr>
          <w:i/>
          <w:iCs/>
        </w:rPr>
        <w:t>Frontiers in Bioscience-Elite</w:t>
      </w:r>
      <w:r>
        <w:t xml:space="preserve">, </w:t>
      </w:r>
      <w:r>
        <w:rPr>
          <w:i/>
          <w:iCs/>
        </w:rPr>
        <w:t>14</w:t>
      </w:r>
      <w:r>
        <w:t>(4), 26. https://doi.org/10.31083/j.fbe1404026</w:t>
      </w:r>
    </w:p>
    <w:p w14:paraId="1AD298B8" w14:textId="77777777" w:rsidR="0096181A" w:rsidRDefault="0096181A" w:rsidP="0096181A">
      <w:r>
        <w:lastRenderedPageBreak/>
        <w:t xml:space="preserve">CDC. (2024, October 11). </w:t>
      </w:r>
      <w:r>
        <w:rPr>
          <w:i/>
          <w:iCs/>
        </w:rPr>
        <w:t>Clinical Overview of Listeriosis</w:t>
      </w:r>
      <w:r>
        <w:t>. https://www.cdc.gov/listeria/hcp/clinical-overview/index.html</w:t>
      </w:r>
    </w:p>
    <w:p w14:paraId="1C398EF5" w14:textId="77777777" w:rsidR="0096181A" w:rsidRDefault="0096181A" w:rsidP="0096181A">
      <w:r>
        <w:t xml:space="preserve">Choi, E. S., Kim, N. H., Kim, H. W., Kim, S. A., Jo, J. I., Kim, S. H., Lee, S. H., Do Ha, S., &amp; Rhee, M. S. (2014). Microbiological Quality of Seasoned Roasted Laver and Potential Hazard Control in a Real Processing Line. </w:t>
      </w:r>
      <w:r>
        <w:rPr>
          <w:i/>
          <w:iCs/>
        </w:rPr>
        <w:t>Journal of Food Protection</w:t>
      </w:r>
      <w:r>
        <w:t xml:space="preserve">, </w:t>
      </w:r>
      <w:r>
        <w:rPr>
          <w:i/>
          <w:iCs/>
        </w:rPr>
        <w:t>77</w:t>
      </w:r>
      <w:r>
        <w:t>(12), 2069–2075. https://doi.org/10.4315/0362-028X.JFP-14-177</w:t>
      </w:r>
    </w:p>
    <w:p w14:paraId="672E04C0" w14:textId="77777777" w:rsidR="0096181A" w:rsidRDefault="0096181A" w:rsidP="0096181A">
      <w:r>
        <w:t xml:space="preserve">Chu, F. S. (Ed.). (2006). Mycotoxins and alimentary mycotoxicoses. In </w:t>
      </w:r>
      <w:r>
        <w:rPr>
          <w:i/>
          <w:iCs/>
        </w:rPr>
        <w:t>Foodborne infections and intoxications</w:t>
      </w:r>
      <w:r>
        <w:t xml:space="preserve"> (3rd ed). Academic press.</w:t>
      </w:r>
    </w:p>
    <w:p w14:paraId="6B7918FB" w14:textId="77777777" w:rsidR="0096181A" w:rsidRDefault="0096181A" w:rsidP="0096181A">
      <w:r>
        <w:t xml:space="preserve">Cliver, D. O., Matsui, S. M., &amp; Casteel, M. (2006). Infections with viruses and prions. In </w:t>
      </w:r>
      <w:r>
        <w:rPr>
          <w:i/>
          <w:iCs/>
        </w:rPr>
        <w:t>Foodborne infections and intoxications</w:t>
      </w:r>
      <w:r>
        <w:t xml:space="preserve"> (3rd ed, pp. 367–448). Academic press.</w:t>
      </w:r>
    </w:p>
    <w:p w14:paraId="1FC05038" w14:textId="77777777" w:rsidR="0096181A" w:rsidRDefault="0096181A" w:rsidP="0096181A">
      <w:r w:rsidRPr="000B1F22">
        <w:rPr>
          <w:lang w:val="es-ES"/>
        </w:rPr>
        <w:t xml:space="preserve">Del Olmo, A., Picon, A., &amp; Nuñez, M. (2019). </w:t>
      </w:r>
      <w:r>
        <w:t xml:space="preserve">High pressure processing for the extension of Laminaria ochroleuca (kombu) shelf-life: A comparative study with seaweed salting and freezing. </w:t>
      </w:r>
      <w:r>
        <w:rPr>
          <w:i/>
          <w:iCs/>
        </w:rPr>
        <w:t>Innovative Food Science &amp; Emerging Technologies</w:t>
      </w:r>
      <w:r>
        <w:t xml:space="preserve">, </w:t>
      </w:r>
      <w:r>
        <w:rPr>
          <w:i/>
          <w:iCs/>
        </w:rPr>
        <w:t>52</w:t>
      </w:r>
      <w:r>
        <w:t xml:space="preserve">, 420–428. </w:t>
      </w:r>
      <w:hyperlink r:id="rId178" w:history="1">
        <w:r>
          <w:rPr>
            <w:rStyle w:val="Hyperlink"/>
            <w:rFonts w:cs="Calibri"/>
            <w:color w:val="1155CC"/>
          </w:rPr>
          <w:t>https://doi.org/10.1016/j.ifset.2019.02.007</w:t>
        </w:r>
      </w:hyperlink>
    </w:p>
    <w:p w14:paraId="2FD231B6" w14:textId="77777777" w:rsidR="0096181A" w:rsidRDefault="0096181A" w:rsidP="0096181A">
      <w:r w:rsidRPr="000B1F22">
        <w:rPr>
          <w:lang w:val="es-ES"/>
        </w:rPr>
        <w:t xml:space="preserve">Del Olmo, A., Picon, A., &amp; Nuñez, M. (2018). </w:t>
      </w:r>
      <w:r>
        <w:t xml:space="preserve">The microbiota of eight species of dehydrated edible seaweeds from North West Spain. </w:t>
      </w:r>
      <w:r>
        <w:rPr>
          <w:i/>
          <w:iCs/>
        </w:rPr>
        <w:t>Food Microbiology</w:t>
      </w:r>
      <w:r>
        <w:t xml:space="preserve">, </w:t>
      </w:r>
      <w:r>
        <w:rPr>
          <w:i/>
          <w:iCs/>
        </w:rPr>
        <w:t>70</w:t>
      </w:r>
      <w:r>
        <w:t>, 224–231. https://doi.org/10.1016/j.fm.2017.10.009</w:t>
      </w:r>
    </w:p>
    <w:p w14:paraId="2DC9E3E4" w14:textId="77777777" w:rsidR="0096181A" w:rsidRDefault="0096181A" w:rsidP="0096181A">
      <w:r>
        <w:t xml:space="preserve">Ding, Y., Zhou, F., Zhou, R., Wang, Q., Pan, S., &amp; Wang, W. (2025). Microbial level and microbiota change of laver in dried laver processing line during production seasons. </w:t>
      </w:r>
      <w:r>
        <w:rPr>
          <w:i/>
          <w:iCs/>
        </w:rPr>
        <w:t xml:space="preserve">Foods, 14, </w:t>
      </w:r>
      <w:r>
        <w:t>399.</w:t>
      </w:r>
    </w:p>
    <w:p w14:paraId="35387453" w14:textId="77777777" w:rsidR="0096181A" w:rsidRDefault="0096181A" w:rsidP="0096181A">
      <w:r w:rsidRPr="00F85DE5">
        <w:t xml:space="preserve">Enriquez, C. E., Hurst, C. J., &amp; Gerba, C. P. (1995). </w:t>
      </w:r>
      <w:r>
        <w:t xml:space="preserve">Survival of the enteric adenoviruses 40 and 41 in tap, sea, and waste water. </w:t>
      </w:r>
      <w:r>
        <w:rPr>
          <w:i/>
          <w:iCs/>
        </w:rPr>
        <w:t>Water Research</w:t>
      </w:r>
      <w:r>
        <w:t xml:space="preserve">, </w:t>
      </w:r>
      <w:r>
        <w:rPr>
          <w:i/>
          <w:iCs/>
        </w:rPr>
        <w:t>29</w:t>
      </w:r>
      <w:r>
        <w:t>(11), 2548–2553. https://doi.org/10.1016/0043-1354(95)00070-2</w:t>
      </w:r>
    </w:p>
    <w:p w14:paraId="51D36D77" w14:textId="77777777" w:rsidR="0096181A" w:rsidRDefault="0096181A" w:rsidP="0096181A">
      <w:r>
        <w:t xml:space="preserve">Ferreira, V., Wiedmann, M., Teixeira, P., &amp; Stasiewicz, M. J. (2014). Listeria monocytogenes Persistence in Food-Associated Environments: Epidemiology, Strain Characteristics, and Implications for Public Health. </w:t>
      </w:r>
      <w:r>
        <w:rPr>
          <w:i/>
          <w:iCs/>
        </w:rPr>
        <w:t>Journal of Food Protection</w:t>
      </w:r>
      <w:r>
        <w:t xml:space="preserve">, </w:t>
      </w:r>
      <w:r>
        <w:rPr>
          <w:i/>
          <w:iCs/>
        </w:rPr>
        <w:t>77</w:t>
      </w:r>
      <w:r>
        <w:t>(1), 150–170. https://doi.org/10.4315/0362-028X.JFP-13-150</w:t>
      </w:r>
    </w:p>
    <w:p w14:paraId="371B5BDA" w14:textId="77777777" w:rsidR="0096181A" w:rsidRDefault="0096181A" w:rsidP="0096181A">
      <w:r>
        <w:t xml:space="preserve">Gill, A., Carrillo, C., Hadley, M., Kenwell, R., &amp; Chui, L. (2019). Bacteriological analysis of wheat flour associated with an outbreak of Shiga toxin-producing </w:t>
      </w:r>
      <w:r>
        <w:rPr>
          <w:i/>
          <w:iCs/>
        </w:rPr>
        <w:t xml:space="preserve">Escherichia coli </w:t>
      </w:r>
      <w:r>
        <w:t xml:space="preserve">O121. </w:t>
      </w:r>
      <w:r>
        <w:rPr>
          <w:i/>
          <w:iCs/>
        </w:rPr>
        <w:t xml:space="preserve">Food Microbiology, 82, </w:t>
      </w:r>
      <w:r>
        <w:t>474-481.</w:t>
      </w:r>
    </w:p>
    <w:p w14:paraId="2F9F8A12" w14:textId="77777777" w:rsidR="0096181A" w:rsidRDefault="0096181A" w:rsidP="0096181A">
      <w:r>
        <w:t xml:space="preserve">Gill, A., McMahon, T., Dussault, F., &amp; Petronella, N. (2020). Shiga toxin-producing </w:t>
      </w:r>
      <w:r>
        <w:rPr>
          <w:i/>
          <w:iCs/>
        </w:rPr>
        <w:t xml:space="preserve">Escherichia coli </w:t>
      </w:r>
      <w:r>
        <w:t xml:space="preserve">survives storage in wheat flour for two years. </w:t>
      </w:r>
      <w:r>
        <w:rPr>
          <w:i/>
          <w:iCs/>
        </w:rPr>
        <w:t>Food Microbiology, 87</w:t>
      </w:r>
      <w:r>
        <w:t>, 103380.</w:t>
      </w:r>
    </w:p>
    <w:p w14:paraId="1680A025" w14:textId="77777777" w:rsidR="0096181A" w:rsidRDefault="0096181A" w:rsidP="0096181A">
      <w:r>
        <w:t xml:space="preserve">Good, M., Meyer, L., &amp; Sannito, C. (2021). </w:t>
      </w:r>
      <w:r>
        <w:rPr>
          <w:i/>
          <w:iCs/>
        </w:rPr>
        <w:t>Seaweed handling and processing guidelines for Alaska</w:t>
      </w:r>
      <w:r>
        <w:t>. Alaska Sea Grant, University of Alaska.</w:t>
      </w:r>
    </w:p>
    <w:p w14:paraId="5F8C697B" w14:textId="77777777" w:rsidR="0096181A" w:rsidRDefault="0096181A" w:rsidP="0096181A">
      <w:r>
        <w:lastRenderedPageBreak/>
        <w:t xml:space="preserve">Gupta, S., Abu-Ghannam, N., &amp; Scannell, A. G. M. (2011). Growth and kinetics of Lactobacillus plantarum in the fermentation of edible Irish brown seaweeds. </w:t>
      </w:r>
      <w:r>
        <w:rPr>
          <w:i/>
          <w:iCs/>
        </w:rPr>
        <w:t>Food and Bioproducts Processing</w:t>
      </w:r>
      <w:r>
        <w:t xml:space="preserve">, </w:t>
      </w:r>
      <w:r>
        <w:rPr>
          <w:i/>
          <w:iCs/>
        </w:rPr>
        <w:t>89</w:t>
      </w:r>
      <w:r>
        <w:t>(4), 346–355. https://doi.org/10.1016/j.fbp.2010.10.001</w:t>
      </w:r>
    </w:p>
    <w:p w14:paraId="28B77CCF" w14:textId="77777777" w:rsidR="0096181A" w:rsidRDefault="0096181A" w:rsidP="0096181A">
      <w:r>
        <w:t xml:space="preserve">Hyun, J.-E., Kim, J.-H., Choi, Y.-S., Kim, E.-M., Kim, J.-C., &amp; Lee, S.-Y. (2018). Evaluation of microbial quality of dried foods stored at different relative humidity and temperature, and effect of packaging methods. </w:t>
      </w:r>
      <w:r>
        <w:rPr>
          <w:i/>
          <w:iCs/>
        </w:rPr>
        <w:t>Journal of Food Safety</w:t>
      </w:r>
      <w:r>
        <w:t xml:space="preserve">, </w:t>
      </w:r>
      <w:r>
        <w:rPr>
          <w:i/>
          <w:iCs/>
        </w:rPr>
        <w:t>38</w:t>
      </w:r>
      <w:r>
        <w:t>(2), e12433.</w:t>
      </w:r>
    </w:p>
    <w:p w14:paraId="223BE4F9" w14:textId="77777777" w:rsidR="0096181A" w:rsidRDefault="0096181A" w:rsidP="0096181A">
      <w:r>
        <w:t xml:space="preserve">Jeon, E. B., Kim, J. Y., Song, M. G., Kim, J.-S., Heu, M. S., Lee, J. S., &amp; Park, S. Y. (2021). Risk Analysis and Safety Assessment of Microbiological and Chemical Hazards in the Dried Sea Mustard Undaria pinnatifida Distributed in Markets. </w:t>
      </w:r>
      <w:r>
        <w:rPr>
          <w:i/>
          <w:iCs/>
        </w:rPr>
        <w:t>Korean Journal of Fisheries and Aquatic Sciences</w:t>
      </w:r>
      <w:r>
        <w:t xml:space="preserve">, </w:t>
      </w:r>
      <w:r>
        <w:rPr>
          <w:i/>
          <w:iCs/>
        </w:rPr>
        <w:t>54</w:t>
      </w:r>
      <w:r>
        <w:t>(6), 904–911. https://doi.org/10.5657/KFAS.2021.0904</w:t>
      </w:r>
    </w:p>
    <w:p w14:paraId="6ECBDAC7" w14:textId="77777777" w:rsidR="0096181A" w:rsidRDefault="0096181A" w:rsidP="0096181A">
      <w:r>
        <w:t xml:space="preserve">Jönsson, M., Allahgholi, L., Rayner, M., &amp; Nordberg Karlsson, E. (2023). Exploration of high-pressure processing (HPP) for preservation of the Swedish grown brown macroalgae Saccharina latissima. </w:t>
      </w:r>
      <w:r>
        <w:rPr>
          <w:i/>
          <w:iCs/>
        </w:rPr>
        <w:t>Frontiers in Food Science and Technology</w:t>
      </w:r>
      <w:r>
        <w:t xml:space="preserve">, </w:t>
      </w:r>
      <w:r>
        <w:rPr>
          <w:i/>
          <w:iCs/>
        </w:rPr>
        <w:t>3</w:t>
      </w:r>
      <w:r>
        <w:t>, 1150482. https://doi.org/10.3389/frfst.2023.1150482</w:t>
      </w:r>
    </w:p>
    <w:p w14:paraId="1D94F896" w14:textId="77777777" w:rsidR="0096181A" w:rsidRDefault="0096181A" w:rsidP="0096181A">
      <w:r>
        <w:t xml:space="preserve">Kim, D.-W., Kim, M.-J., Shin, T.-S., Kim, S.-J., &amp; Jung, B.-M. (2008). Application of hydrogen peroxide on the bacterial control of seaweed, Capsosiphon fulvescens (Mesaengi). </w:t>
      </w:r>
      <w:r>
        <w:rPr>
          <w:i/>
          <w:iCs/>
        </w:rPr>
        <w:t>Korean Journal of Food Preservation</w:t>
      </w:r>
      <w:r>
        <w:t xml:space="preserve">, </w:t>
      </w:r>
      <w:r>
        <w:rPr>
          <w:i/>
          <w:iCs/>
        </w:rPr>
        <w:t>15</w:t>
      </w:r>
      <w:r>
        <w:t>(2), 169–173.</w:t>
      </w:r>
    </w:p>
    <w:p w14:paraId="7711425E" w14:textId="77777777" w:rsidR="0096181A" w:rsidRDefault="0096181A" w:rsidP="0096181A">
      <w:r>
        <w:t xml:space="preserve">Kim, S. H., Jeon, E. B., Song, M. G., Kim, J.-S., Lee, J.-S., Heu, M. S., &amp; Park, S. Y. (2023). Safety Assessment of Microbiological and Chemical Hazards in Commercial Dried Laver Pyropia tenera. </w:t>
      </w:r>
      <w:r>
        <w:rPr>
          <w:i/>
          <w:iCs/>
        </w:rPr>
        <w:t>Korean Journal of Fisheries and Aquatic Sciences</w:t>
      </w:r>
      <w:r>
        <w:t xml:space="preserve">, </w:t>
      </w:r>
      <w:r>
        <w:rPr>
          <w:i/>
          <w:iCs/>
        </w:rPr>
        <w:t>56</w:t>
      </w:r>
      <w:r>
        <w:t>(2), 182–187. https://doi.org/10.5657/KFAS.2023.0182</w:t>
      </w:r>
    </w:p>
    <w:p w14:paraId="6C2C12F9" w14:textId="77777777" w:rsidR="0096181A" w:rsidRDefault="0096181A" w:rsidP="0096181A">
      <w:r>
        <w:t xml:space="preserve">Klein, C. Ø., Sørensen, J. S., Scheel, N. H., Gröndahl, F., Bang-Berthelsen, C. H., Holdt, S. L., &amp; Hansen, L. T. (2023). Salt pickling as a post-harvest treatment to prolong shelf-life of sugar kelp (Saccharina latissima). </w:t>
      </w:r>
      <w:r>
        <w:rPr>
          <w:i/>
          <w:iCs/>
        </w:rPr>
        <w:t>Book of Abstracts: 51th WEFTA Conference</w:t>
      </w:r>
      <w:r>
        <w:t>, 42–44.</w:t>
      </w:r>
    </w:p>
    <w:p w14:paraId="71E0B9FD" w14:textId="77777777" w:rsidR="0096181A" w:rsidRDefault="0096181A" w:rsidP="0096181A">
      <w:r>
        <w:t xml:space="preserve">Le Loeuff, J., Boy, V., Morançais, P., Bourgougnon, N., &amp; Lanoisellé, J.-L. (2024). Enhancing brown seaweed </w:t>
      </w:r>
      <w:r>
        <w:rPr>
          <w:i/>
          <w:iCs/>
        </w:rPr>
        <w:t>Sargassum muticum</w:t>
      </w:r>
      <w:r>
        <w:t xml:space="preserve"> drying using pulsed electric fields and dehydration pretreatments. </w:t>
      </w:r>
      <w:r>
        <w:rPr>
          <w:i/>
          <w:iCs/>
        </w:rPr>
        <w:t>Drying Technology</w:t>
      </w:r>
      <w:r>
        <w:t xml:space="preserve">, </w:t>
      </w:r>
      <w:r>
        <w:rPr>
          <w:i/>
          <w:iCs/>
        </w:rPr>
        <w:t>42</w:t>
      </w:r>
      <w:r>
        <w:t>(11), 1766–1777. https://doi.org/10.1080/07373937.2024.2388307</w:t>
      </w:r>
    </w:p>
    <w:p w14:paraId="554C0F87" w14:textId="77777777" w:rsidR="0096181A" w:rsidRDefault="0096181A" w:rsidP="0096181A">
      <w:r>
        <w:t xml:space="preserve">Lee, H., Park, D. H., Kim, E. J., &amp; Choi, M.-J. (2023). Freshness Analysis of Raw Laver (Pyropia yenzoensis) Conserved under Supercooling Conditions. </w:t>
      </w:r>
      <w:r>
        <w:rPr>
          <w:i/>
          <w:iCs/>
        </w:rPr>
        <w:t>Foods</w:t>
      </w:r>
      <w:r>
        <w:t xml:space="preserve">, </w:t>
      </w:r>
      <w:r>
        <w:rPr>
          <w:i/>
          <w:iCs/>
        </w:rPr>
        <w:t>12</w:t>
      </w:r>
      <w:r>
        <w:t>(3), 510. https://doi.org/10.3390/foods12030510</w:t>
      </w:r>
    </w:p>
    <w:p w14:paraId="61FC882E" w14:textId="77777777" w:rsidR="0096181A" w:rsidRDefault="0096181A" w:rsidP="0096181A">
      <w:r>
        <w:t xml:space="preserve">Lytou, A. E., Schoina, E., Liu, Y., Michalek, K., Stanley, M. S., Panagou, E. Z., &amp; Nychas, G.-J. E. (2021). Quality and Safety Assessment of Edible Seaweeds Alaria esculenta and Saccharina latissima Cultivated in Scotland. </w:t>
      </w:r>
      <w:r>
        <w:rPr>
          <w:i/>
          <w:iCs/>
        </w:rPr>
        <w:t>Foods</w:t>
      </w:r>
      <w:r>
        <w:t xml:space="preserve">, </w:t>
      </w:r>
      <w:r>
        <w:rPr>
          <w:i/>
          <w:iCs/>
        </w:rPr>
        <w:t>10</w:t>
      </w:r>
      <w:r>
        <w:t>(9), 2210. https://doi.org/10.3390/foods10092210</w:t>
      </w:r>
    </w:p>
    <w:p w14:paraId="30013A42" w14:textId="77777777" w:rsidR="0096181A" w:rsidRDefault="0096181A" w:rsidP="0096181A">
      <w:r>
        <w:lastRenderedPageBreak/>
        <w:t xml:space="preserve">Malley, T. J. V., Butts, J., &amp; Wiedmann, M. (2015). Seek and Destroy Process: Listeria monocytogenes Process Controls in the Ready-to-Eat Meat and Poultry Industry. </w:t>
      </w:r>
      <w:r>
        <w:rPr>
          <w:i/>
          <w:iCs/>
        </w:rPr>
        <w:t>Journal of Food Protection</w:t>
      </w:r>
      <w:r>
        <w:t xml:space="preserve">, </w:t>
      </w:r>
      <w:r>
        <w:rPr>
          <w:i/>
          <w:iCs/>
        </w:rPr>
        <w:t>78</w:t>
      </w:r>
      <w:r>
        <w:t>(2), 436–445. https://doi.org/10.4315/0362-028X.JFP-13-507</w:t>
      </w:r>
    </w:p>
    <w:p w14:paraId="3A24BEE2" w14:textId="77777777" w:rsidR="0096181A" w:rsidRDefault="0096181A" w:rsidP="0096181A">
      <w:r>
        <w:t xml:space="preserve">McClure, P. J., Roberts, T. A., &amp; Oguru, P. O. (1989). Comparison of the effects of sodium chloride, pH and temperature on the growth of Listeria monocytogenes on gradient plates and in liquid medium. </w:t>
      </w:r>
      <w:r>
        <w:rPr>
          <w:i/>
          <w:iCs/>
        </w:rPr>
        <w:t>Letters in Applied Microbiology</w:t>
      </w:r>
      <w:r>
        <w:t xml:space="preserve">, </w:t>
      </w:r>
      <w:r>
        <w:rPr>
          <w:i/>
          <w:iCs/>
        </w:rPr>
        <w:t>9</w:t>
      </w:r>
      <w:r>
        <w:t>, 95–99.</w:t>
      </w:r>
    </w:p>
    <w:p w14:paraId="2EBBB3D4" w14:textId="77777777" w:rsidR="0096181A" w:rsidRDefault="0096181A" w:rsidP="0096181A">
      <w:r>
        <w:t xml:space="preserve">Moreira-Leite, B., Antunes, R., Cotas, J., Martins, N., Costa, N., Noronha, J. P., Mata, P., &amp; Diniz, M. (2023). Modified Atmosphere Packaging (MAP) for Seaweed Conservation: Impact on Physicochemical Characteristics and Microbiological Activity. </w:t>
      </w:r>
      <w:r>
        <w:rPr>
          <w:i/>
          <w:iCs/>
        </w:rPr>
        <w:t>Foods</w:t>
      </w:r>
      <w:r>
        <w:t xml:space="preserve">, </w:t>
      </w:r>
      <w:r>
        <w:rPr>
          <w:i/>
          <w:iCs/>
        </w:rPr>
        <w:t>12</w:t>
      </w:r>
      <w:r>
        <w:t>(14), 2736. https://doi.org/10.3390/foods12142736</w:t>
      </w:r>
    </w:p>
    <w:p w14:paraId="71EE89AE" w14:textId="77777777" w:rsidR="0096181A" w:rsidRDefault="0096181A" w:rsidP="0096181A">
      <w:r>
        <w:t>NACMCF. (2021). Microbiological testing by industry of Ready-to-eat foods under FDA’s jurisdiction for pathogens (or appropriate indicator organisms): Verification of preventive controls. https://www.fsis.usda.gov/sites/default/files/media_file/2022-03/NACMCF_2018-2020_RTE_Testing.pdf</w:t>
      </w:r>
    </w:p>
    <w:p w14:paraId="6724C4DB" w14:textId="77777777" w:rsidR="0096181A" w:rsidRDefault="0096181A" w:rsidP="0096181A">
      <w:r>
        <w:t xml:space="preserve">Pan-utai, W., Satmalee, P., Saah, S., Paopun, Y., &amp; Tamtin, M. (2023). Brine-Processed Caulerpa lentillifera Macroalgal Stability: Physicochemical, Nutritional and Microbiological Properties. </w:t>
      </w:r>
      <w:r>
        <w:rPr>
          <w:i/>
          <w:iCs/>
        </w:rPr>
        <w:t>Life</w:t>
      </w:r>
      <w:r>
        <w:t xml:space="preserve">, </w:t>
      </w:r>
      <w:r>
        <w:rPr>
          <w:i/>
          <w:iCs/>
        </w:rPr>
        <w:t>13</w:t>
      </w:r>
      <w:r>
        <w:t>(11), 2112. https://doi.org/10.3390/life13112112</w:t>
      </w:r>
    </w:p>
    <w:p w14:paraId="08A0EE16" w14:textId="77777777" w:rsidR="0096181A" w:rsidRDefault="0096181A" w:rsidP="0096181A">
      <w:r>
        <w:t xml:space="preserve">Perry, J. J., Brodt, A., &amp; Skonberg, D. I. (2019). Influence of dry salting on quality attributes of farmed kelp (Alaria esculenta) during long-term refrigerated storage. </w:t>
      </w:r>
      <w:r>
        <w:rPr>
          <w:i/>
          <w:iCs/>
        </w:rPr>
        <w:t>LWT</w:t>
      </w:r>
      <w:r>
        <w:t xml:space="preserve">, </w:t>
      </w:r>
      <w:r>
        <w:rPr>
          <w:i/>
          <w:iCs/>
        </w:rPr>
        <w:t>114</w:t>
      </w:r>
      <w:r>
        <w:t>, 108362. https://doi.org/10.1016/j.lwt.2019.108362</w:t>
      </w:r>
    </w:p>
    <w:p w14:paraId="20DA8462" w14:textId="77777777" w:rsidR="0096181A" w:rsidRDefault="0096181A" w:rsidP="0096181A">
      <w:r>
        <w:t xml:space="preserve">Perry, J. J., Nile, K., &amp; Skonberg, D. I. (2019). </w:t>
      </w:r>
      <w:r>
        <w:rPr>
          <w:i/>
          <w:iCs/>
        </w:rPr>
        <w:t>Survival of foodborne pathogens during production and shelflife of fresh, value-added seaweed products</w:t>
      </w:r>
      <w:r>
        <w:t>. Northeast Aquaculture Conference and Expo, Boston, MA.</w:t>
      </w:r>
    </w:p>
    <w:p w14:paraId="7A155487" w14:textId="77777777" w:rsidR="0096181A" w:rsidRDefault="0096181A" w:rsidP="0096181A">
      <w:r>
        <w:t xml:space="preserve">Scollon, A. M., Wang, H., &amp; Ryser, E. T. (2016). Transfer of Listeria monocytogenes during mechanical slicing of onions. </w:t>
      </w:r>
      <w:r>
        <w:rPr>
          <w:i/>
          <w:iCs/>
        </w:rPr>
        <w:t>Food Control</w:t>
      </w:r>
      <w:r>
        <w:t xml:space="preserve">, </w:t>
      </w:r>
      <w:r>
        <w:rPr>
          <w:i/>
          <w:iCs/>
        </w:rPr>
        <w:t>65</w:t>
      </w:r>
      <w:r>
        <w:t>, 160–167. https://doi.org/10.1016/j.foodcont.2016.01.021</w:t>
      </w:r>
    </w:p>
    <w:p w14:paraId="1F58B056" w14:textId="77777777" w:rsidR="0096181A" w:rsidRDefault="0096181A" w:rsidP="0096181A">
      <w:r>
        <w:t xml:space="preserve">Skonberg, D. I., Fader, S., Perkins, L. B., &amp; Perry, J. J. (2021). Lactic acid fermentation in the development of a seaweed sauerkraut‐style product: Microbiological, physicochemical, and sensory evaluation. </w:t>
      </w:r>
      <w:r>
        <w:rPr>
          <w:i/>
          <w:iCs/>
        </w:rPr>
        <w:t>Journal of Food Science</w:t>
      </w:r>
      <w:r>
        <w:t xml:space="preserve">, </w:t>
      </w:r>
      <w:r>
        <w:rPr>
          <w:i/>
          <w:iCs/>
        </w:rPr>
        <w:t>86</w:t>
      </w:r>
      <w:r>
        <w:t>(2), 334–342. https://doi.org/10.1111/1750-3841.15602</w:t>
      </w:r>
    </w:p>
    <w:p w14:paraId="28719F4C" w14:textId="77777777" w:rsidR="0096181A" w:rsidRDefault="0096181A" w:rsidP="0096181A">
      <w:r>
        <w:t xml:space="preserve">Son, Kwang Tae, Kang, Shin-Kook, Eom, Sung-Hwan, Lee, Dae-Sung, Lee, Myung-Suk, &amp; Kim, Young-Mog. (2014). Food Hazard Analysis During Dried-laver Processing. </w:t>
      </w:r>
      <w:r>
        <w:rPr>
          <w:i/>
          <w:iCs/>
        </w:rPr>
        <w:t>Fisheries and Aquatic Sciences</w:t>
      </w:r>
      <w:r>
        <w:t xml:space="preserve">, </w:t>
      </w:r>
      <w:r>
        <w:rPr>
          <w:i/>
          <w:iCs/>
        </w:rPr>
        <w:t>17</w:t>
      </w:r>
      <w:r>
        <w:t>(2), 197–201. https://doi.org/10.5657/FAS.2014.0197</w:t>
      </w:r>
    </w:p>
    <w:p w14:paraId="29F8E819" w14:textId="77777777" w:rsidR="0096181A" w:rsidRDefault="0096181A" w:rsidP="0096181A">
      <w:r>
        <w:lastRenderedPageBreak/>
        <w:t xml:space="preserve">Sørensen, J. S., Madsen, S. K., Bang-Berthelsen, C. H., &amp; Hansen, L. T. (2021). Quality and safety aspects in fermentation of winged kelp (Alaria esculenta) and sugar kelp (Saccharina latissima) by the natural microbiota with or without addition of a Lactiplantibacillus plantarum starter culture. </w:t>
      </w:r>
      <w:r>
        <w:rPr>
          <w:i/>
          <w:iCs/>
        </w:rPr>
        <w:t>Food Research International</w:t>
      </w:r>
      <w:r>
        <w:t xml:space="preserve">, </w:t>
      </w:r>
      <w:r>
        <w:rPr>
          <w:i/>
          <w:iCs/>
        </w:rPr>
        <w:t>150</w:t>
      </w:r>
      <w:r>
        <w:t>, 110800. https://doi.org/10.1016/j.foodres.2021.110800</w:t>
      </w:r>
    </w:p>
    <w:p w14:paraId="4CECD77B" w14:textId="77777777" w:rsidR="0096181A" w:rsidRDefault="0096181A" w:rsidP="0096181A">
      <w:r>
        <w:t xml:space="preserve">Sørensen, J. S., Rugh Van Reeuwijk, S., Bartle, R. S., &amp; Hansen, L. T. (2023). Inactivation of Salmonella Typhimurium during low heat convection drying of winged kelp (Alaria esculenta). </w:t>
      </w:r>
      <w:r>
        <w:rPr>
          <w:i/>
          <w:iCs/>
        </w:rPr>
        <w:t>LWT</w:t>
      </w:r>
      <w:r>
        <w:t xml:space="preserve">, </w:t>
      </w:r>
      <w:r>
        <w:rPr>
          <w:i/>
          <w:iCs/>
        </w:rPr>
        <w:t>182</w:t>
      </w:r>
      <w:r>
        <w:t>, 114822. https://doi.org/10.1016/j.lwt.2023.114822</w:t>
      </w:r>
    </w:p>
    <w:p w14:paraId="35135FB4" w14:textId="77777777" w:rsidR="0096181A" w:rsidRDefault="0096181A" w:rsidP="0096181A">
      <w:r>
        <w:t xml:space="preserve">Stévant, P., Aachmann, F. L., Arlov, Ø., Nordtvedt, T. S., Sarno, A., Aarstad, O. A., Klau, L. J., Rustad, T., Sæther, M., &amp; Rebours, C. (2024). Changes in food quality attributes of Saccharina latissima following pre-treatments, frozen storage and subsequent thawing. </w:t>
      </w:r>
      <w:r>
        <w:rPr>
          <w:i/>
          <w:iCs/>
        </w:rPr>
        <w:t>Algal Research</w:t>
      </w:r>
      <w:r>
        <w:t xml:space="preserve">, </w:t>
      </w:r>
      <w:r>
        <w:rPr>
          <w:i/>
          <w:iCs/>
        </w:rPr>
        <w:t>82</w:t>
      </w:r>
      <w:r>
        <w:t>, 103612. https://doi.org/10.1016/j.algal.2024.103612</w:t>
      </w:r>
    </w:p>
    <w:p w14:paraId="434B43F3" w14:textId="77777777" w:rsidR="0096181A" w:rsidRDefault="0096181A" w:rsidP="0096181A">
      <w:r>
        <w:t xml:space="preserve">Stévant, P., Ólafsdóttir, A., Déléris, P., Dumay, J., Fleurence, J., Ingadóttir, B., Jónsdóttir, R., Ragueneau, É., Rebours, C., &amp; Rustad, T. (2020). Semi-dry storage as a maturation process for improving the sensory characteristics of the edible red seaweed dulse (Palmaria palmata). </w:t>
      </w:r>
      <w:r>
        <w:rPr>
          <w:i/>
          <w:iCs/>
        </w:rPr>
        <w:t>Algal Research</w:t>
      </w:r>
      <w:r>
        <w:t xml:space="preserve">, </w:t>
      </w:r>
      <w:r>
        <w:rPr>
          <w:i/>
          <w:iCs/>
        </w:rPr>
        <w:t>51</w:t>
      </w:r>
      <w:r>
        <w:t>, 102048. https://doi.org/10.1016/j.algal.2020.102048</w:t>
      </w:r>
    </w:p>
    <w:p w14:paraId="397A86A9" w14:textId="77777777" w:rsidR="0096181A" w:rsidRDefault="0096181A" w:rsidP="0096181A">
      <w:r>
        <w:t xml:space="preserve">Swinscoe, I., Oliver, D. M., Ørnsrud, R., &amp; Quilliam, R. S. (2020). The microbial safety of seaweed as a feed component for black soldier fly (Hermetia illucens) larvae. </w:t>
      </w:r>
      <w:r>
        <w:rPr>
          <w:i/>
          <w:iCs/>
        </w:rPr>
        <w:t>Food Microbiology</w:t>
      </w:r>
      <w:r>
        <w:t xml:space="preserve">, </w:t>
      </w:r>
      <w:r>
        <w:rPr>
          <w:i/>
          <w:iCs/>
        </w:rPr>
        <w:t>91</w:t>
      </w:r>
      <w:r>
        <w:t>, 103535. https://doi.org/10.1016/j.fm.2020.103535</w:t>
      </w:r>
    </w:p>
    <w:p w14:paraId="2C8CE2E1" w14:textId="77777777" w:rsidR="0096181A" w:rsidRDefault="0096181A" w:rsidP="0096181A">
      <w:r>
        <w:t xml:space="preserve">Tompkin, R. B. (2002). Control of Listeria monocytogenes in the Food-Processing Environment. </w:t>
      </w:r>
      <w:r>
        <w:rPr>
          <w:i/>
          <w:iCs/>
        </w:rPr>
        <w:t>Journal of Food Protection</w:t>
      </w:r>
      <w:r>
        <w:t xml:space="preserve">, </w:t>
      </w:r>
      <w:r>
        <w:rPr>
          <w:i/>
          <w:iCs/>
        </w:rPr>
        <w:t>65</w:t>
      </w:r>
      <w:r>
        <w:t>(4), 709–725. https://doi.org/10.4315/0362-028X-65.4.709</w:t>
      </w:r>
    </w:p>
    <w:p w14:paraId="33E89147" w14:textId="77777777" w:rsidR="0096181A" w:rsidRDefault="0096181A" w:rsidP="0096181A">
      <w:r>
        <w:t xml:space="preserve">USFDA, H. F. P., Office of Inspections and Investigations. (2018, August 24). </w:t>
      </w:r>
      <w:r>
        <w:rPr>
          <w:i/>
          <w:iCs/>
        </w:rPr>
        <w:t>CPG Sec 562.450 Identity of Foods—Use of Terms Such as Fresh, Frozen, Dried, Canned, Etc.</w:t>
      </w:r>
      <w:r>
        <w:t xml:space="preserve"> Fda.Gov; FDA. https://www.fda.gov/regulatory-information/search-fda-guidance-documents/cpg-sec-562450-identity-foods-use-terms-such-fresh-frozen-dried-canned-etc</w:t>
      </w:r>
    </w:p>
    <w:p w14:paraId="7C1A2BD4" w14:textId="77777777" w:rsidR="0096181A" w:rsidRDefault="0096181A" w:rsidP="0096181A">
      <w:r>
        <w:t xml:space="preserve">USFDA. (2022). Fish and Fishery Products Hazards and Controls Guidance (pp. 91–98). United States Food and Drug Administration. </w:t>
      </w:r>
      <w:hyperlink r:id="rId179" w:history="1">
        <w:r>
          <w:rPr>
            <w:rStyle w:val="Hyperlink"/>
            <w:rFonts w:cs="Calibri"/>
            <w:color w:val="1155CC"/>
          </w:rPr>
          <w:t>https://www.fda.gov/media/80637/download</w:t>
        </w:r>
      </w:hyperlink>
    </w:p>
    <w:p w14:paraId="13105875" w14:textId="77777777" w:rsidR="0096181A" w:rsidRDefault="0096181A" w:rsidP="0096181A">
      <w:r>
        <w:t xml:space="preserve">USFDA. (2024). Draft Guidance for Industry: Hazard Analysis and Risk-Based Preventive Controls for Human Food. United States Food and Drug Administration. </w:t>
      </w:r>
      <w:hyperlink r:id="rId180" w:history="1">
        <w:r>
          <w:rPr>
            <w:rStyle w:val="Hyperlink"/>
            <w:rFonts w:cs="Calibri"/>
            <w:color w:val="000000"/>
          </w:rPr>
          <w:t>https://www.fda.gov/regulatory-information/search-fda-guidance-documents/draft-guidance-industry-hazard-analysis-and-risk-based-preventive-controls-human-food</w:t>
        </w:r>
      </w:hyperlink>
    </w:p>
    <w:p w14:paraId="751E3E77" w14:textId="77777777" w:rsidR="0096181A" w:rsidRDefault="0096181A" w:rsidP="0096181A">
      <w:r>
        <w:t>Vall-llosera, M., Steinhagen, S., Pavia, H., &amp; Undeland, I. (2024). Brining as an effective method to stabilise sea lettuce (</w:t>
      </w:r>
      <w:r>
        <w:rPr>
          <w:i/>
          <w:iCs/>
        </w:rPr>
        <w:t>Ulva fenestrata</w:t>
      </w:r>
      <w:r>
        <w:t xml:space="preserve">) -impact on colour, texture, chemical characteristics and microbial dynamics. </w:t>
      </w:r>
      <w:r>
        <w:rPr>
          <w:i/>
          <w:iCs/>
        </w:rPr>
        <w:t>Algal Research</w:t>
      </w:r>
      <w:r>
        <w:t xml:space="preserve">, </w:t>
      </w:r>
      <w:r>
        <w:rPr>
          <w:i/>
          <w:iCs/>
        </w:rPr>
        <w:t>83</w:t>
      </w:r>
      <w:r>
        <w:t>, 103700. https://doi.org/10.1016/j.algal.2024.103700</w:t>
      </w:r>
    </w:p>
    <w:p w14:paraId="244F63C0" w14:textId="05D6826A" w:rsidR="0096181A" w:rsidRDefault="0096181A" w:rsidP="0096181A">
      <w:r>
        <w:lastRenderedPageBreak/>
        <w:t xml:space="preserve">Vorse, J. G., Moody, C. T., Massoia, L. C., Perry, J. J., Burkholder, K. M., &amp; Byron, C. J. (2023). Effect of post-harvest processing methods on the microbial safety of edible seaweed. </w:t>
      </w:r>
      <w:r>
        <w:rPr>
          <w:i/>
          <w:iCs/>
        </w:rPr>
        <w:t>Journal of Applied Phycology</w:t>
      </w:r>
      <w:r>
        <w:t xml:space="preserve">, </w:t>
      </w:r>
      <w:r>
        <w:rPr>
          <w:i/>
          <w:iCs/>
        </w:rPr>
        <w:t>35</w:t>
      </w:r>
      <w:r>
        <w:t xml:space="preserve">(3), 1331–1346. </w:t>
      </w:r>
      <w:hyperlink r:id="rId181" w:history="1">
        <w:r>
          <w:rPr>
            <w:rStyle w:val="Hyperlink"/>
            <w:rFonts w:cs="Calibri"/>
            <w:color w:val="1155CC"/>
          </w:rPr>
          <w:t>https://doi.org/10.1007/s10811-023-02937-w</w:t>
        </w:r>
      </w:hyperlink>
    </w:p>
    <w:p w14:paraId="14B294CB" w14:textId="77777777" w:rsidR="0096181A" w:rsidRDefault="0096181A" w:rsidP="0096181A">
      <w:r>
        <w:t xml:space="preserve">Walker, S. J., Archer, P., &amp; Banks, J. G. (1990). Growth of </w:t>
      </w:r>
      <w:r>
        <w:rPr>
          <w:i/>
          <w:iCs/>
        </w:rPr>
        <w:t>Listeria monocytogenes</w:t>
      </w:r>
      <w:r>
        <w:t xml:space="preserve"> at refrigeration temperatures. </w:t>
      </w:r>
      <w:r>
        <w:rPr>
          <w:i/>
          <w:iCs/>
        </w:rPr>
        <w:t>Journal of Applied Bacteriology</w:t>
      </w:r>
      <w:r>
        <w:t xml:space="preserve">, </w:t>
      </w:r>
      <w:r>
        <w:rPr>
          <w:i/>
          <w:iCs/>
        </w:rPr>
        <w:t>68</w:t>
      </w:r>
      <w:r>
        <w:t>(2), 157–162. https://doi.org/10.1111/j.1365-2672.1990.tb02561.x</w:t>
      </w:r>
    </w:p>
    <w:p w14:paraId="2202F3A2" w14:textId="77777777" w:rsidR="0096181A" w:rsidRDefault="0096181A" w:rsidP="0096181A">
      <w:r>
        <w:t xml:space="preserve">Wang, W., Zhu, Z., Wang, C., Zhou, F., Yu, H., Zhang, Y., Zhou, W., Yang, J., Zhu, Q., Chen, Y., Pan, S., Yan, W., &amp; Wang, L. (2023). Post-drying decontamination of laver by dielectric barrier discharge plasma, UV radiation, ozonation, and hot air treatments. </w:t>
      </w:r>
      <w:r>
        <w:rPr>
          <w:i/>
          <w:iCs/>
        </w:rPr>
        <w:t>LWT</w:t>
      </w:r>
      <w:r>
        <w:t xml:space="preserve">, </w:t>
      </w:r>
      <w:r>
        <w:rPr>
          <w:i/>
          <w:iCs/>
        </w:rPr>
        <w:t>176</w:t>
      </w:r>
      <w:r>
        <w:t>, 114518. https://doi.org/10.1016/j.lwt.2023.114518</w:t>
      </w:r>
    </w:p>
    <w:p w14:paraId="6649570E" w14:textId="77777777" w:rsidR="0096181A" w:rsidRDefault="0096181A" w:rsidP="0096181A">
      <w:r>
        <w:t>Wirenfeldt, C. B., Sørensen, J. S., Kreissig, K. J., Hyldig, G., Holdt, S. L., &amp; Hansen, L. T. (2022). Post-harvest quality changes and shelf-life determination of washed and blanched sugar kelp (</w:t>
      </w:r>
      <w:r>
        <w:rPr>
          <w:i/>
          <w:iCs/>
        </w:rPr>
        <w:t>Saccharina latissima</w:t>
      </w:r>
      <w:r>
        <w:t xml:space="preserve">). </w:t>
      </w:r>
      <w:r>
        <w:rPr>
          <w:i/>
          <w:iCs/>
        </w:rPr>
        <w:t>Frontiers in Food Science and Technology</w:t>
      </w:r>
      <w:r>
        <w:t xml:space="preserve">, </w:t>
      </w:r>
      <w:r>
        <w:rPr>
          <w:i/>
          <w:iCs/>
        </w:rPr>
        <w:t>2</w:t>
      </w:r>
      <w:r>
        <w:t>, 1030229. https://doi.org/10.3389/frfst.2022.1030229</w:t>
      </w:r>
    </w:p>
    <w:p w14:paraId="5344F4A9" w14:textId="269D9FAF" w:rsidR="0096181A" w:rsidRPr="0096181A" w:rsidRDefault="0096181A" w:rsidP="0096181A">
      <w:r>
        <w:t xml:space="preserve">Zhou, F., Zhu, Z., Wang, C., Zhao, S., Han, S., Chen, L., Ding, Y., Liao, C., Li, X., Xu, Y., Chen, Y., Yang, J., Pan, S., Wang, W., Wang, L., &amp; Wang, L. (2023). Microbial analysis of the production line for roasted seaweed snacks. </w:t>
      </w:r>
      <w:r>
        <w:rPr>
          <w:i/>
          <w:iCs/>
        </w:rPr>
        <w:t>LWT</w:t>
      </w:r>
      <w:r>
        <w:t xml:space="preserve">, </w:t>
      </w:r>
      <w:r>
        <w:rPr>
          <w:i/>
          <w:iCs/>
        </w:rPr>
        <w:t>187</w:t>
      </w:r>
      <w:r>
        <w:t>, 115372. https://doi.org/10.1016/j.lwt.2023.115372</w:t>
      </w:r>
    </w:p>
    <w:p w14:paraId="5BEE51DB" w14:textId="77777777" w:rsidR="007404E7" w:rsidRDefault="007404E7" w:rsidP="007404E7"/>
    <w:p w14:paraId="1448EB9A" w14:textId="77777777" w:rsidR="007404E7" w:rsidRDefault="007404E7" w:rsidP="007404E7">
      <w:pPr>
        <w:sectPr w:rsidR="007404E7" w:rsidSect="0014075D">
          <w:pgSz w:w="12240" w:h="15840"/>
          <w:pgMar w:top="1440" w:right="1440" w:bottom="1440" w:left="1440" w:header="720" w:footer="720" w:gutter="0"/>
          <w:pgNumType w:chapStyle="1"/>
          <w:cols w:space="720"/>
          <w:docGrid w:linePitch="360"/>
        </w:sectPr>
      </w:pPr>
    </w:p>
    <w:p w14:paraId="550AA42B" w14:textId="3D9ACB2C" w:rsidR="007404E7" w:rsidRDefault="007404E7" w:rsidP="00691E23">
      <w:pPr>
        <w:pStyle w:val="Heading1"/>
      </w:pPr>
      <w:bookmarkStart w:id="217" w:name="_Clostridium_botulinum_Toxin"/>
      <w:bookmarkStart w:id="218" w:name="_Toc208503294"/>
      <w:bookmarkStart w:id="219" w:name="_Toc210042861"/>
      <w:bookmarkEnd w:id="217"/>
      <w:r w:rsidRPr="00691E23">
        <w:lastRenderedPageBreak/>
        <w:t>Clostridium botulinum</w:t>
      </w:r>
      <w:r>
        <w:t xml:space="preserve"> Toxin</w:t>
      </w:r>
      <w:bookmarkEnd w:id="218"/>
      <w:bookmarkEnd w:id="219"/>
    </w:p>
    <w:p w14:paraId="643CFD89" w14:textId="77777777" w:rsidR="007404E7" w:rsidRDefault="007404E7" w:rsidP="00441BE0">
      <w:pPr>
        <w:pStyle w:val="Heading2"/>
      </w:pPr>
      <w:bookmarkStart w:id="220" w:name="_Toc208503295"/>
      <w:r>
        <w:t>General Background: Understanding the Potential Hazard</w:t>
      </w:r>
      <w:bookmarkEnd w:id="220"/>
    </w:p>
    <w:p w14:paraId="12D76297" w14:textId="736AFC19" w:rsidR="007404E7" w:rsidRDefault="007404E7" w:rsidP="00B64049">
      <w:pPr>
        <w:spacing w:before="240"/>
      </w:pPr>
      <w:r>
        <w:t xml:space="preserve">Although there are no documented cases of botulism linked to seaweed consumption, processors who use </w:t>
      </w:r>
      <w:r w:rsidR="00F40B6F">
        <w:t>oxygen-free (</w:t>
      </w:r>
      <w:r>
        <w:t>anaerobic</w:t>
      </w:r>
      <w:r w:rsidR="00F40B6F">
        <w:t>)</w:t>
      </w:r>
      <w:r>
        <w:t xml:space="preserve"> packaging should evaluate the risk of Clostridium botulinum growth and neurotoxin production during their hazard analysis. If the risk is determined to be significant</w:t>
      </w:r>
      <w:r w:rsidR="00793AE5">
        <w:t>—either “reasonably likely to occur” (HACCP) or “hazard requiring a preventive control” (PCHF)—</w:t>
      </w:r>
      <w:r>
        <w:t xml:space="preserve">appropriate controls should be implemented to destroy or inhibit growth, as described in Chapter 13 of the </w:t>
      </w:r>
      <w:r w:rsidRPr="0096771E">
        <w:t>FDA</w:t>
      </w:r>
      <w:r w:rsidR="00D31328">
        <w:t>’s</w:t>
      </w:r>
      <w:r w:rsidRPr="00F40B6F">
        <w:rPr>
          <w:i/>
          <w:iCs/>
        </w:rPr>
        <w:t xml:space="preserve"> Fish and Fishery Products Hazards and Controls Guide </w:t>
      </w:r>
      <w:r w:rsidRPr="00D31328">
        <w:t>(</w:t>
      </w:r>
      <w:r>
        <w:t xml:space="preserve">USFDA, 2022). In addition, appropriate sanitation controls should be applied to reduce the potential for contamination, as outlined in </w:t>
      </w:r>
      <w:hyperlink w:anchor="_Pathogen_Contamination" w:history="1">
        <w:r w:rsidRPr="002033A6">
          <w:rPr>
            <w:rStyle w:val="Hyperlink"/>
          </w:rPr>
          <w:t>Chapter 11</w:t>
        </w:r>
      </w:hyperlink>
      <w:r>
        <w:t xml:space="preserve"> of this guide.</w:t>
      </w:r>
    </w:p>
    <w:p w14:paraId="6BEDEAF5" w14:textId="77777777" w:rsidR="007404E7" w:rsidRDefault="007404E7" w:rsidP="00846B8F">
      <w:pPr>
        <w:pStyle w:val="Heading2"/>
        <w:numPr>
          <w:ilvl w:val="1"/>
          <w:numId w:val="170"/>
        </w:numPr>
      </w:pPr>
      <w:bookmarkStart w:id="221" w:name="_Toc208503296"/>
      <w:r>
        <w:t>Botulism Food Poisoning</w:t>
      </w:r>
      <w:bookmarkEnd w:id="221"/>
    </w:p>
    <w:p w14:paraId="215BAA5F" w14:textId="5312C5CD" w:rsidR="007404E7" w:rsidRDefault="007404E7" w:rsidP="00B64049">
      <w:pPr>
        <w:spacing w:before="240"/>
      </w:pPr>
      <w:r>
        <w:t>Botulism is a foodborne illness caused by ingesting the botulinum neurotoxin. In the U.S. approximately ten outbreaks of foodborne botulism occur annually, from a variety of food sources, including seafood products (Iwamoto et al., 2010; Roy et al., 2024). Symptoms of botulism appear 18–36 hours after consumption of contaminated food and include weakness, vertigo, double vision, difficulty speaking, swallowing and breathing, abdominal swelling, constipation, and paralysis (CDC, 2021). Even a few micrograms of the neurotoxin can cause illness in a healthy adult, and infants are especially vulnerable (CDC, 2021). Without antitoxin treatment and respiratory support, botulism can be fatal.</w:t>
      </w:r>
    </w:p>
    <w:p w14:paraId="54A3D19B" w14:textId="77777777" w:rsidR="007404E7" w:rsidRDefault="007404E7" w:rsidP="00846B8F">
      <w:pPr>
        <w:pStyle w:val="Heading3"/>
        <w:numPr>
          <w:ilvl w:val="2"/>
          <w:numId w:val="171"/>
        </w:numPr>
      </w:pPr>
      <w:bookmarkStart w:id="222" w:name="_Toc208503297"/>
      <w:r>
        <w:t>Clostridium botulinum</w:t>
      </w:r>
      <w:bookmarkEnd w:id="222"/>
    </w:p>
    <w:p w14:paraId="2998A361" w14:textId="374A5C84" w:rsidR="007404E7" w:rsidRDefault="007404E7" w:rsidP="00B64049">
      <w:pPr>
        <w:spacing w:before="240"/>
      </w:pPr>
      <w:r w:rsidRPr="00F40B6F">
        <w:rPr>
          <w:i/>
          <w:iCs/>
        </w:rPr>
        <w:t>Clostridium botulinum</w:t>
      </w:r>
      <w:r>
        <w:t xml:space="preserve"> is the bacterium that produces botulinum neurotoxin. This bacterium grows in environments without oxygen (strictly anaerobic conditions) and can form highly resistant endospores. These endospores can survive many heat-based control methods, including </w:t>
      </w:r>
      <w:hyperlink w:anchor="_Blanching" w:tooltip="Submersion of foods in boiling water or exposure to steam for a short period of time before rapidly cooling. Blanching is commonly done to fix color and stop enzymatic activity. " w:history="1">
        <w:r w:rsidRPr="000B284B">
          <w:rPr>
            <w:rStyle w:val="Hyperlink"/>
          </w:rPr>
          <w:t>blanching</w:t>
        </w:r>
      </w:hyperlink>
      <w:r>
        <w:t xml:space="preserve"> and </w:t>
      </w:r>
      <w:hyperlink w:anchor="_Pasteurization" w:tooltip="A process (commonly heat) applied to foods to reduce the population of a target pathogen to a safe level." w:history="1">
        <w:r w:rsidRPr="00A90B55">
          <w:rPr>
            <w:rStyle w:val="Hyperlink"/>
          </w:rPr>
          <w:t>pasteurization</w:t>
        </w:r>
      </w:hyperlink>
      <w:r>
        <w:t>.</w:t>
      </w:r>
    </w:p>
    <w:p w14:paraId="5FC0931B" w14:textId="00C57849" w:rsidR="007404E7" w:rsidRDefault="007404E7" w:rsidP="007404E7">
      <w:r>
        <w:t xml:space="preserve">No studies to date have successfully detected </w:t>
      </w:r>
      <w:r w:rsidRPr="00F40B6F">
        <w:rPr>
          <w:i/>
          <w:iCs/>
        </w:rPr>
        <w:t>Clostridium</w:t>
      </w:r>
      <w:r>
        <w:t xml:space="preserve"> </w:t>
      </w:r>
      <w:r w:rsidRPr="00F40B6F">
        <w:rPr>
          <w:i/>
          <w:iCs/>
        </w:rPr>
        <w:t>botulinum</w:t>
      </w:r>
      <w:r>
        <w:t xml:space="preserve"> in raw seaweeds (see </w:t>
      </w:r>
      <w:hyperlink w:anchor="_Pathogens_in_the" w:history="1">
        <w:r w:rsidRPr="002033A6">
          <w:rPr>
            <w:rStyle w:val="Hyperlink"/>
          </w:rPr>
          <w:t>Chapter 5</w:t>
        </w:r>
      </w:hyperlink>
      <w:r>
        <w:t xml:space="preserve">); however, few studies have directly tested raw seaweed for this bacterium. </w:t>
      </w:r>
      <w:r w:rsidRPr="00F40B6F">
        <w:rPr>
          <w:i/>
          <w:iCs/>
        </w:rPr>
        <w:t>Clostridium</w:t>
      </w:r>
      <w:r>
        <w:t xml:space="preserve"> </w:t>
      </w:r>
      <w:r w:rsidRPr="00F40B6F">
        <w:rPr>
          <w:i/>
          <w:iCs/>
        </w:rPr>
        <w:t>botulinum</w:t>
      </w:r>
      <w:r>
        <w:t xml:space="preserve"> has been found in marine sediments and seawater, indicating it could be a potential biological hazard associated with the harvest area (Venkateswaran et al., 1989; Dodds, 2018). For raw seaweed products packaged in reduced oxygen environments (e.g., vacuum packaging) without additional processing and/or strict temperature controls to prevent spore germination and bacterial growth, botulinum neurotoxin formation should be considered a potential hazard.</w:t>
      </w:r>
    </w:p>
    <w:p w14:paraId="79D86EF6" w14:textId="5C4B90E4" w:rsidR="007404E7" w:rsidRDefault="007404E7" w:rsidP="007404E7">
      <w:r>
        <w:lastRenderedPageBreak/>
        <w:t xml:space="preserve">Clostridium botulinum can also enter products during processing, and if the product is later exposed to improper temperature control, the bacteria may grow and produce neurotoxin under anaerobic conditions. Although no studies in the U.S. have documented </w:t>
      </w:r>
      <w:r w:rsidRPr="00F40B6F">
        <w:rPr>
          <w:i/>
          <w:iCs/>
        </w:rPr>
        <w:t>Clostridium</w:t>
      </w:r>
      <w:r>
        <w:t xml:space="preserve"> </w:t>
      </w:r>
      <w:r w:rsidRPr="00F40B6F">
        <w:rPr>
          <w:i/>
          <w:iCs/>
        </w:rPr>
        <w:t>botulinum</w:t>
      </w:r>
      <w:r>
        <w:t xml:space="preserve"> on processed seaweed, botulinum neurotoxin formation should also be considered a potential hazard for processed seaweed products when oxygen-free conditions occur. Various control measures used in seafood products as presented in Chapter 13 of the </w:t>
      </w:r>
      <w:r w:rsidR="0096771E">
        <w:t>FDA</w:t>
      </w:r>
      <w:r w:rsidR="00D31328">
        <w:t>’s</w:t>
      </w:r>
      <w:r w:rsidR="0096771E">
        <w:t xml:space="preserve"> </w:t>
      </w:r>
      <w:r w:rsidRPr="0096771E">
        <w:rPr>
          <w:i/>
          <w:iCs/>
        </w:rPr>
        <w:t>Fish and Fishery Products Hazards and Controls Guide</w:t>
      </w:r>
      <w:r>
        <w:t xml:space="preserve"> (USFDA, 2022) can be used as guidelines for controlling Clostridium botulinum in seaweed food products.</w:t>
      </w:r>
    </w:p>
    <w:p w14:paraId="7F25D2BE" w14:textId="77777777" w:rsidR="007404E7" w:rsidRDefault="007404E7" w:rsidP="00846B8F">
      <w:pPr>
        <w:pStyle w:val="Heading3"/>
        <w:numPr>
          <w:ilvl w:val="2"/>
          <w:numId w:val="171"/>
        </w:numPr>
      </w:pPr>
      <w:bookmarkStart w:id="223" w:name="_Toc208503298"/>
      <w:r>
        <w:t>Controlling Botulinum Neurotoxin Production</w:t>
      </w:r>
      <w:bookmarkEnd w:id="223"/>
    </w:p>
    <w:p w14:paraId="6912BB22" w14:textId="0FC27C33" w:rsidR="007404E7" w:rsidRDefault="007404E7" w:rsidP="00B64049">
      <w:pPr>
        <w:spacing w:before="240"/>
      </w:pPr>
      <w:r>
        <w:t xml:space="preserve">Vacuum-sealing, modified atmosphere packaging, and packing in </w:t>
      </w:r>
      <w:r w:rsidR="00F40B6F">
        <w:t>hermetically-sealed</w:t>
      </w:r>
      <w:r>
        <w:t xml:space="preserve"> containers (e.g., double-seamed cans, glass jars with sealed lids, and heat-sealed plastic containers) are all control measures that reduce or halt the growth of many aerobic bacteria and fungi by limiting the amount of oxygen available to support their growth (see </w:t>
      </w:r>
      <w:hyperlink w:anchor="_Pathogen_Contamination" w:history="1">
        <w:r w:rsidRPr="002033A6">
          <w:rPr>
            <w:rStyle w:val="Hyperlink"/>
          </w:rPr>
          <w:t>Chapter 11</w:t>
        </w:r>
      </w:hyperlink>
      <w:r>
        <w:t xml:space="preserve">). However, these processes also create anaerobic conditions that favor </w:t>
      </w:r>
      <w:r w:rsidRPr="00F40B6F">
        <w:rPr>
          <w:i/>
          <w:iCs/>
        </w:rPr>
        <w:t>Clostridium</w:t>
      </w:r>
      <w:r>
        <w:t xml:space="preserve"> </w:t>
      </w:r>
      <w:r w:rsidRPr="00F40B6F">
        <w:rPr>
          <w:i/>
          <w:iCs/>
        </w:rPr>
        <w:t>botulinum</w:t>
      </w:r>
      <w:r>
        <w:t xml:space="preserve"> spore germination and cell growth unless retort processing—a method of preserving food in sealed containers by heating it to high temperatures under pressure to destroy bacteria, including heat-resistant spores—has been used to inactivate both </w:t>
      </w:r>
      <w:r w:rsidRPr="00F40B6F">
        <w:rPr>
          <w:i/>
          <w:iCs/>
        </w:rPr>
        <w:t>Clostridium</w:t>
      </w:r>
      <w:r>
        <w:t xml:space="preserve"> </w:t>
      </w:r>
      <w:r w:rsidRPr="00F40B6F">
        <w:rPr>
          <w:i/>
          <w:iCs/>
        </w:rPr>
        <w:t>botulinum</w:t>
      </w:r>
      <w:r>
        <w:t xml:space="preserve"> cells and endospores.</w:t>
      </w:r>
    </w:p>
    <w:p w14:paraId="19189165" w14:textId="76F612BE" w:rsidR="00F40B6F" w:rsidRDefault="007404E7" w:rsidP="00846B8F">
      <w:pPr>
        <w:pStyle w:val="Heading4"/>
        <w:numPr>
          <w:ilvl w:val="3"/>
          <w:numId w:val="171"/>
        </w:numPr>
      </w:pPr>
      <w:r>
        <w:t>Thermal Processing</w:t>
      </w:r>
    </w:p>
    <w:p w14:paraId="0EA1E7CA" w14:textId="1AE118EF" w:rsidR="007404E7" w:rsidRDefault="007404E7" w:rsidP="00B64049">
      <w:pPr>
        <w:spacing w:before="240"/>
      </w:pPr>
      <w:r>
        <w:t xml:space="preserve">High temperature treatments kill many bacterial </w:t>
      </w:r>
      <w:hyperlink w:anchor="_Pathogens" w:tooltip="Microorganisms that cause disease." w:history="1">
        <w:r w:rsidRPr="00A90B55">
          <w:rPr>
            <w:rStyle w:val="Hyperlink"/>
          </w:rPr>
          <w:t>pathogens</w:t>
        </w:r>
      </w:hyperlink>
      <w:r>
        <w:t xml:space="preserve"> that may be associated with seaweed products. While temperatures above 113°F (45°C) are necessary to prevent the growth of both proteolytic (strains that can break down proteins and typically grow at warmer temperatures) and non-proteolytic (strains that do not break down proteins and can grow at colder temperatures) </w:t>
      </w:r>
      <w:r w:rsidRPr="00F40B6F">
        <w:rPr>
          <w:i/>
          <w:iCs/>
        </w:rPr>
        <w:t>Clostridium</w:t>
      </w:r>
      <w:r>
        <w:t xml:space="preserve"> </w:t>
      </w:r>
      <w:r w:rsidRPr="00F40B6F">
        <w:rPr>
          <w:i/>
          <w:iCs/>
        </w:rPr>
        <w:t>botulinum</w:t>
      </w:r>
      <w:r>
        <w:t>, significantly higher temperatures—such as those achieved through retort processing in cans or jars—are required to inactivate endospores. Specific processing times and temperatures for endospore inactivation are provided in Appendix 4 Table A</w:t>
      </w:r>
      <w:r w:rsidR="002033A6">
        <w:t>-</w:t>
      </w:r>
      <w:r>
        <w:t>4 of the</w:t>
      </w:r>
      <w:r w:rsidR="0096771E">
        <w:t xml:space="preserve"> FDA</w:t>
      </w:r>
      <w:r w:rsidR="00D31328">
        <w:t>’s</w:t>
      </w:r>
      <w:r>
        <w:t xml:space="preserve"> </w:t>
      </w:r>
      <w:r w:rsidRPr="00F40B6F">
        <w:rPr>
          <w:i/>
          <w:iCs/>
        </w:rPr>
        <w:t xml:space="preserve">Fish and Fishery Products Hazards and Controls </w:t>
      </w:r>
      <w:r w:rsidR="00F40B6F">
        <w:rPr>
          <w:i/>
          <w:iCs/>
        </w:rPr>
        <w:t>G</w:t>
      </w:r>
      <w:r w:rsidRPr="00F40B6F">
        <w:rPr>
          <w:i/>
          <w:iCs/>
        </w:rPr>
        <w:t>uide</w:t>
      </w:r>
      <w:r>
        <w:t xml:space="preserve"> (USFDA, 2022).</w:t>
      </w:r>
    </w:p>
    <w:p w14:paraId="5A9933C5" w14:textId="77777777" w:rsidR="00F40B6F" w:rsidRDefault="007404E7" w:rsidP="00846B8F">
      <w:pPr>
        <w:pStyle w:val="Heading4"/>
        <w:numPr>
          <w:ilvl w:val="3"/>
          <w:numId w:val="171"/>
        </w:numPr>
      </w:pPr>
      <w:r>
        <w:t>Refrigeration and Freezing</w:t>
      </w:r>
    </w:p>
    <w:p w14:paraId="7445DB17" w14:textId="13EBDD65" w:rsidR="007404E7" w:rsidRDefault="007404E7" w:rsidP="00B64049">
      <w:pPr>
        <w:spacing w:before="240"/>
      </w:pPr>
      <w:r>
        <w:t xml:space="preserve">Temperatures below 38°F (3.3°C) prevents or significantly slows the growth of many foodborne bacteria, including Clostridium botulinum. In reduced oxygen environments, temperatures below 38°F inhibit germination of </w:t>
      </w:r>
      <w:r w:rsidRPr="00F40B6F">
        <w:rPr>
          <w:i/>
          <w:iCs/>
        </w:rPr>
        <w:t>Clostridium</w:t>
      </w:r>
      <w:r>
        <w:t xml:space="preserve"> </w:t>
      </w:r>
      <w:r w:rsidRPr="00F40B6F">
        <w:rPr>
          <w:i/>
          <w:iCs/>
        </w:rPr>
        <w:t>botulinum</w:t>
      </w:r>
      <w:r>
        <w:t xml:space="preserve"> endospores (USFDA, 2022). Freezing at 0°F (-18°C) or lower offers an additional layer of safety (Huss, 2004).</w:t>
      </w:r>
    </w:p>
    <w:p w14:paraId="16FCC939" w14:textId="57BD5E8D" w:rsidR="00F40B6F" w:rsidRDefault="007404E7" w:rsidP="00846B8F">
      <w:pPr>
        <w:pStyle w:val="Heading4"/>
        <w:numPr>
          <w:ilvl w:val="3"/>
          <w:numId w:val="171"/>
        </w:numPr>
      </w:pPr>
      <w:r>
        <w:lastRenderedPageBreak/>
        <w:t>Reducing Water Activity (a</w:t>
      </w:r>
      <w:r w:rsidRPr="00F40B6F">
        <w:rPr>
          <w:vertAlign w:val="subscript"/>
        </w:rPr>
        <w:t>W</w:t>
      </w:r>
      <w:r>
        <w:t>)</w:t>
      </w:r>
    </w:p>
    <w:p w14:paraId="36F2EFBA" w14:textId="253B20BA" w:rsidR="007404E7" w:rsidRDefault="007404E7" w:rsidP="007404E7">
      <w:r>
        <w:t xml:space="preserve">This is accomplished by adding salt and humectants (e.g., sugar or other water-binding ingredients) or by </w:t>
      </w:r>
      <w:hyperlink w:anchor="DryingDehydrating" w:tooltip="The natural (sun or air drying) or mechanical (dehydrator, oven, freeze drying, etc.) removal of water from a food or food product to reduce the water available for microbial growth (Aw). A commonly used method of food preservation." w:history="1">
        <w:r w:rsidRPr="00BC7922">
          <w:rPr>
            <w:rStyle w:val="Hyperlink"/>
          </w:rPr>
          <w:t>drying</w:t>
        </w:r>
      </w:hyperlink>
      <w:r>
        <w:t xml:space="preserve"> the product to inhibit bacterial growth (see </w:t>
      </w:r>
      <w:hyperlink w:anchor="_Pathogen_Contamination" w:history="1">
        <w:r w:rsidRPr="002033A6">
          <w:rPr>
            <w:rStyle w:val="Hyperlink"/>
          </w:rPr>
          <w:t>Chapter 11</w:t>
        </w:r>
      </w:hyperlink>
      <w:r>
        <w:t xml:space="preserve">). A minimum of 10% water-phase salt (WPS)—the amount of salt when compared to the moisture in the seafood—corresponds to a </w:t>
      </w:r>
      <w:hyperlink w:anchor="WaterActivity" w:tooltip="A measure of free or available water in a food, which is different from total water in a food, which is referred to as moisture content. Available water is used by microorganisms for growth; by limiting available water, one reduces aW." w:history="1">
        <w:r w:rsidRPr="00AF729A">
          <w:rPr>
            <w:rStyle w:val="Hyperlink"/>
          </w:rPr>
          <w:t>water activity (a</w:t>
        </w:r>
        <w:r w:rsidRPr="00AF729A">
          <w:rPr>
            <w:rStyle w:val="Hyperlink"/>
            <w:vertAlign w:val="subscript"/>
          </w:rPr>
          <w:t>w</w:t>
        </w:r>
        <w:r w:rsidRPr="00AF729A">
          <w:rPr>
            <w:rStyle w:val="Hyperlink"/>
          </w:rPr>
          <w:t>)</w:t>
        </w:r>
      </w:hyperlink>
      <w:r>
        <w:t xml:space="preserve"> of 0.95 and prevents growth of proteolytic </w:t>
      </w:r>
      <w:r w:rsidRPr="00F40B6F">
        <w:rPr>
          <w:i/>
          <w:iCs/>
        </w:rPr>
        <w:t>Clostridium</w:t>
      </w:r>
      <w:r>
        <w:t xml:space="preserve"> </w:t>
      </w:r>
      <w:r w:rsidRPr="00F40B6F">
        <w:rPr>
          <w:i/>
          <w:iCs/>
        </w:rPr>
        <w:t>botulinum</w:t>
      </w:r>
      <w:r>
        <w:t xml:space="preserve"> strains. A lower level of 5% WPS (a</w:t>
      </w:r>
      <w:r w:rsidRPr="00F40B6F">
        <w:rPr>
          <w:vertAlign w:val="subscript"/>
        </w:rPr>
        <w:t>w</w:t>
      </w:r>
      <w:r>
        <w:t xml:space="preserve"> = 0.97) is sufficient to control non-proteolytic strains (Sperber, 1983).</w:t>
      </w:r>
    </w:p>
    <w:p w14:paraId="726FCBD7" w14:textId="0980F7C2" w:rsidR="00F40B6F" w:rsidRDefault="007404E7" w:rsidP="00846B8F">
      <w:pPr>
        <w:pStyle w:val="Heading4"/>
        <w:numPr>
          <w:ilvl w:val="3"/>
          <w:numId w:val="171"/>
        </w:numPr>
      </w:pPr>
      <w:r>
        <w:t>Reducing pH</w:t>
      </w:r>
    </w:p>
    <w:p w14:paraId="20E37B7A" w14:textId="123B3E97" w:rsidR="007404E7" w:rsidRDefault="007404E7" w:rsidP="00B64049">
      <w:pPr>
        <w:spacing w:before="240"/>
      </w:pPr>
      <w:r>
        <w:t xml:space="preserve">Natural acids such as vinegar and lemon juice are commonly used in seafood preservation to inhibit bacterial growth (Huss, 2004). Seafood products with a pH less than 4.6 inhibits growth and neurotoxin production by </w:t>
      </w:r>
      <w:r w:rsidRPr="00F40B6F">
        <w:rPr>
          <w:i/>
          <w:iCs/>
        </w:rPr>
        <w:t>Clostridium</w:t>
      </w:r>
      <w:r>
        <w:t xml:space="preserve"> </w:t>
      </w:r>
      <w:r w:rsidRPr="00F40B6F">
        <w:rPr>
          <w:i/>
          <w:iCs/>
        </w:rPr>
        <w:t>botulinum</w:t>
      </w:r>
      <w:r>
        <w:t xml:space="preserve"> (Peck, 2014).</w:t>
      </w:r>
    </w:p>
    <w:p w14:paraId="48B8F286" w14:textId="3A2CE02B" w:rsidR="00F40B6F" w:rsidRDefault="007404E7" w:rsidP="00846B8F">
      <w:pPr>
        <w:pStyle w:val="Heading4"/>
        <w:numPr>
          <w:ilvl w:val="3"/>
          <w:numId w:val="172"/>
        </w:numPr>
      </w:pPr>
      <w:r>
        <w:t>Oxygen-</w:t>
      </w:r>
      <w:r w:rsidR="00F40B6F">
        <w:t>P</w:t>
      </w:r>
      <w:r>
        <w:t xml:space="preserve">ermeable </w:t>
      </w:r>
      <w:r w:rsidR="00F40B6F">
        <w:t>P</w:t>
      </w:r>
      <w:r>
        <w:t>ackaging</w:t>
      </w:r>
    </w:p>
    <w:p w14:paraId="04D0E0FB" w14:textId="77777777" w:rsidR="0038500F" w:rsidRDefault="007404E7" w:rsidP="00B64049">
      <w:pPr>
        <w:spacing w:before="240"/>
        <w:sectPr w:rsidR="0038500F" w:rsidSect="00F40B6F">
          <w:pgSz w:w="12240" w:h="15840"/>
          <w:pgMar w:top="1440" w:right="1440" w:bottom="1440" w:left="1440" w:header="720" w:footer="720" w:gutter="0"/>
          <w:pgNumType w:start="1" w:chapStyle="1"/>
          <w:cols w:space="720"/>
          <w:docGrid w:linePitch="360"/>
        </w:sectPr>
      </w:pPr>
      <w:r>
        <w:t xml:space="preserve">These packaging materials allow oxygen to pass through, reducing the risk of </w:t>
      </w:r>
      <w:r w:rsidRPr="00F40B6F">
        <w:rPr>
          <w:i/>
          <w:iCs/>
        </w:rPr>
        <w:t>Clostridium</w:t>
      </w:r>
      <w:r>
        <w:t xml:space="preserve"> </w:t>
      </w:r>
      <w:r w:rsidRPr="00F40B6F">
        <w:rPr>
          <w:i/>
          <w:iCs/>
        </w:rPr>
        <w:t>botulinum</w:t>
      </w:r>
      <w:r>
        <w:t xml:space="preserve"> neurotoxin formation. According to FDA guidelines for raw fishery products, packaging with an oxygen transmission rate of at least 10,000 cc O₂/m²/24 hours at </w:t>
      </w:r>
      <w:r w:rsidR="0038500F">
        <w:t>75.2°F (</w:t>
      </w:r>
      <w:r>
        <w:t>24°C</w:t>
      </w:r>
      <w:r w:rsidR="0038500F">
        <w:t>)</w:t>
      </w:r>
      <w:r>
        <w:t xml:space="preserve"> is considered oxygen-permeable (USFDA, 2022).</w:t>
      </w:r>
    </w:p>
    <w:p w14:paraId="6E8AAA69" w14:textId="38E4FBCB" w:rsidR="007404E7" w:rsidRDefault="0038500F" w:rsidP="00846B8F">
      <w:pPr>
        <w:pStyle w:val="Heading2"/>
        <w:numPr>
          <w:ilvl w:val="1"/>
          <w:numId w:val="173"/>
        </w:numPr>
      </w:pPr>
      <w:bookmarkStart w:id="224" w:name="_Toc208503299"/>
      <w:r>
        <w:lastRenderedPageBreak/>
        <w:t>References</w:t>
      </w:r>
      <w:bookmarkEnd w:id="224"/>
    </w:p>
    <w:p w14:paraId="68390B00" w14:textId="77777777" w:rsidR="0096181A" w:rsidRPr="0096181A" w:rsidRDefault="0096181A" w:rsidP="0096181A">
      <w:pPr>
        <w:rPr>
          <w:rFonts w:ascii="Times New Roman" w:hAnsi="Times New Roman" w:cs="Times New Roman"/>
        </w:rPr>
      </w:pPr>
      <w:r w:rsidRPr="0096181A">
        <w:t xml:space="preserve">Centers for Disease Control and Prevention (CDC). (2021). </w:t>
      </w:r>
      <w:r w:rsidRPr="0096181A">
        <w:rPr>
          <w:i/>
          <w:iCs/>
        </w:rPr>
        <w:t>Botulism: General Information</w:t>
      </w:r>
      <w:r w:rsidRPr="0096181A">
        <w:t>. Retrieved from https://www.cdc.gov/botulism/general.html</w:t>
      </w:r>
    </w:p>
    <w:p w14:paraId="6F67DBAF" w14:textId="77777777" w:rsidR="0096181A" w:rsidRPr="0096181A" w:rsidRDefault="0096181A" w:rsidP="0096181A">
      <w:pPr>
        <w:rPr>
          <w:rFonts w:ascii="Times New Roman" w:hAnsi="Times New Roman" w:cs="Times New Roman"/>
        </w:rPr>
      </w:pPr>
      <w:r w:rsidRPr="0096181A">
        <w:rPr>
          <w:color w:val="222222"/>
          <w:shd w:val="clear" w:color="auto" w:fill="FFFFFF"/>
        </w:rPr>
        <w:t xml:space="preserve">Dodds, K. L. (2018). Clostridium botulinum in the environment. In </w:t>
      </w:r>
      <w:r w:rsidRPr="0096181A">
        <w:rPr>
          <w:i/>
          <w:iCs/>
          <w:color w:val="222222"/>
          <w:shd w:val="clear" w:color="auto" w:fill="FFFFFF"/>
        </w:rPr>
        <w:t>Clostridium botulinum</w:t>
      </w:r>
      <w:r w:rsidRPr="0096181A">
        <w:rPr>
          <w:color w:val="222222"/>
          <w:shd w:val="clear" w:color="auto" w:fill="FFFFFF"/>
        </w:rPr>
        <w:t xml:space="preserve"> (pp. 21-51). CRC Press</w:t>
      </w:r>
      <w:r w:rsidRPr="0096181A">
        <w:t>.</w:t>
      </w:r>
    </w:p>
    <w:p w14:paraId="7E63BCDC" w14:textId="77777777" w:rsidR="0096181A" w:rsidRPr="0096181A" w:rsidRDefault="0096181A" w:rsidP="0096181A">
      <w:pPr>
        <w:rPr>
          <w:rFonts w:ascii="Times New Roman" w:hAnsi="Times New Roman" w:cs="Times New Roman"/>
        </w:rPr>
      </w:pPr>
      <w:r w:rsidRPr="0096181A">
        <w:t>Huss, H. H. (2004). Assessment and Management of Seafood Safety and Quality. FAO Fisheries Technical Paper No. 444.</w:t>
      </w:r>
    </w:p>
    <w:p w14:paraId="53514087" w14:textId="77777777" w:rsidR="0096181A" w:rsidRPr="0096181A" w:rsidRDefault="0096181A" w:rsidP="0096181A">
      <w:pPr>
        <w:rPr>
          <w:rFonts w:ascii="Times New Roman" w:hAnsi="Times New Roman" w:cs="Times New Roman"/>
        </w:rPr>
      </w:pPr>
      <w:r w:rsidRPr="0096181A">
        <w:rPr>
          <w:color w:val="222222"/>
          <w:shd w:val="clear" w:color="auto" w:fill="FFFFFF"/>
        </w:rPr>
        <w:t xml:space="preserve">Iwamoto, M., Ayers, T., Mahon, B. E., &amp; Swerdlow, D. L. (2010). Epidemiology of seafood-associated infections in the United States. </w:t>
      </w:r>
      <w:r w:rsidRPr="0096181A">
        <w:rPr>
          <w:i/>
          <w:iCs/>
          <w:color w:val="222222"/>
          <w:shd w:val="clear" w:color="auto" w:fill="FFFFFF"/>
        </w:rPr>
        <w:t>Clinical microbiology reviews</w:t>
      </w:r>
      <w:r w:rsidRPr="0096181A">
        <w:rPr>
          <w:color w:val="222222"/>
          <w:shd w:val="clear" w:color="auto" w:fill="FFFFFF"/>
        </w:rPr>
        <w:t xml:space="preserve">, </w:t>
      </w:r>
      <w:r w:rsidRPr="0096181A">
        <w:rPr>
          <w:i/>
          <w:iCs/>
          <w:color w:val="222222"/>
          <w:shd w:val="clear" w:color="auto" w:fill="FFFFFF"/>
        </w:rPr>
        <w:t>23</w:t>
      </w:r>
      <w:r w:rsidRPr="0096181A">
        <w:rPr>
          <w:color w:val="222222"/>
          <w:shd w:val="clear" w:color="auto" w:fill="FFFFFF"/>
        </w:rPr>
        <w:t>(2), 399-411.</w:t>
      </w:r>
    </w:p>
    <w:p w14:paraId="6F255794" w14:textId="77777777" w:rsidR="0096181A" w:rsidRPr="0096181A" w:rsidRDefault="0096181A" w:rsidP="0096181A">
      <w:pPr>
        <w:rPr>
          <w:rFonts w:ascii="Times New Roman" w:hAnsi="Times New Roman" w:cs="Times New Roman"/>
        </w:rPr>
      </w:pPr>
      <w:r w:rsidRPr="0096181A">
        <w:t>Peck, M.W. (2014). Bacteria: Clostridium botulinum. Encyclopedia of Food Safety, 1 (2014), pp. 381-394</w:t>
      </w:r>
    </w:p>
    <w:p w14:paraId="069DAF1F" w14:textId="77777777" w:rsidR="0096181A" w:rsidRPr="0096181A" w:rsidRDefault="0096181A" w:rsidP="0096181A">
      <w:pPr>
        <w:rPr>
          <w:rFonts w:ascii="Times New Roman" w:hAnsi="Times New Roman" w:cs="Times New Roman"/>
        </w:rPr>
      </w:pPr>
      <w:r w:rsidRPr="0096181A">
        <w:rPr>
          <w:color w:val="222222"/>
          <w:shd w:val="clear" w:color="auto" w:fill="FFFFFF"/>
        </w:rPr>
        <w:t xml:space="preserve">Roy, P. K., Roy, A., Jeon, E. B., DeWitt, C. A. M., Park, J. W., &amp; Park, S. Y. (2024). Comprehensive analysis of predominant pathogenic bacteria and viruses in seafood products. </w:t>
      </w:r>
      <w:r w:rsidRPr="0096181A">
        <w:rPr>
          <w:i/>
          <w:iCs/>
          <w:color w:val="222222"/>
          <w:shd w:val="clear" w:color="auto" w:fill="FFFFFF"/>
        </w:rPr>
        <w:t>Comprehensive Reviews in Food Science and Food Safety</w:t>
      </w:r>
      <w:r w:rsidRPr="0096181A">
        <w:rPr>
          <w:color w:val="222222"/>
          <w:shd w:val="clear" w:color="auto" w:fill="FFFFFF"/>
        </w:rPr>
        <w:t xml:space="preserve">, </w:t>
      </w:r>
      <w:r w:rsidRPr="0096181A">
        <w:rPr>
          <w:i/>
          <w:iCs/>
          <w:color w:val="222222"/>
          <w:shd w:val="clear" w:color="auto" w:fill="FFFFFF"/>
        </w:rPr>
        <w:t>23</w:t>
      </w:r>
      <w:r w:rsidRPr="0096181A">
        <w:rPr>
          <w:color w:val="222222"/>
          <w:shd w:val="clear" w:color="auto" w:fill="FFFFFF"/>
        </w:rPr>
        <w:t>(4), e13410.</w:t>
      </w:r>
    </w:p>
    <w:p w14:paraId="6A53F088" w14:textId="77777777" w:rsidR="0096181A" w:rsidRPr="0096181A" w:rsidRDefault="0096181A" w:rsidP="0096181A">
      <w:pPr>
        <w:rPr>
          <w:rFonts w:ascii="Times New Roman" w:hAnsi="Times New Roman" w:cs="Times New Roman"/>
        </w:rPr>
      </w:pPr>
      <w:r w:rsidRPr="0096181A">
        <w:rPr>
          <w:color w:val="222222"/>
          <w:shd w:val="clear" w:color="auto" w:fill="FFFFFF"/>
        </w:rPr>
        <w:t xml:space="preserve">Sperber, W. H. (1983). Influence of water activity on foodborne bacteria – a review. </w:t>
      </w:r>
      <w:r w:rsidRPr="0096181A">
        <w:rPr>
          <w:i/>
          <w:iCs/>
          <w:color w:val="222222"/>
          <w:shd w:val="clear" w:color="auto" w:fill="FFFFFF"/>
        </w:rPr>
        <w:t>Journal of Food Protection</w:t>
      </w:r>
      <w:r w:rsidRPr="0096181A">
        <w:rPr>
          <w:color w:val="222222"/>
          <w:shd w:val="clear" w:color="auto" w:fill="FFFFFF"/>
        </w:rPr>
        <w:t xml:space="preserve"> 46(2), 142-150.</w:t>
      </w:r>
    </w:p>
    <w:p w14:paraId="313F7B0E" w14:textId="77777777" w:rsidR="0096181A" w:rsidRPr="0096181A" w:rsidRDefault="0096181A" w:rsidP="0096181A">
      <w:pPr>
        <w:rPr>
          <w:rFonts w:ascii="Times New Roman" w:hAnsi="Times New Roman" w:cs="Times New Roman"/>
        </w:rPr>
      </w:pPr>
      <w:r w:rsidRPr="0096181A">
        <w:t xml:space="preserve">USFDA. (2022). Chapter 13: </w:t>
      </w:r>
      <w:r w:rsidRPr="0096181A">
        <w:rPr>
          <w:i/>
          <w:iCs/>
        </w:rPr>
        <w:t>Clostridium botulinum</w:t>
      </w:r>
      <w:r w:rsidRPr="0096181A">
        <w:t xml:space="preserve"> Toxin Formation. In Fish and Fishery Products Hazard and Control Guidance (pp. 245–292). United States Food and Drug Administration.</w:t>
      </w:r>
    </w:p>
    <w:p w14:paraId="24DC3F6D" w14:textId="6B60A645" w:rsidR="0096181A" w:rsidRPr="0096181A" w:rsidRDefault="0096181A" w:rsidP="0096181A">
      <w:r w:rsidRPr="0096181A">
        <w:rPr>
          <w:color w:val="222222"/>
          <w:shd w:val="clear" w:color="auto" w:fill="FFFFFF"/>
        </w:rPr>
        <w:t xml:space="preserve">Venkateswaran, K., Nakano, H., Okabe, T., Takayama, K., Matsuda, O., &amp; Hashimoto, H. (1989). Occurrence and distribution of </w:t>
      </w:r>
      <w:r w:rsidRPr="0096181A">
        <w:rPr>
          <w:i/>
          <w:iCs/>
          <w:color w:val="222222"/>
          <w:shd w:val="clear" w:color="auto" w:fill="FFFFFF"/>
        </w:rPr>
        <w:t>Vibrio</w:t>
      </w:r>
      <w:r w:rsidRPr="0096181A">
        <w:rPr>
          <w:color w:val="222222"/>
          <w:shd w:val="clear" w:color="auto" w:fill="FFFFFF"/>
        </w:rPr>
        <w:t xml:space="preserve"> spp., </w:t>
      </w:r>
      <w:r w:rsidRPr="0096181A">
        <w:rPr>
          <w:i/>
          <w:iCs/>
          <w:color w:val="222222"/>
          <w:shd w:val="clear" w:color="auto" w:fill="FFFFFF"/>
        </w:rPr>
        <w:t>Listonella</w:t>
      </w:r>
      <w:r w:rsidRPr="0096181A">
        <w:rPr>
          <w:color w:val="222222"/>
          <w:shd w:val="clear" w:color="auto" w:fill="FFFFFF"/>
        </w:rPr>
        <w:t xml:space="preserve"> spp., and </w:t>
      </w:r>
      <w:r w:rsidRPr="0096181A">
        <w:rPr>
          <w:i/>
          <w:iCs/>
          <w:color w:val="222222"/>
          <w:shd w:val="clear" w:color="auto" w:fill="FFFFFF"/>
        </w:rPr>
        <w:t>Clostridium botulinum</w:t>
      </w:r>
      <w:r w:rsidRPr="0096181A">
        <w:rPr>
          <w:color w:val="222222"/>
          <w:shd w:val="clear" w:color="auto" w:fill="FFFFFF"/>
        </w:rPr>
        <w:t xml:space="preserve"> in the Seto Inland Sea of Japan. </w:t>
      </w:r>
      <w:r w:rsidRPr="0096181A">
        <w:rPr>
          <w:i/>
          <w:iCs/>
          <w:color w:val="222222"/>
          <w:shd w:val="clear" w:color="auto" w:fill="FFFFFF"/>
        </w:rPr>
        <w:t>Applied and Environmental Microbiology</w:t>
      </w:r>
      <w:r w:rsidRPr="0096181A">
        <w:rPr>
          <w:color w:val="222222"/>
          <w:shd w:val="clear" w:color="auto" w:fill="FFFFFF"/>
        </w:rPr>
        <w:t xml:space="preserve">, </w:t>
      </w:r>
      <w:r w:rsidRPr="0096181A">
        <w:rPr>
          <w:i/>
          <w:iCs/>
          <w:color w:val="222222"/>
          <w:shd w:val="clear" w:color="auto" w:fill="FFFFFF"/>
        </w:rPr>
        <w:t>55</w:t>
      </w:r>
      <w:r w:rsidRPr="0096181A">
        <w:rPr>
          <w:color w:val="222222"/>
          <w:shd w:val="clear" w:color="auto" w:fill="FFFFFF"/>
        </w:rPr>
        <w:t>(3), 559-567.</w:t>
      </w:r>
    </w:p>
    <w:p w14:paraId="60A51908" w14:textId="77777777" w:rsidR="0038500F" w:rsidRDefault="0038500F" w:rsidP="0038500F"/>
    <w:p w14:paraId="508B7583" w14:textId="77777777" w:rsidR="0038500F" w:rsidRDefault="0038500F" w:rsidP="0038500F">
      <w:pPr>
        <w:sectPr w:rsidR="0038500F" w:rsidSect="00FB4CF4">
          <w:pgSz w:w="12240" w:h="15840"/>
          <w:pgMar w:top="1440" w:right="1440" w:bottom="1440" w:left="1440" w:header="720" w:footer="720" w:gutter="0"/>
          <w:pgNumType w:chapStyle="1"/>
          <w:cols w:space="720"/>
          <w:docGrid w:linePitch="360"/>
        </w:sectPr>
      </w:pPr>
    </w:p>
    <w:p w14:paraId="052DFE8F" w14:textId="307D0136" w:rsidR="0038500F" w:rsidRPr="00691E23" w:rsidRDefault="0038500F" w:rsidP="00691E23">
      <w:pPr>
        <w:pStyle w:val="Heading1"/>
      </w:pPr>
      <w:bookmarkStart w:id="225" w:name="_Pathogen_Survival_Through"/>
      <w:bookmarkStart w:id="226" w:name="_Toc208503300"/>
      <w:bookmarkStart w:id="227" w:name="_Toc210042862"/>
      <w:bookmarkEnd w:id="225"/>
      <w:r w:rsidRPr="00691E23">
        <w:lastRenderedPageBreak/>
        <w:t>Pathogen Survival Through Cooking or Pasteurization</w:t>
      </w:r>
      <w:bookmarkEnd w:id="226"/>
      <w:bookmarkEnd w:id="227"/>
    </w:p>
    <w:p w14:paraId="32D6DCDA" w14:textId="3DF7138C" w:rsidR="0038500F" w:rsidRDefault="0038500F" w:rsidP="00B64049">
      <w:pPr>
        <w:spacing w:before="240"/>
      </w:pPr>
      <w:r>
        <w:t xml:space="preserve">The potential microbial </w:t>
      </w:r>
      <w:hyperlink w:anchor="_Pathogens" w:tooltip="Microorganisms that cause disease." w:history="1">
        <w:r w:rsidRPr="00A90B55">
          <w:rPr>
            <w:rStyle w:val="Hyperlink"/>
          </w:rPr>
          <w:t>pathogens</w:t>
        </w:r>
      </w:hyperlink>
      <w:r>
        <w:t xml:space="preserve"> associated with seaweed, and their characteristics, are discussed in detail in Chapters 5, 6, 10, 11 and 12 and will not be repeated here. Instead, this chapter focuses on heat-based processes—such as cooking, pasteurization, and commercial sterilization—used to control vegetative bacterial pathogens in seaweed products.</w:t>
      </w:r>
    </w:p>
    <w:p w14:paraId="77E360D9" w14:textId="7F6A19EE" w:rsidR="0038500F" w:rsidRDefault="0038500F" w:rsidP="00441BE0">
      <w:pPr>
        <w:pStyle w:val="Heading2"/>
      </w:pPr>
      <w:bookmarkStart w:id="228" w:name="_Toc208503302"/>
      <w:r>
        <w:t>Blanching</w:t>
      </w:r>
      <w:r w:rsidR="008F4577">
        <w:t>,</w:t>
      </w:r>
      <w:r>
        <w:t xml:space="preserve"> Pasteurization</w:t>
      </w:r>
      <w:r w:rsidR="008F4577">
        <w:t>, and</w:t>
      </w:r>
      <w:r>
        <w:t xml:space="preserve"> Commercial Sterilization</w:t>
      </w:r>
      <w:bookmarkEnd w:id="228"/>
    </w:p>
    <w:p w14:paraId="648A8FF3" w14:textId="64E61C70" w:rsidR="00267ADD" w:rsidRDefault="00267ADD" w:rsidP="00691E23">
      <w:pPr>
        <w:pStyle w:val="Heading3"/>
      </w:pPr>
      <w:bookmarkStart w:id="229" w:name="_Blanching"/>
      <w:bookmarkStart w:id="230" w:name="_Toc208503303"/>
      <w:bookmarkEnd w:id="229"/>
      <w:r>
        <w:t>Blanching</w:t>
      </w:r>
      <w:bookmarkEnd w:id="230"/>
    </w:p>
    <w:p w14:paraId="690753E0" w14:textId="0BAF70E4" w:rsidR="0038500F" w:rsidRDefault="0038500F" w:rsidP="00B64049">
      <w:pPr>
        <w:spacing w:before="240"/>
      </w:pPr>
      <w:r>
        <w:t>Blanching is a short heat treatment (e.g., hot water immersion or steam) typically used for quality purposes, such as extending shelf life by reducing spoilage organisms; enzyme inactivation; and color stabilization. The term is less precisely defined than other processes like pasteurization, and typically not designed to eliminate pathogens.</w:t>
      </w:r>
    </w:p>
    <w:p w14:paraId="5AF55AF4" w14:textId="3E414494" w:rsidR="00267ADD" w:rsidRDefault="00267ADD" w:rsidP="00691E23">
      <w:pPr>
        <w:pStyle w:val="Heading3"/>
      </w:pPr>
      <w:bookmarkStart w:id="231" w:name="_Pasteurization"/>
      <w:bookmarkStart w:id="232" w:name="_Toc208503304"/>
      <w:bookmarkEnd w:id="231"/>
      <w:r>
        <w:t>Pasteurization</w:t>
      </w:r>
      <w:bookmarkEnd w:id="232"/>
    </w:p>
    <w:p w14:paraId="592999B5" w14:textId="6ADDD305" w:rsidR="0038500F" w:rsidRDefault="0038500F" w:rsidP="00B64049">
      <w:pPr>
        <w:spacing w:before="240"/>
      </w:pPr>
      <w:r>
        <w:t>Pasteurization is a heat treatment designed to target the most heat-resistant pathogens of public health concern that are associated with a specific food product.</w:t>
      </w:r>
    </w:p>
    <w:p w14:paraId="442DCD5C" w14:textId="4C7304CD" w:rsidR="00267ADD" w:rsidRDefault="00267ADD" w:rsidP="00691E23">
      <w:pPr>
        <w:pStyle w:val="Heading3"/>
      </w:pPr>
      <w:bookmarkStart w:id="233" w:name="_Toc208503305"/>
      <w:r>
        <w:t>Commercial Sterilization</w:t>
      </w:r>
      <w:bookmarkEnd w:id="233"/>
    </w:p>
    <w:p w14:paraId="2BFA8CB9" w14:textId="44A21BF0" w:rsidR="0038500F" w:rsidRDefault="0038500F" w:rsidP="00B64049">
      <w:pPr>
        <w:spacing w:before="240"/>
      </w:pPr>
      <w:r>
        <w:t xml:space="preserve">Commercial sterilization is more commonly called retorting. It is a more intense process that drastically reduces the population of all viable microbes—beyond the reductions affected by pasteurization—making food shelf-stable. Retorting parameters depend heavily on the acidity of the food because of the anaerobic conditions created in hermetically sealed (airtight) packaging used in the process. Low-acid canned foods are at higher risk for </w:t>
      </w:r>
      <w:r w:rsidRPr="00267ADD">
        <w:rPr>
          <w:i/>
          <w:iCs/>
        </w:rPr>
        <w:t>Clostridium</w:t>
      </w:r>
      <w:r>
        <w:t xml:space="preserve"> </w:t>
      </w:r>
      <w:r w:rsidRPr="00267ADD">
        <w:rPr>
          <w:i/>
          <w:iCs/>
        </w:rPr>
        <w:t>botulinum</w:t>
      </w:r>
      <w:r>
        <w:t xml:space="preserve"> spore germination and subsequent toxin production, and require significantly more stringent processing, such as retorting, as outlined in 21 CFR Part 113 (see </w:t>
      </w:r>
      <w:hyperlink w:anchor="_Pathogen_Contamination" w:history="1">
        <w:r w:rsidRPr="002033A6">
          <w:rPr>
            <w:rStyle w:val="Hyperlink"/>
          </w:rPr>
          <w:t>Chapter 11</w:t>
        </w:r>
      </w:hyperlink>
      <w:r>
        <w:t xml:space="preserve"> for more detail).</w:t>
      </w:r>
    </w:p>
    <w:p w14:paraId="45F55220" w14:textId="77777777" w:rsidR="0038500F" w:rsidRDefault="0038500F" w:rsidP="00846B8F">
      <w:pPr>
        <w:pStyle w:val="Heading2"/>
        <w:numPr>
          <w:ilvl w:val="1"/>
          <w:numId w:val="174"/>
        </w:numPr>
      </w:pPr>
      <w:bookmarkStart w:id="234" w:name="_Toc208503306"/>
      <w:r>
        <w:t>Identifying the Appropriate Target Pathogen for Seaweed(s)</w:t>
      </w:r>
      <w:bookmarkEnd w:id="234"/>
    </w:p>
    <w:p w14:paraId="6F5C62F3" w14:textId="77777777" w:rsidR="0038500F" w:rsidRDefault="0038500F" w:rsidP="00B64049">
      <w:pPr>
        <w:spacing w:before="240"/>
      </w:pPr>
      <w:r>
        <w:t>The determination of the appropriate target pathogen for seaweed products depends on several factors, including:</w:t>
      </w:r>
    </w:p>
    <w:p w14:paraId="464CEF80" w14:textId="2FA314A9" w:rsidR="0038500F" w:rsidRDefault="0038500F" w:rsidP="00846B8F">
      <w:pPr>
        <w:pStyle w:val="ListParagraph"/>
        <w:numPr>
          <w:ilvl w:val="0"/>
          <w:numId w:val="81"/>
        </w:numPr>
        <w:spacing w:before="240"/>
      </w:pPr>
      <w:r>
        <w:t>Water quality of the harvest site (</w:t>
      </w:r>
      <w:r w:rsidRPr="0073280C">
        <w:t xml:space="preserve">see </w:t>
      </w:r>
      <w:hyperlink w:anchor="_Pathogens_in_the" w:history="1">
        <w:r w:rsidRPr="0073280C">
          <w:rPr>
            <w:rStyle w:val="Hyperlink"/>
          </w:rPr>
          <w:t>Chapter 5</w:t>
        </w:r>
      </w:hyperlink>
      <w:r w:rsidRPr="0073280C">
        <w:t>)</w:t>
      </w:r>
    </w:p>
    <w:p w14:paraId="108CD8A5" w14:textId="77777777" w:rsidR="0038500F" w:rsidRDefault="0038500F" w:rsidP="00846B8F">
      <w:pPr>
        <w:pStyle w:val="ListParagraph"/>
        <w:numPr>
          <w:ilvl w:val="0"/>
          <w:numId w:val="81"/>
        </w:numPr>
        <w:spacing w:before="240"/>
      </w:pPr>
      <w:r>
        <w:t>Handling and processing facility conditions</w:t>
      </w:r>
    </w:p>
    <w:p w14:paraId="065FEEF0" w14:textId="77777777" w:rsidR="0038500F" w:rsidRDefault="0038500F" w:rsidP="00846B8F">
      <w:pPr>
        <w:pStyle w:val="ListParagraph"/>
        <w:numPr>
          <w:ilvl w:val="0"/>
          <w:numId w:val="81"/>
        </w:numPr>
        <w:spacing w:before="240"/>
      </w:pPr>
      <w:r>
        <w:t>Specific processing steps subsequently applied to the seaweed</w:t>
      </w:r>
    </w:p>
    <w:p w14:paraId="295E1B1F" w14:textId="77777777" w:rsidR="0038500F" w:rsidRDefault="0038500F" w:rsidP="00846B8F">
      <w:pPr>
        <w:pStyle w:val="ListParagraph"/>
        <w:numPr>
          <w:ilvl w:val="0"/>
          <w:numId w:val="81"/>
        </w:numPr>
        <w:spacing w:before="240"/>
      </w:pPr>
      <w:r>
        <w:lastRenderedPageBreak/>
        <w:t>Intended shelf life and storage conditions of the final product</w:t>
      </w:r>
    </w:p>
    <w:p w14:paraId="1A433501" w14:textId="77777777" w:rsidR="0038500F" w:rsidRDefault="0038500F" w:rsidP="00846B8F">
      <w:pPr>
        <w:pStyle w:val="ListParagraph"/>
        <w:numPr>
          <w:ilvl w:val="0"/>
          <w:numId w:val="81"/>
        </w:numPr>
        <w:spacing w:before="240"/>
      </w:pPr>
      <w:r>
        <w:t>Intended consumer preparation practices</w:t>
      </w:r>
    </w:p>
    <w:p w14:paraId="1F551872" w14:textId="6B47D054" w:rsidR="0038500F" w:rsidRDefault="0038500F" w:rsidP="0038500F">
      <w:r>
        <w:t xml:space="preserve">There are several variables affecting the efficacy of pasteurization processes for which adequate species-specific information for seaweeds is not currently available. Reliable information regarding pathogen loads on harvested seaweeds are also not widely available. Due to these data gaps, the FDA recommends a target of six orders of magnitude reduction of pathogens for consumer safety (USFDA, 2024). However, suggested time/temperature treatment combinations specific to pathogens on seaweeds have not been established. When the specific pathogen is not known, food safety measures can focus on Listeria monocytogenes in air packed products, and Clostridium botulinum for vacuum-sealed or </w:t>
      </w:r>
      <w:hyperlink w:anchor="ROP" w:tooltip="Food packaging method that results in reduced or no presence of oxygen (mechanical vacuum, steam flush, hot fill, modified atmosphere packaging (MAP), controlled atmosphere packaging, hermetically sealed, or packed in oil)." w:history="1">
        <w:r w:rsidRPr="00AE1C32">
          <w:rPr>
            <w:rStyle w:val="Hyperlink"/>
          </w:rPr>
          <w:t>reduced oxygen packaged</w:t>
        </w:r>
      </w:hyperlink>
      <w:r>
        <w:t xml:space="preserve"> foods. General guidelines for inactivation of </w:t>
      </w:r>
      <w:r w:rsidRPr="00267ADD">
        <w:rPr>
          <w:i/>
          <w:iCs/>
        </w:rPr>
        <w:t>Listeria</w:t>
      </w:r>
      <w:r>
        <w:t xml:space="preserve"> </w:t>
      </w:r>
      <w:r w:rsidRPr="00267ADD">
        <w:rPr>
          <w:i/>
          <w:iCs/>
        </w:rPr>
        <w:t>monocytogenes</w:t>
      </w:r>
      <w:r>
        <w:t xml:space="preserve"> and </w:t>
      </w:r>
      <w:r w:rsidRPr="00267ADD">
        <w:rPr>
          <w:i/>
          <w:iCs/>
        </w:rPr>
        <w:t>Clostridium</w:t>
      </w:r>
      <w:r>
        <w:t xml:space="preserve"> </w:t>
      </w:r>
      <w:r w:rsidRPr="00267ADD">
        <w:rPr>
          <w:i/>
          <w:iCs/>
        </w:rPr>
        <w:t>botulinum</w:t>
      </w:r>
      <w:r>
        <w:t xml:space="preserve"> can be found in the</w:t>
      </w:r>
      <w:r w:rsidR="0096771E">
        <w:t xml:space="preserve"> FDA</w:t>
      </w:r>
      <w:r w:rsidR="00D31328">
        <w:t>’s</w:t>
      </w:r>
      <w:r>
        <w:t xml:space="preserve"> </w:t>
      </w:r>
      <w:r w:rsidRPr="00267ADD">
        <w:rPr>
          <w:i/>
          <w:iCs/>
        </w:rPr>
        <w:t>Fish and Fishery Products Hazards and Controls Guide</w:t>
      </w:r>
      <w:r>
        <w:t>, Appendix 4 (USFDA, 2022).</w:t>
      </w:r>
    </w:p>
    <w:p w14:paraId="1E977FEB" w14:textId="77777777" w:rsidR="0038500F" w:rsidRDefault="0038500F" w:rsidP="00846B8F">
      <w:pPr>
        <w:pStyle w:val="Heading3"/>
        <w:numPr>
          <w:ilvl w:val="2"/>
          <w:numId w:val="174"/>
        </w:numPr>
      </w:pPr>
      <w:bookmarkStart w:id="235" w:name="_Toc208503307"/>
      <w:r>
        <w:t>Heat Resistance and D-values</w:t>
      </w:r>
      <w:bookmarkEnd w:id="235"/>
    </w:p>
    <w:p w14:paraId="35131E2F" w14:textId="147B00F0" w:rsidR="0038500F" w:rsidRDefault="0038500F" w:rsidP="00B64049">
      <w:pPr>
        <w:spacing w:before="240"/>
        <w:contextualSpacing/>
      </w:pPr>
      <w:r>
        <w:t>The heat resistance of an organism is usually expressed as D-values (decimal reduction). This is the time (in minutes) required to inactivate 90%, (1-log) of a bacterial population at a specific temperature, in a specific food (USFDA, 2024). Higher temperatures result in lower D-values because bacteria are killed more quickly. Certain types of bacteria are inherently more heat resistant than others. For example:</w:t>
      </w:r>
    </w:p>
    <w:p w14:paraId="3979B350" w14:textId="107D32D8" w:rsidR="0038500F" w:rsidRDefault="0038500F" w:rsidP="00846B8F">
      <w:pPr>
        <w:pStyle w:val="ListParagraph"/>
        <w:numPr>
          <w:ilvl w:val="0"/>
          <w:numId w:val="82"/>
        </w:numPr>
      </w:pPr>
      <w:r w:rsidRPr="00267ADD">
        <w:rPr>
          <w:i/>
          <w:iCs/>
        </w:rPr>
        <w:t>Bacillus</w:t>
      </w:r>
      <w:r>
        <w:t xml:space="preserve"> </w:t>
      </w:r>
      <w:r w:rsidRPr="00267ADD">
        <w:rPr>
          <w:i/>
          <w:iCs/>
        </w:rPr>
        <w:t>cereus</w:t>
      </w:r>
      <w:r>
        <w:t xml:space="preserve"> spores range in thermal resistance but researchers determined that the D</w:t>
      </w:r>
      <w:r w:rsidRPr="00267ADD">
        <w:rPr>
          <w:vertAlign w:val="subscript"/>
        </w:rPr>
        <w:t>90</w:t>
      </w:r>
      <w:r>
        <w:t xml:space="preserve"> values—the time it takes to inactivate 90% of spores at 194°F</w:t>
      </w:r>
      <w:r w:rsidR="00267ADD">
        <w:t xml:space="preserve"> (90°C</w:t>
      </w:r>
      <w:r>
        <w:t>)—range from 1 to 52 minutes (Jovanovic et al., 2021).</w:t>
      </w:r>
    </w:p>
    <w:p w14:paraId="0CE0CD6C" w14:textId="78948682" w:rsidR="0038500F" w:rsidRDefault="0038500F" w:rsidP="00846B8F">
      <w:pPr>
        <w:pStyle w:val="ListParagraph"/>
        <w:numPr>
          <w:ilvl w:val="0"/>
          <w:numId w:val="82"/>
        </w:numPr>
      </w:pPr>
      <w:r>
        <w:t xml:space="preserve">Vegetative pathogens such as </w:t>
      </w:r>
      <w:r w:rsidRPr="00267ADD">
        <w:rPr>
          <w:i/>
          <w:iCs/>
        </w:rPr>
        <w:t>Salmonella</w:t>
      </w:r>
      <w:r>
        <w:t xml:space="preserve"> and </w:t>
      </w:r>
      <w:r w:rsidRPr="00267ADD">
        <w:rPr>
          <w:i/>
          <w:iCs/>
        </w:rPr>
        <w:t>E. coli</w:t>
      </w:r>
      <w:r>
        <w:t xml:space="preserve"> O157 are not considered to be heat resistant. Their D</w:t>
      </w:r>
      <w:r w:rsidRPr="00267ADD">
        <w:rPr>
          <w:vertAlign w:val="subscript"/>
        </w:rPr>
        <w:t>145</w:t>
      </w:r>
      <w:r>
        <w:t>—the time it takes to inactivate 90% of spores at 145°F (62.7°C)—values are under one minute in ground beef, a system in which protein and fat should protect cells from heat (Goodfellow &amp; Brown, 1978; Line et al., 1991).</w:t>
      </w:r>
    </w:p>
    <w:p w14:paraId="2735550B" w14:textId="05DCD6AA" w:rsidR="0038500F" w:rsidRDefault="0038500F" w:rsidP="00846B8F">
      <w:pPr>
        <w:pStyle w:val="ListParagraph"/>
        <w:numPr>
          <w:ilvl w:val="0"/>
          <w:numId w:val="82"/>
        </w:numPr>
      </w:pPr>
      <w:r w:rsidRPr="00267ADD">
        <w:rPr>
          <w:i/>
          <w:iCs/>
        </w:rPr>
        <w:t>Listeria</w:t>
      </w:r>
      <w:r>
        <w:t xml:space="preserve"> </w:t>
      </w:r>
      <w:r w:rsidRPr="00267ADD">
        <w:rPr>
          <w:i/>
          <w:iCs/>
        </w:rPr>
        <w:t>monocytogenes</w:t>
      </w:r>
      <w:r>
        <w:t xml:space="preserve"> is more heat resistant than </w:t>
      </w:r>
      <w:r w:rsidRPr="00267ADD">
        <w:rPr>
          <w:i/>
          <w:iCs/>
        </w:rPr>
        <w:t>Salmonella</w:t>
      </w:r>
      <w:r>
        <w:t xml:space="preserve"> or </w:t>
      </w:r>
      <w:r w:rsidRPr="00267ADD">
        <w:rPr>
          <w:i/>
          <w:iCs/>
        </w:rPr>
        <w:t>E. coli</w:t>
      </w:r>
      <w:r>
        <w:t xml:space="preserve"> and is often recommended as the target pathogen for pasteurization because of its persistence in processing </w:t>
      </w:r>
      <w:r w:rsidRPr="005A4B2F">
        <w:t>environments (</w:t>
      </w:r>
      <w:hyperlink w:anchor="_Pathogen_Contamination" w:history="1">
        <w:r w:rsidRPr="005A4B2F">
          <w:rPr>
            <w:rStyle w:val="Hyperlink"/>
          </w:rPr>
          <w:t>see Chapter 11</w:t>
        </w:r>
      </w:hyperlink>
      <w:r w:rsidRPr="005A4B2F">
        <w:t>).</w:t>
      </w:r>
    </w:p>
    <w:p w14:paraId="440C524D" w14:textId="0B3589A2" w:rsidR="0038500F" w:rsidRPr="0038500F" w:rsidRDefault="0038500F" w:rsidP="00846B8F">
      <w:pPr>
        <w:pStyle w:val="Heading3"/>
        <w:numPr>
          <w:ilvl w:val="2"/>
          <w:numId w:val="174"/>
        </w:numPr>
      </w:pPr>
      <w:bookmarkStart w:id="236" w:name="_Toc208503308"/>
      <w:r w:rsidRPr="0038500F">
        <w:t>Pasteurization in Seaweed Processing</w:t>
      </w:r>
      <w:bookmarkEnd w:id="236"/>
    </w:p>
    <w:p w14:paraId="27BE1C81" w14:textId="4AC352C5" w:rsidR="0038500F" w:rsidRDefault="0038500F" w:rsidP="00B64049">
      <w:pPr>
        <w:spacing w:before="240"/>
      </w:pPr>
      <w:r>
        <w:t>Pasteurization processes must be properly validated for each product form using inoculation studies, (see ICMSF, 2011). Once validated, processing must be consistently monitored to ensure the critical limits determined through the inoculation studies are met. Guidance on developing and applying heat treatment as a process control is available in the FDA</w:t>
      </w:r>
      <w:r w:rsidR="00D31328">
        <w:t>’s</w:t>
      </w:r>
      <w:r>
        <w:t xml:space="preserve"> </w:t>
      </w:r>
      <w:r w:rsidRPr="002033A6">
        <w:rPr>
          <w:i/>
          <w:iCs/>
        </w:rPr>
        <w:t xml:space="preserve">Draft </w:t>
      </w:r>
      <w:r w:rsidRPr="002033A6">
        <w:rPr>
          <w:i/>
          <w:iCs/>
        </w:rPr>
        <w:lastRenderedPageBreak/>
        <w:t>Guidance for Industry: Hazard Analysis and Risk-Based Preventive Controls for Human Food</w:t>
      </w:r>
      <w:r>
        <w:t>, Chapter 6 (USFDA, 2024).</w:t>
      </w:r>
    </w:p>
    <w:p w14:paraId="4358541C" w14:textId="46426048" w:rsidR="0038500F" w:rsidRDefault="0038500F" w:rsidP="0038500F">
      <w:r>
        <w:t>In seaweed processing, pasteurization may be applied:</w:t>
      </w:r>
    </w:p>
    <w:p w14:paraId="2E9F8872" w14:textId="4449625D" w:rsidR="0038500F" w:rsidRDefault="0038500F" w:rsidP="00846B8F">
      <w:pPr>
        <w:pStyle w:val="ListParagraph"/>
        <w:numPr>
          <w:ilvl w:val="0"/>
          <w:numId w:val="83"/>
        </w:numPr>
      </w:pPr>
      <w:r w:rsidRPr="00B51C4E">
        <w:rPr>
          <w:b/>
          <w:bCs/>
        </w:rPr>
        <w:t>Before further processing</w:t>
      </w:r>
      <w:r>
        <w:t xml:space="preserve"> (e.g.,</w:t>
      </w:r>
      <w:r w:rsidR="00CF2767">
        <w:t xml:space="preserve"> </w:t>
      </w:r>
      <w:r>
        <w:t xml:space="preserve">prior to </w:t>
      </w:r>
      <w:hyperlink w:anchor="DryingDehydrating" w:tooltip="The natural (sun or air drying) or mechanical (dehydrator, oven, freeze drying, etc.) removal of water from a food or food product to reduce the water available for microbial growth (Aw). A commonly used method of food preservation." w:history="1">
        <w:r w:rsidRPr="00BC7922">
          <w:rPr>
            <w:rStyle w:val="Hyperlink"/>
          </w:rPr>
          <w:t>drying</w:t>
        </w:r>
      </w:hyperlink>
      <w:r>
        <w:t xml:space="preserve">), which can also reduce drying time </w:t>
      </w:r>
      <w:r w:rsidR="00B51C4E">
        <w:t>(</w:t>
      </w:r>
      <w:r>
        <w:t>Del Rosario &amp; Mateo, 2019).</w:t>
      </w:r>
    </w:p>
    <w:p w14:paraId="394241D3" w14:textId="47CE092A" w:rsidR="0038500F" w:rsidRDefault="0038500F" w:rsidP="00846B8F">
      <w:pPr>
        <w:pStyle w:val="ListParagraph"/>
        <w:numPr>
          <w:ilvl w:val="0"/>
          <w:numId w:val="83"/>
        </w:numPr>
      </w:pPr>
      <w:r w:rsidRPr="00B51C4E">
        <w:rPr>
          <w:b/>
          <w:bCs/>
        </w:rPr>
        <w:t xml:space="preserve">As a final processing step </w:t>
      </w:r>
      <w:r>
        <w:t>for products sold under refrigeration.</w:t>
      </w:r>
    </w:p>
    <w:p w14:paraId="3DE40F46" w14:textId="027A3E0C" w:rsidR="0038500F" w:rsidRDefault="0038500F" w:rsidP="0038500F">
      <w:r>
        <w:t xml:space="preserve">In instances where pasteurization is not the final processing step </w:t>
      </w:r>
      <w:r w:rsidR="00FA7869">
        <w:t>applied;</w:t>
      </w:r>
      <w:r>
        <w:t xml:space="preserve"> it is of particular importance to prevent subsequent re-contamination of the product (see </w:t>
      </w:r>
      <w:hyperlink w:anchor="_Pathogen_Contamination" w:history="1">
        <w:r w:rsidRPr="002033A6">
          <w:rPr>
            <w:rStyle w:val="Hyperlink"/>
          </w:rPr>
          <w:t>Chapter 11</w:t>
        </w:r>
      </w:hyperlink>
      <w:r>
        <w:t>).</w:t>
      </w:r>
    </w:p>
    <w:p w14:paraId="712ABF2D" w14:textId="6AEEA40B" w:rsidR="0038500F" w:rsidRDefault="0038500F" w:rsidP="0038500F">
      <w:r>
        <w:t xml:space="preserve">Proper and prompt cooling of heat-treated products is essential to prevent pathogen growth and toxin formation. Some pathogens, such as </w:t>
      </w:r>
      <w:r w:rsidRPr="00B51C4E">
        <w:rPr>
          <w:i/>
          <w:iCs/>
        </w:rPr>
        <w:t>Clostridium</w:t>
      </w:r>
      <w:r>
        <w:t xml:space="preserve"> </w:t>
      </w:r>
      <w:r w:rsidRPr="00B51C4E">
        <w:rPr>
          <w:i/>
          <w:iCs/>
        </w:rPr>
        <w:t>perfringens</w:t>
      </w:r>
      <w:r>
        <w:t>, can produce spores that survive heat treatments designed to kill active (vegetative) cells. If cooling takes too long, these spores may germinate and multiply. At 110°F</w:t>
      </w:r>
      <w:r w:rsidR="00B51C4E">
        <w:t xml:space="preserve"> (</w:t>
      </w:r>
      <w:r w:rsidR="00B51C4E" w:rsidRPr="00B51C4E">
        <w:t>43.3°C</w:t>
      </w:r>
      <w:r w:rsidR="00B51C4E">
        <w:t>)</w:t>
      </w:r>
      <w:r>
        <w:t xml:space="preserve">, </w:t>
      </w:r>
      <w:r w:rsidRPr="00B51C4E">
        <w:rPr>
          <w:i/>
          <w:iCs/>
        </w:rPr>
        <w:t>Clostridium</w:t>
      </w:r>
      <w:r>
        <w:t xml:space="preserve"> </w:t>
      </w:r>
      <w:r w:rsidRPr="00B51C4E">
        <w:rPr>
          <w:i/>
          <w:iCs/>
        </w:rPr>
        <w:t>perfringens</w:t>
      </w:r>
      <w:r>
        <w:t xml:space="preserve"> populations can double in number in less than ten minutes (Todd, 2014). Similar risks occur if finishing ingredients, such as seasonings, are added after heat treatments, since they may introduce pathogens or other contaminants.</w:t>
      </w:r>
    </w:p>
    <w:p w14:paraId="0FF51DE2" w14:textId="77777777" w:rsidR="0038500F" w:rsidRDefault="0038500F" w:rsidP="00846B8F">
      <w:pPr>
        <w:pStyle w:val="Heading2"/>
        <w:numPr>
          <w:ilvl w:val="1"/>
          <w:numId w:val="174"/>
        </w:numPr>
      </w:pPr>
      <w:bookmarkStart w:id="237" w:name="_Toc208503309"/>
      <w:r>
        <w:t>Determining if the Hazard is Significant</w:t>
      </w:r>
      <w:bookmarkEnd w:id="237"/>
    </w:p>
    <w:p w14:paraId="49881662" w14:textId="7913E009" w:rsidR="0038500F" w:rsidRDefault="0038500F" w:rsidP="00B64049">
      <w:pPr>
        <w:spacing w:before="240"/>
      </w:pPr>
      <w:r>
        <w:t xml:space="preserve">It is reasonably likely that raw seaweed may carry one or more pathogens of public health concern at the time of harvest (see </w:t>
      </w:r>
      <w:hyperlink w:anchor="_Pathogens_in_the" w:history="1">
        <w:r w:rsidRPr="002033A6">
          <w:rPr>
            <w:rStyle w:val="Hyperlink"/>
          </w:rPr>
          <w:t>Chapter 5</w:t>
        </w:r>
      </w:hyperlink>
      <w:r>
        <w:t xml:space="preserve">). Additional pathogens may also be introduced during postharvest handling and processing steps (see </w:t>
      </w:r>
      <w:hyperlink w:anchor="_Pathogen_Contamination" w:history="1">
        <w:r w:rsidRPr="002033A6">
          <w:rPr>
            <w:rStyle w:val="Hyperlink"/>
          </w:rPr>
          <w:t>Chapter 11</w:t>
        </w:r>
      </w:hyperlink>
      <w:r>
        <w:t>). Although adherence to prerequisite programs helps reduce overall risk, the use of heat treatments introduces a significant hazard—either “reasonably likely to occur” (HACCP) or “hazard requiring a preventive control” (PCHF)—that requires a validated control measure to ensure the thermal process is effectively executed to achieve the intended microbial reduction.</w:t>
      </w:r>
    </w:p>
    <w:p w14:paraId="04CF78AF" w14:textId="77777777" w:rsidR="0038500F" w:rsidRPr="00267ADD" w:rsidRDefault="0038500F" w:rsidP="00846B8F">
      <w:pPr>
        <w:pStyle w:val="Heading2"/>
        <w:numPr>
          <w:ilvl w:val="1"/>
          <w:numId w:val="174"/>
        </w:numPr>
      </w:pPr>
      <w:bookmarkStart w:id="238" w:name="_Toc208503310"/>
      <w:r w:rsidRPr="00267ADD">
        <w:t>Hazard Controls and Critical Control Points</w:t>
      </w:r>
      <w:bookmarkEnd w:id="238"/>
    </w:p>
    <w:p w14:paraId="4E9968F0" w14:textId="5FF1A736" w:rsidR="00045395" w:rsidRDefault="00045395" w:rsidP="00C54E07">
      <w:pPr>
        <w:pStyle w:val="Caption"/>
      </w:pPr>
      <w:r w:rsidRPr="00D27879">
        <w:rPr>
          <w:b/>
          <w:bCs/>
        </w:rPr>
        <w:t xml:space="preserve">Table </w:t>
      </w:r>
      <w:r w:rsidR="00896F22" w:rsidRPr="00D27879">
        <w:rPr>
          <w:b/>
          <w:bCs/>
        </w:rPr>
        <w:fldChar w:fldCharType="begin"/>
      </w:r>
      <w:r w:rsidR="00896F22" w:rsidRPr="00D27879">
        <w:rPr>
          <w:b/>
          <w:bCs/>
        </w:rPr>
        <w:instrText xml:space="preserve"> STYLEREF 1 \s </w:instrText>
      </w:r>
      <w:r w:rsidR="00896F22" w:rsidRPr="00D27879">
        <w:rPr>
          <w:b/>
          <w:bCs/>
        </w:rPr>
        <w:fldChar w:fldCharType="separate"/>
      </w:r>
      <w:r w:rsidR="00A042AD">
        <w:rPr>
          <w:b/>
          <w:bCs/>
          <w:noProof/>
        </w:rPr>
        <w:t>13</w:t>
      </w:r>
      <w:r w:rsidR="00896F22" w:rsidRPr="00D27879">
        <w:rPr>
          <w:b/>
          <w:bCs/>
          <w:noProof/>
        </w:rPr>
        <w:fldChar w:fldCharType="end"/>
      </w:r>
      <w:r w:rsidR="00896F22" w:rsidRPr="00D27879">
        <w:rPr>
          <w:b/>
          <w:bCs/>
        </w:rPr>
        <w:noBreakHyphen/>
      </w:r>
      <w:r w:rsidR="00896F22" w:rsidRPr="00D27879">
        <w:rPr>
          <w:b/>
          <w:bCs/>
        </w:rPr>
        <w:fldChar w:fldCharType="begin"/>
      </w:r>
      <w:r w:rsidR="00896F22" w:rsidRPr="00D27879">
        <w:rPr>
          <w:b/>
          <w:bCs/>
        </w:rPr>
        <w:instrText xml:space="preserve"> SEQ Table \* ARABIC \s 1 </w:instrText>
      </w:r>
      <w:r w:rsidR="00896F22" w:rsidRPr="00D27879">
        <w:rPr>
          <w:b/>
          <w:bCs/>
        </w:rPr>
        <w:fldChar w:fldCharType="separate"/>
      </w:r>
      <w:r w:rsidR="00A042AD">
        <w:rPr>
          <w:b/>
          <w:bCs/>
          <w:noProof/>
        </w:rPr>
        <w:t>1</w:t>
      </w:r>
      <w:r w:rsidR="00896F22" w:rsidRPr="00D27879">
        <w:rPr>
          <w:b/>
          <w:bCs/>
          <w:noProof/>
        </w:rPr>
        <w:fldChar w:fldCharType="end"/>
      </w:r>
      <w:r w:rsidRPr="00045395">
        <w:t>:</w:t>
      </w:r>
      <w:r>
        <w:t xml:space="preserve"> Control Strategies for Clostridium botulinum toxin</w:t>
      </w:r>
    </w:p>
    <w:tbl>
      <w:tblPr>
        <w:tblStyle w:val="TableGrid"/>
        <w:tblW w:w="0" w:type="auto"/>
        <w:tblInd w:w="-5" w:type="dxa"/>
        <w:tblLook w:val="04A0" w:firstRow="1" w:lastRow="0" w:firstColumn="1" w:lastColumn="0" w:noHBand="0" w:noVBand="1"/>
      </w:tblPr>
      <w:tblGrid>
        <w:gridCol w:w="2460"/>
        <w:gridCol w:w="2460"/>
        <w:gridCol w:w="2460"/>
      </w:tblGrid>
      <w:tr w:rsidR="00B51C4E" w14:paraId="6B87765F" w14:textId="77777777" w:rsidTr="00DF5603">
        <w:trPr>
          <w:trHeight w:val="467"/>
        </w:trPr>
        <w:tc>
          <w:tcPr>
            <w:tcW w:w="2460" w:type="dxa"/>
            <w:vAlign w:val="bottom"/>
          </w:tcPr>
          <w:p w14:paraId="5ED8C9D5" w14:textId="77777777" w:rsidR="00B51C4E" w:rsidRPr="00EB199E" w:rsidRDefault="00B51C4E" w:rsidP="00DF5603">
            <w:pPr>
              <w:jc w:val="center"/>
              <w:rPr>
                <w:b/>
                <w:bCs/>
              </w:rPr>
            </w:pPr>
            <w:r w:rsidRPr="00EB199E">
              <w:rPr>
                <w:b/>
                <w:bCs/>
              </w:rPr>
              <w:t>Control Strategy</w:t>
            </w:r>
          </w:p>
        </w:tc>
        <w:tc>
          <w:tcPr>
            <w:tcW w:w="2460" w:type="dxa"/>
            <w:vAlign w:val="bottom"/>
          </w:tcPr>
          <w:p w14:paraId="3DC3EA10" w14:textId="77777777" w:rsidR="00B51C4E" w:rsidRPr="00EB199E" w:rsidRDefault="00B51C4E" w:rsidP="00DF5603">
            <w:pPr>
              <w:jc w:val="center"/>
              <w:rPr>
                <w:b/>
                <w:bCs/>
              </w:rPr>
            </w:pPr>
            <w:r w:rsidRPr="00EB199E">
              <w:rPr>
                <w:b/>
                <w:bCs/>
              </w:rPr>
              <w:t>Primary</w:t>
            </w:r>
            <w:r>
              <w:rPr>
                <w:b/>
                <w:bCs/>
              </w:rPr>
              <w:t xml:space="preserve"> Processor</w:t>
            </w:r>
          </w:p>
        </w:tc>
        <w:tc>
          <w:tcPr>
            <w:tcW w:w="2460" w:type="dxa"/>
            <w:vAlign w:val="bottom"/>
          </w:tcPr>
          <w:p w14:paraId="1FF7410E" w14:textId="77777777" w:rsidR="00B51C4E" w:rsidRPr="00EB199E" w:rsidRDefault="00B51C4E" w:rsidP="00DF5603">
            <w:pPr>
              <w:jc w:val="center"/>
              <w:rPr>
                <w:b/>
                <w:bCs/>
              </w:rPr>
            </w:pPr>
            <w:r w:rsidRPr="00EB199E">
              <w:rPr>
                <w:b/>
                <w:bCs/>
              </w:rPr>
              <w:t>Secondary</w:t>
            </w:r>
            <w:r>
              <w:rPr>
                <w:b/>
                <w:bCs/>
              </w:rPr>
              <w:t xml:space="preserve"> Processor</w:t>
            </w:r>
          </w:p>
        </w:tc>
      </w:tr>
      <w:tr w:rsidR="00B51C4E" w14:paraId="3B10B340" w14:textId="77777777" w:rsidTr="00DF5603">
        <w:trPr>
          <w:trHeight w:val="521"/>
        </w:trPr>
        <w:tc>
          <w:tcPr>
            <w:tcW w:w="2460" w:type="dxa"/>
            <w:vAlign w:val="center"/>
          </w:tcPr>
          <w:p w14:paraId="46D514DF" w14:textId="171943A7" w:rsidR="00B51C4E" w:rsidRDefault="00B51C4E" w:rsidP="00DF5603">
            <w:r>
              <w:t>Processing Control</w:t>
            </w:r>
          </w:p>
        </w:tc>
        <w:tc>
          <w:tcPr>
            <w:tcW w:w="2460" w:type="dxa"/>
            <w:vAlign w:val="center"/>
          </w:tcPr>
          <w:p w14:paraId="778E7A50" w14:textId="77777777" w:rsidR="00B51C4E" w:rsidRDefault="00B51C4E" w:rsidP="00DF5603">
            <w:pPr>
              <w:jc w:val="center"/>
            </w:pPr>
            <w:r w:rsidRPr="00587FA2">
              <w:rPr>
                <w:rFonts w:ascii="Wingdings" w:hAnsi="Wingdings" w:cs="Calibri"/>
                <w:b/>
                <w:bCs/>
              </w:rPr>
              <w:t>ü</w:t>
            </w:r>
          </w:p>
        </w:tc>
        <w:tc>
          <w:tcPr>
            <w:tcW w:w="2460" w:type="dxa"/>
            <w:vAlign w:val="center"/>
          </w:tcPr>
          <w:p w14:paraId="2FF73DF5" w14:textId="77777777" w:rsidR="00B51C4E" w:rsidRDefault="00B51C4E" w:rsidP="00DF5603">
            <w:pPr>
              <w:jc w:val="center"/>
            </w:pPr>
            <w:r w:rsidRPr="00587FA2">
              <w:rPr>
                <w:rFonts w:ascii="Wingdings" w:hAnsi="Wingdings" w:cs="Calibri"/>
                <w:b/>
                <w:bCs/>
              </w:rPr>
              <w:t>ü</w:t>
            </w:r>
          </w:p>
        </w:tc>
      </w:tr>
    </w:tbl>
    <w:p w14:paraId="12158695" w14:textId="7DC9B0DB" w:rsidR="00B51C4E" w:rsidRDefault="00B51C4E" w:rsidP="00846B8F">
      <w:pPr>
        <w:pStyle w:val="Heading3"/>
        <w:numPr>
          <w:ilvl w:val="2"/>
          <w:numId w:val="175"/>
        </w:numPr>
      </w:pPr>
      <w:bookmarkStart w:id="239" w:name="_Toc208503311"/>
      <w:r>
        <w:lastRenderedPageBreak/>
        <w:t>Control Strategy – Processing Control</w:t>
      </w:r>
      <w:bookmarkEnd w:id="239"/>
    </w:p>
    <w:p w14:paraId="13F6A9DF" w14:textId="10A12BAF" w:rsidR="0038500F" w:rsidRDefault="0038500F" w:rsidP="00846B8F">
      <w:pPr>
        <w:pStyle w:val="Heading4"/>
        <w:numPr>
          <w:ilvl w:val="3"/>
          <w:numId w:val="175"/>
        </w:numPr>
      </w:pPr>
      <w:r>
        <w:t>Critical Limit(s)/Parameter(s) and Value(s)</w:t>
      </w:r>
    </w:p>
    <w:p w14:paraId="78DF8F2C" w14:textId="77777777" w:rsidR="0038500F" w:rsidRDefault="0038500F" w:rsidP="00846B8F">
      <w:pPr>
        <w:pStyle w:val="ListParagraph"/>
        <w:numPr>
          <w:ilvl w:val="0"/>
          <w:numId w:val="84"/>
        </w:numPr>
        <w:spacing w:before="240"/>
        <w:contextualSpacing w:val="0"/>
      </w:pPr>
      <w:r>
        <w:t>Critical limits for pasteurization or cooking (time and temperature) should be established based on a replicated validation study. Although target time and temperature (to be applied to the particular product being pasteurized or cooked) are consistent based on product and pathogen combination, the specifics of the process applied will depend on:</w:t>
      </w:r>
    </w:p>
    <w:p w14:paraId="33848FE9" w14:textId="77777777" w:rsidR="0038500F" w:rsidRDefault="0038500F" w:rsidP="00846B8F">
      <w:pPr>
        <w:pStyle w:val="ListParagraph"/>
        <w:numPr>
          <w:ilvl w:val="1"/>
          <w:numId w:val="84"/>
        </w:numPr>
        <w:contextualSpacing w:val="0"/>
      </w:pPr>
      <w:r>
        <w:t>The initial temperature of the product</w:t>
      </w:r>
    </w:p>
    <w:p w14:paraId="7F919A1C" w14:textId="77777777" w:rsidR="0038500F" w:rsidRDefault="0038500F" w:rsidP="00846B8F">
      <w:pPr>
        <w:pStyle w:val="ListParagraph"/>
        <w:numPr>
          <w:ilvl w:val="1"/>
          <w:numId w:val="84"/>
        </w:numPr>
        <w:contextualSpacing w:val="0"/>
      </w:pPr>
      <w:r>
        <w:t>The size and shape of the product package</w:t>
      </w:r>
    </w:p>
    <w:p w14:paraId="0FD2146B" w14:textId="77777777" w:rsidR="0038500F" w:rsidRDefault="0038500F" w:rsidP="00846B8F">
      <w:pPr>
        <w:pStyle w:val="ListParagraph"/>
        <w:numPr>
          <w:ilvl w:val="1"/>
          <w:numId w:val="84"/>
        </w:numPr>
        <w:contextualSpacing w:val="0"/>
      </w:pPr>
      <w:r>
        <w:t>The temperature of the heating medium (e.g., water or steam)</w:t>
      </w:r>
    </w:p>
    <w:p w14:paraId="0966043F" w14:textId="77777777" w:rsidR="0038500F" w:rsidRDefault="0038500F" w:rsidP="00846B8F">
      <w:pPr>
        <w:pStyle w:val="Heading4"/>
        <w:numPr>
          <w:ilvl w:val="3"/>
          <w:numId w:val="175"/>
        </w:numPr>
      </w:pPr>
      <w:r>
        <w:t>Monitoring – What, How, How Often, Who</w:t>
      </w:r>
    </w:p>
    <w:p w14:paraId="29BDA148" w14:textId="77777777" w:rsidR="0038500F" w:rsidRDefault="0038500F" w:rsidP="00846B8F">
      <w:pPr>
        <w:pStyle w:val="ListParagraph"/>
        <w:numPr>
          <w:ilvl w:val="0"/>
          <w:numId w:val="84"/>
        </w:numPr>
        <w:spacing w:before="240"/>
        <w:contextualSpacing w:val="0"/>
      </w:pPr>
      <w:r>
        <w:t>What will be monitored?</w:t>
      </w:r>
    </w:p>
    <w:p w14:paraId="6AE10A11" w14:textId="11735874" w:rsidR="0038500F" w:rsidRDefault="0038500F" w:rsidP="00846B8F">
      <w:pPr>
        <w:pStyle w:val="ListParagraph"/>
        <w:numPr>
          <w:ilvl w:val="1"/>
          <w:numId w:val="84"/>
        </w:numPr>
        <w:contextualSpacing w:val="0"/>
      </w:pPr>
      <w:r>
        <w:t>Particular variables to be monitored will depend on the outcome of the validation study, but may include (for example):</w:t>
      </w:r>
    </w:p>
    <w:p w14:paraId="564C0FE2" w14:textId="77777777" w:rsidR="0038500F" w:rsidRDefault="0038500F" w:rsidP="00846B8F">
      <w:pPr>
        <w:pStyle w:val="ListParagraph"/>
        <w:numPr>
          <w:ilvl w:val="2"/>
          <w:numId w:val="84"/>
        </w:numPr>
        <w:contextualSpacing w:val="0"/>
      </w:pPr>
      <w:r>
        <w:t>Visual observation of boiling and time held at boiling</w:t>
      </w:r>
    </w:p>
    <w:p w14:paraId="3F0A258C" w14:textId="77777777" w:rsidR="0038500F" w:rsidRDefault="0038500F" w:rsidP="00846B8F">
      <w:pPr>
        <w:pStyle w:val="ListParagraph"/>
        <w:numPr>
          <w:ilvl w:val="2"/>
          <w:numId w:val="84"/>
        </w:numPr>
        <w:contextualSpacing w:val="0"/>
      </w:pPr>
      <w:r>
        <w:t>Temperature of oven (at coldest point) and time at temperature for thermal treatment</w:t>
      </w:r>
    </w:p>
    <w:p w14:paraId="034F3A8A" w14:textId="77777777" w:rsidR="0038500F" w:rsidRDefault="0038500F" w:rsidP="00846B8F">
      <w:pPr>
        <w:pStyle w:val="ListParagraph"/>
        <w:numPr>
          <w:ilvl w:val="0"/>
          <w:numId w:val="84"/>
        </w:numPr>
        <w:contextualSpacing w:val="0"/>
      </w:pPr>
      <w:r>
        <w:t>How will monitoring be done?</w:t>
      </w:r>
    </w:p>
    <w:p w14:paraId="118568F9" w14:textId="77777777" w:rsidR="0038500F" w:rsidRDefault="0038500F" w:rsidP="00846B8F">
      <w:pPr>
        <w:pStyle w:val="ListParagraph"/>
        <w:numPr>
          <w:ilvl w:val="1"/>
          <w:numId w:val="84"/>
        </w:numPr>
        <w:contextualSpacing w:val="0"/>
      </w:pPr>
      <w:r>
        <w:t>Depending on the process, monitoring procedures could include:</w:t>
      </w:r>
    </w:p>
    <w:p w14:paraId="4618CBB6" w14:textId="4C593A0F" w:rsidR="0038500F" w:rsidRDefault="0038500F" w:rsidP="00846B8F">
      <w:pPr>
        <w:pStyle w:val="ListParagraph"/>
        <w:numPr>
          <w:ilvl w:val="2"/>
          <w:numId w:val="84"/>
        </w:numPr>
        <w:contextualSpacing w:val="0"/>
      </w:pPr>
      <w:r>
        <w:t>Temperature, ideally a continuous recording thermometer, installed at experimentally determined cold spot (for ovens)</w:t>
      </w:r>
    </w:p>
    <w:p w14:paraId="404BD8E3" w14:textId="77777777" w:rsidR="0038500F" w:rsidRDefault="0038500F" w:rsidP="00846B8F">
      <w:pPr>
        <w:pStyle w:val="ListParagraph"/>
        <w:numPr>
          <w:ilvl w:val="2"/>
          <w:numId w:val="84"/>
        </w:numPr>
        <w:contextualSpacing w:val="0"/>
      </w:pPr>
      <w:r>
        <w:t>Visual observation of boiling and time held at boiling</w:t>
      </w:r>
    </w:p>
    <w:p w14:paraId="38CC5927" w14:textId="77777777" w:rsidR="0038500F" w:rsidRDefault="0038500F" w:rsidP="00846B8F">
      <w:pPr>
        <w:pStyle w:val="ListParagraph"/>
        <w:numPr>
          <w:ilvl w:val="0"/>
          <w:numId w:val="84"/>
        </w:numPr>
        <w:contextualSpacing w:val="0"/>
      </w:pPr>
      <w:r>
        <w:t>How often will monitoring be done (frequency)?</w:t>
      </w:r>
    </w:p>
    <w:p w14:paraId="1284FB19" w14:textId="77777777" w:rsidR="0038500F" w:rsidRDefault="0038500F" w:rsidP="00846B8F">
      <w:pPr>
        <w:pStyle w:val="ListParagraph"/>
        <w:numPr>
          <w:ilvl w:val="1"/>
          <w:numId w:val="84"/>
        </w:numPr>
        <w:contextualSpacing w:val="0"/>
      </w:pPr>
      <w:r>
        <w:t>Every batch or continuously during processing of every batch</w:t>
      </w:r>
    </w:p>
    <w:p w14:paraId="12A19DF7" w14:textId="77777777" w:rsidR="0038500F" w:rsidRDefault="0038500F" w:rsidP="00846B8F">
      <w:pPr>
        <w:pStyle w:val="ListParagraph"/>
        <w:numPr>
          <w:ilvl w:val="0"/>
          <w:numId w:val="84"/>
        </w:numPr>
        <w:contextualSpacing w:val="0"/>
      </w:pPr>
      <w:r>
        <w:t>Who will do the monitoring?</w:t>
      </w:r>
    </w:p>
    <w:p w14:paraId="5D35C2D4" w14:textId="77777777" w:rsidR="0038500F" w:rsidRDefault="0038500F" w:rsidP="00846B8F">
      <w:pPr>
        <w:pStyle w:val="ListParagraph"/>
        <w:numPr>
          <w:ilvl w:val="1"/>
          <w:numId w:val="84"/>
        </w:numPr>
        <w:contextualSpacing w:val="0"/>
      </w:pPr>
      <w:r>
        <w:t>An individual with an understanding and knowledge of the controls and monitoring procedures.</w:t>
      </w:r>
    </w:p>
    <w:p w14:paraId="72801E66" w14:textId="77777777" w:rsidR="0038500F" w:rsidRDefault="0038500F" w:rsidP="00846B8F">
      <w:pPr>
        <w:pStyle w:val="Heading4"/>
        <w:numPr>
          <w:ilvl w:val="3"/>
          <w:numId w:val="175"/>
        </w:numPr>
      </w:pPr>
      <w:r>
        <w:lastRenderedPageBreak/>
        <w:t>Corrective Action/Corrections</w:t>
      </w:r>
    </w:p>
    <w:p w14:paraId="381B11A9" w14:textId="16BC2EB9" w:rsidR="0038500F" w:rsidRDefault="0038500F" w:rsidP="00846B8F">
      <w:pPr>
        <w:pStyle w:val="ListParagraph"/>
        <w:numPr>
          <w:ilvl w:val="0"/>
          <w:numId w:val="85"/>
        </w:numPr>
        <w:spacing w:before="240"/>
        <w:contextualSpacing w:val="0"/>
      </w:pPr>
      <w:r>
        <w:t>If treatment time is not achieved, then wait until the required processing time is met.</w:t>
      </w:r>
    </w:p>
    <w:p w14:paraId="01815BBC" w14:textId="77777777" w:rsidR="0038500F" w:rsidRDefault="0038500F" w:rsidP="00846B8F">
      <w:pPr>
        <w:pStyle w:val="ListParagraph"/>
        <w:numPr>
          <w:ilvl w:val="0"/>
          <w:numId w:val="85"/>
        </w:numPr>
        <w:contextualSpacing w:val="0"/>
      </w:pPr>
      <w:r>
        <w:t xml:space="preserve">If target temperature is not achieved, then reprocess the affected product </w:t>
      </w:r>
      <w:r w:rsidRPr="00B51C4E">
        <w:rPr>
          <w:b/>
          <w:bCs/>
        </w:rPr>
        <w:t>OR</w:t>
      </w:r>
      <w:r>
        <w:t xml:space="preserve"> divert to non-food use </w:t>
      </w:r>
      <w:r w:rsidRPr="00B51C4E">
        <w:rPr>
          <w:b/>
          <w:bCs/>
        </w:rPr>
        <w:t>OR</w:t>
      </w:r>
      <w:r>
        <w:t xml:space="preserve"> dispose of the product.</w:t>
      </w:r>
    </w:p>
    <w:p w14:paraId="5AA8FEE2" w14:textId="1BCCB158" w:rsidR="0038500F" w:rsidRDefault="0038500F" w:rsidP="00B51C4E">
      <w:r w:rsidRPr="00B51C4E">
        <w:rPr>
          <w:b/>
          <w:bCs/>
        </w:rPr>
        <w:t>AND</w:t>
      </w:r>
      <w:r>
        <w:t xml:space="preserve"> address the root cause to prevent future occurrence.</w:t>
      </w:r>
    </w:p>
    <w:p w14:paraId="2046F7CD" w14:textId="77777777" w:rsidR="0038500F" w:rsidRDefault="0038500F" w:rsidP="00846B8F">
      <w:pPr>
        <w:pStyle w:val="ListParagraph"/>
        <w:numPr>
          <w:ilvl w:val="0"/>
          <w:numId w:val="85"/>
        </w:numPr>
        <w:contextualSpacing w:val="0"/>
      </w:pPr>
      <w:r>
        <w:t>Address the root cause of the process failure to future deviations from the critical limit(s) (e.g., inadequately trained staff, equipment malfunction, thermometer calibration, etc.).</w:t>
      </w:r>
    </w:p>
    <w:p w14:paraId="5D9D2E4A" w14:textId="77777777" w:rsidR="0038500F" w:rsidRDefault="0038500F" w:rsidP="00846B8F">
      <w:pPr>
        <w:pStyle w:val="Heading4"/>
        <w:numPr>
          <w:ilvl w:val="3"/>
          <w:numId w:val="175"/>
        </w:numPr>
      </w:pPr>
      <w:r>
        <w:t>Verification</w:t>
      </w:r>
    </w:p>
    <w:p w14:paraId="7205BD46" w14:textId="77777777" w:rsidR="0038500F" w:rsidRDefault="0038500F" w:rsidP="00846B8F">
      <w:pPr>
        <w:pStyle w:val="ListParagraph"/>
        <w:numPr>
          <w:ilvl w:val="0"/>
          <w:numId w:val="85"/>
        </w:numPr>
        <w:spacing w:before="240"/>
        <w:contextualSpacing w:val="0"/>
      </w:pPr>
      <w:r>
        <w:t>Validation study to demonstrate process effectiveness for pathogen reduction.</w:t>
      </w:r>
    </w:p>
    <w:p w14:paraId="613B11F3" w14:textId="61772199" w:rsidR="0038500F" w:rsidRDefault="0038500F" w:rsidP="00846B8F">
      <w:pPr>
        <w:pStyle w:val="ListParagraph"/>
        <w:numPr>
          <w:ilvl w:val="0"/>
          <w:numId w:val="85"/>
        </w:numPr>
        <w:contextualSpacing w:val="0"/>
      </w:pPr>
      <w:r>
        <w:t xml:space="preserve">Periodic random testing of finished products for indicator organism or pathogen (like </w:t>
      </w:r>
      <w:r w:rsidRPr="00FA7869">
        <w:rPr>
          <w:i/>
          <w:iCs/>
        </w:rPr>
        <w:t>Listeria</w:t>
      </w:r>
      <w:r>
        <w:t xml:space="preserve"> </w:t>
      </w:r>
      <w:r w:rsidRPr="00FA7869">
        <w:rPr>
          <w:i/>
          <w:iCs/>
        </w:rPr>
        <w:t>monocytogenes</w:t>
      </w:r>
      <w:r>
        <w:t xml:space="preserve">) presence by an accredited </w:t>
      </w:r>
      <w:r w:rsidR="00FA7869">
        <w:t>third-party</w:t>
      </w:r>
      <w:r>
        <w:t xml:space="preserve"> laboratory.</w:t>
      </w:r>
    </w:p>
    <w:p w14:paraId="322C8A4B" w14:textId="77777777" w:rsidR="0038500F" w:rsidRDefault="0038500F" w:rsidP="00846B8F">
      <w:pPr>
        <w:pStyle w:val="ListParagraph"/>
        <w:numPr>
          <w:ilvl w:val="0"/>
          <w:numId w:val="85"/>
        </w:numPr>
        <w:contextualSpacing w:val="0"/>
      </w:pPr>
      <w:r>
        <w:t>Review or monitoring and corrective action records within one week of preparation to ensure they were completed appropriately.</w:t>
      </w:r>
    </w:p>
    <w:p w14:paraId="71C2321D" w14:textId="0C39ADC9" w:rsidR="0038500F" w:rsidRDefault="0038500F" w:rsidP="00846B8F">
      <w:pPr>
        <w:pStyle w:val="ListParagraph"/>
        <w:numPr>
          <w:ilvl w:val="0"/>
          <w:numId w:val="85"/>
        </w:numPr>
        <w:contextualSpacing w:val="0"/>
      </w:pPr>
      <w:r>
        <w:t>Others, dependent on specific processes applied and parameters determined through the validation study.</w:t>
      </w:r>
    </w:p>
    <w:p w14:paraId="42097EB1" w14:textId="77777777" w:rsidR="0038500F" w:rsidRDefault="0038500F" w:rsidP="00846B8F">
      <w:pPr>
        <w:pStyle w:val="ListParagraph"/>
        <w:numPr>
          <w:ilvl w:val="0"/>
          <w:numId w:val="85"/>
        </w:numPr>
        <w:contextualSpacing w:val="0"/>
      </w:pPr>
      <w:r>
        <w:t>Accuracy and calibration checks of measuring devices used.</w:t>
      </w:r>
    </w:p>
    <w:p w14:paraId="014E2565" w14:textId="77777777" w:rsidR="0038500F" w:rsidRDefault="0038500F" w:rsidP="00846B8F">
      <w:pPr>
        <w:pStyle w:val="Heading4"/>
        <w:numPr>
          <w:ilvl w:val="3"/>
          <w:numId w:val="175"/>
        </w:numPr>
      </w:pPr>
      <w:r>
        <w:t>Records</w:t>
      </w:r>
    </w:p>
    <w:p w14:paraId="2DFD460B" w14:textId="77777777" w:rsidR="0038500F" w:rsidRDefault="0038500F" w:rsidP="00846B8F">
      <w:pPr>
        <w:pStyle w:val="ListParagraph"/>
        <w:numPr>
          <w:ilvl w:val="0"/>
          <w:numId w:val="86"/>
        </w:numPr>
        <w:spacing w:before="240"/>
        <w:contextualSpacing w:val="0"/>
      </w:pPr>
      <w:r w:rsidRPr="00FA7869">
        <w:rPr>
          <w:b/>
          <w:bCs/>
        </w:rPr>
        <w:t>Monitoring Records:</w:t>
      </w:r>
      <w:r>
        <w:t xml:space="preserve"> Including temperature logs indicating processing time and temperature.</w:t>
      </w:r>
    </w:p>
    <w:p w14:paraId="6874F03B" w14:textId="77777777" w:rsidR="0038500F" w:rsidRDefault="0038500F" w:rsidP="00846B8F">
      <w:pPr>
        <w:pStyle w:val="ListParagraph"/>
        <w:numPr>
          <w:ilvl w:val="0"/>
          <w:numId w:val="86"/>
        </w:numPr>
        <w:contextualSpacing w:val="0"/>
      </w:pPr>
      <w:r w:rsidRPr="00FA7869">
        <w:rPr>
          <w:b/>
          <w:bCs/>
        </w:rPr>
        <w:t>Corrective Action Records:</w:t>
      </w:r>
      <w:r>
        <w:t xml:space="preserve"> Any records indicating what was done to address potential deviations from parameters, values, or critical limits.</w:t>
      </w:r>
    </w:p>
    <w:p w14:paraId="693103C6" w14:textId="524E2E45" w:rsidR="0038500F" w:rsidRDefault="0038500F" w:rsidP="00846B8F">
      <w:pPr>
        <w:pStyle w:val="ListParagraph"/>
        <w:numPr>
          <w:ilvl w:val="0"/>
          <w:numId w:val="86"/>
        </w:numPr>
        <w:contextualSpacing w:val="0"/>
      </w:pPr>
      <w:r w:rsidRPr="00FA7869">
        <w:rPr>
          <w:b/>
          <w:bCs/>
        </w:rPr>
        <w:t>Verification Records:</w:t>
      </w:r>
      <w:r>
        <w:t xml:space="preserve"> Including a validation study on file, accuracy and calibration checks of temperature measuring/recording and other measuring devices used, and results of any product testing on file.</w:t>
      </w:r>
    </w:p>
    <w:p w14:paraId="186AC083" w14:textId="1C51E137" w:rsidR="0038500F" w:rsidRDefault="0038500F" w:rsidP="00846B8F">
      <w:pPr>
        <w:pStyle w:val="ListParagraph"/>
        <w:numPr>
          <w:ilvl w:val="0"/>
          <w:numId w:val="86"/>
        </w:numPr>
        <w:contextualSpacing w:val="0"/>
      </w:pPr>
      <w:r w:rsidRPr="00FA7869">
        <w:rPr>
          <w:b/>
          <w:bCs/>
        </w:rPr>
        <w:t>Recall Plan:</w:t>
      </w:r>
      <w:r>
        <w:t xml:space="preserve"> A written recall plan is required for any products with significant hazards if regulated under preventive controls for human foods.</w:t>
      </w:r>
    </w:p>
    <w:p w14:paraId="465424A9" w14:textId="77777777" w:rsidR="00092104" w:rsidRDefault="0038500F" w:rsidP="00846B8F">
      <w:pPr>
        <w:pStyle w:val="ListParagraph"/>
        <w:numPr>
          <w:ilvl w:val="0"/>
          <w:numId w:val="86"/>
        </w:numPr>
        <w:contextualSpacing w:val="0"/>
        <w:sectPr w:rsidR="00092104" w:rsidSect="00F40B6F">
          <w:pgSz w:w="12240" w:h="15840"/>
          <w:pgMar w:top="1440" w:right="1440" w:bottom="1440" w:left="1440" w:header="720" w:footer="720" w:gutter="0"/>
          <w:pgNumType w:start="1" w:chapStyle="1"/>
          <w:cols w:space="720"/>
          <w:docGrid w:linePitch="360"/>
        </w:sectPr>
      </w:pPr>
      <w:r w:rsidRPr="00FA7869">
        <w:rPr>
          <w:b/>
          <w:bCs/>
        </w:rPr>
        <w:t>Training Records:</w:t>
      </w:r>
      <w:r>
        <w:t xml:space="preserve"> Training records for the preventive controls qualified individual (PCQI) must be maintained if regulated under preventive controls for human foods. While the </w:t>
      </w:r>
      <w:r>
        <w:lastRenderedPageBreak/>
        <w:t>HACCP rule requires a HACCP trained individual, records of that training are not explicitly required (federally, may vary by state).</w:t>
      </w:r>
    </w:p>
    <w:p w14:paraId="05D2456E" w14:textId="726482CF" w:rsidR="00092104" w:rsidRDefault="00092104" w:rsidP="00846B8F">
      <w:pPr>
        <w:pStyle w:val="Heading4"/>
        <w:numPr>
          <w:ilvl w:val="3"/>
          <w:numId w:val="175"/>
        </w:numPr>
      </w:pPr>
      <w:r>
        <w:lastRenderedPageBreak/>
        <w:t>Example HACCP/Food Safety Plan for Processing Control</w:t>
      </w:r>
    </w:p>
    <w:p w14:paraId="312DA3D9" w14:textId="38F4B4AD" w:rsidR="00092104" w:rsidRDefault="00092104" w:rsidP="00F9694B">
      <w:pPr>
        <w:ind w:left="-1080" w:right="-900"/>
        <w:rPr>
          <w:b/>
          <w:bCs/>
        </w:rPr>
      </w:pPr>
      <w:r w:rsidRPr="00092104">
        <w:t>Below is an example showing what a food safety plan could look like. It is intended for illustrative purposes only. Each producer must develop a plan tailored to their unique products, production and processing methods, and regulatory requirements</w:t>
      </w:r>
      <w:r w:rsidRPr="00092104">
        <w:rPr>
          <w:b/>
          <w:bCs/>
        </w:rPr>
        <w:t>. This example should not be copied and used without modification to fit your specific operation.</w:t>
      </w:r>
    </w:p>
    <w:p w14:paraId="639B76A8" w14:textId="259B24F2" w:rsidR="00092104" w:rsidRPr="00092104" w:rsidRDefault="00092104" w:rsidP="00F9694B">
      <w:pPr>
        <w:ind w:left="-1080" w:right="-900"/>
      </w:pPr>
      <w:r w:rsidRPr="00092104">
        <w:rPr>
          <w:b/>
          <w:bCs/>
        </w:rPr>
        <w:t>NOTE:</w:t>
      </w:r>
      <w:r>
        <w:rPr>
          <w:b/>
          <w:bCs/>
        </w:rPr>
        <w:t xml:space="preserve"> </w:t>
      </w:r>
      <w:r w:rsidRPr="00092104">
        <w:t>The time and temperature profiles listed here are fictional, specific critical limits should be identified through the process validation study.</w:t>
      </w:r>
    </w:p>
    <w:p w14:paraId="13AF5AE1" w14:textId="4BE5168E" w:rsidR="00092104" w:rsidRDefault="00092104" w:rsidP="00F9694B">
      <w:pPr>
        <w:spacing w:before="240"/>
        <w:ind w:left="-1080"/>
        <w:contextualSpacing/>
      </w:pPr>
      <w:r w:rsidRPr="00E579E8">
        <w:rPr>
          <w:b/>
          <w:bCs/>
        </w:rPr>
        <w:t>Control Strategy:</w:t>
      </w:r>
      <w:r>
        <w:t xml:space="preserve"> Processing Control</w:t>
      </w:r>
    </w:p>
    <w:p w14:paraId="493E2D66" w14:textId="25E93F38" w:rsidR="00092104" w:rsidRDefault="00092104" w:rsidP="00F9694B">
      <w:pPr>
        <w:spacing w:before="240"/>
        <w:ind w:left="-1080"/>
        <w:contextualSpacing/>
      </w:pPr>
      <w:r w:rsidRPr="007235FC">
        <w:rPr>
          <w:b/>
          <w:bCs/>
        </w:rPr>
        <w:t>Critical Control Point</w:t>
      </w:r>
      <w:r>
        <w:rPr>
          <w:b/>
          <w:bCs/>
        </w:rPr>
        <w:t>/Process Preventive Control</w:t>
      </w:r>
      <w:r w:rsidRPr="007235FC">
        <w:rPr>
          <w:b/>
          <w:bCs/>
        </w:rPr>
        <w:t xml:space="preserve">: </w:t>
      </w:r>
      <w:r w:rsidRPr="00092104">
        <w:t>Steam Pasteurization</w:t>
      </w:r>
    </w:p>
    <w:p w14:paraId="71607CB7" w14:textId="52AB00B5" w:rsidR="00092104" w:rsidRPr="00AD559E" w:rsidRDefault="00092104" w:rsidP="00F9694B">
      <w:pPr>
        <w:spacing w:before="240"/>
        <w:ind w:left="-1080"/>
        <w:contextualSpacing/>
      </w:pPr>
      <w:r w:rsidRPr="00E579E8">
        <w:rPr>
          <w:b/>
          <w:bCs/>
        </w:rPr>
        <w:t>Hazard:</w:t>
      </w:r>
      <w:r>
        <w:t xml:space="preserve"> </w:t>
      </w:r>
      <w:r w:rsidRPr="00092104">
        <w:t xml:space="preserve">Pathogen </w:t>
      </w:r>
      <w:r>
        <w:t>S</w:t>
      </w:r>
      <w:r w:rsidRPr="00092104">
        <w:t xml:space="preserve">urvival </w:t>
      </w:r>
      <w:r>
        <w:t>T</w:t>
      </w:r>
      <w:r w:rsidRPr="00092104">
        <w:t xml:space="preserve">hrough </w:t>
      </w:r>
      <w:r>
        <w:t>C</w:t>
      </w:r>
      <w:r w:rsidRPr="00092104">
        <w:t xml:space="preserve">ooking or </w:t>
      </w:r>
      <w:r>
        <w:t>P</w:t>
      </w:r>
      <w:r w:rsidRPr="00092104">
        <w:t>asteurization</w:t>
      </w:r>
    </w:p>
    <w:tbl>
      <w:tblPr>
        <w:tblStyle w:val="TableGrid"/>
        <w:tblW w:w="15210" w:type="dxa"/>
        <w:tblInd w:w="-103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43" w:type="dxa"/>
          <w:left w:w="58" w:type="dxa"/>
          <w:right w:w="58" w:type="dxa"/>
        </w:tblCellMar>
        <w:tblLook w:val="04A0" w:firstRow="1" w:lastRow="0" w:firstColumn="1" w:lastColumn="0" w:noHBand="0" w:noVBand="1"/>
        <w:tblCaption w:val="Example HACCP/Food Safety Plan for Processing Control: Pathogen Survival Through Cooking or Pasteurization"/>
        <w:tblDescription w:val="Column Headers: Parameters/Values/Critical Limits, Monitoring (What/How/When/Who as subheader columns within), Corrective Action, Verification, Records."/>
      </w:tblPr>
      <w:tblGrid>
        <w:gridCol w:w="2110"/>
        <w:gridCol w:w="1350"/>
        <w:gridCol w:w="1260"/>
        <w:gridCol w:w="810"/>
        <w:gridCol w:w="1440"/>
        <w:gridCol w:w="3960"/>
        <w:gridCol w:w="2520"/>
        <w:gridCol w:w="1760"/>
      </w:tblGrid>
      <w:tr w:rsidR="00092104" w14:paraId="4D6A2A8C" w14:textId="77777777" w:rsidTr="00A61B74">
        <w:trPr>
          <w:trHeight w:val="390"/>
        </w:trPr>
        <w:tc>
          <w:tcPr>
            <w:tcW w:w="2110" w:type="dxa"/>
            <w:vMerge w:val="restart"/>
            <w:shd w:val="clear" w:color="auto" w:fill="D1D1D1" w:themeFill="background2" w:themeFillShade="E6"/>
          </w:tcPr>
          <w:p w14:paraId="1D9D7071" w14:textId="77777777" w:rsidR="00092104" w:rsidRPr="0001662C" w:rsidRDefault="00092104" w:rsidP="00DF5603">
            <w:pPr>
              <w:jc w:val="center"/>
              <w:rPr>
                <w:b/>
                <w:bCs/>
              </w:rPr>
            </w:pPr>
            <w:r w:rsidRPr="0001662C">
              <w:rPr>
                <w:b/>
                <w:bCs/>
              </w:rPr>
              <w:t>Parameters, Values, Critical Limits</w:t>
            </w:r>
          </w:p>
        </w:tc>
        <w:tc>
          <w:tcPr>
            <w:tcW w:w="4860" w:type="dxa"/>
            <w:gridSpan w:val="4"/>
            <w:shd w:val="clear" w:color="auto" w:fill="D1D1D1" w:themeFill="background2" w:themeFillShade="E6"/>
          </w:tcPr>
          <w:p w14:paraId="3BEF718C" w14:textId="77777777" w:rsidR="00092104" w:rsidRPr="0001662C" w:rsidRDefault="00092104" w:rsidP="00DF5603">
            <w:pPr>
              <w:jc w:val="center"/>
              <w:rPr>
                <w:b/>
                <w:bCs/>
              </w:rPr>
            </w:pPr>
            <w:r w:rsidRPr="0001662C">
              <w:rPr>
                <w:b/>
                <w:bCs/>
              </w:rPr>
              <w:t>Monitoring</w:t>
            </w:r>
          </w:p>
        </w:tc>
        <w:tc>
          <w:tcPr>
            <w:tcW w:w="3960" w:type="dxa"/>
            <w:vMerge w:val="restart"/>
            <w:shd w:val="clear" w:color="auto" w:fill="D1D1D1" w:themeFill="background2" w:themeFillShade="E6"/>
          </w:tcPr>
          <w:p w14:paraId="6BE3E12C" w14:textId="77777777" w:rsidR="00092104" w:rsidRPr="0001662C" w:rsidRDefault="00092104" w:rsidP="00DF5603">
            <w:pPr>
              <w:jc w:val="center"/>
              <w:rPr>
                <w:b/>
                <w:bCs/>
              </w:rPr>
            </w:pPr>
            <w:r w:rsidRPr="0001662C">
              <w:rPr>
                <w:b/>
                <w:bCs/>
              </w:rPr>
              <w:t>Corrective Action</w:t>
            </w:r>
          </w:p>
        </w:tc>
        <w:tc>
          <w:tcPr>
            <w:tcW w:w="2520" w:type="dxa"/>
            <w:vMerge w:val="restart"/>
            <w:shd w:val="clear" w:color="auto" w:fill="D1D1D1" w:themeFill="background2" w:themeFillShade="E6"/>
          </w:tcPr>
          <w:p w14:paraId="2042429B" w14:textId="77777777" w:rsidR="00092104" w:rsidRPr="0001662C" w:rsidRDefault="00092104" w:rsidP="00DF5603">
            <w:pPr>
              <w:jc w:val="center"/>
              <w:rPr>
                <w:b/>
                <w:bCs/>
              </w:rPr>
            </w:pPr>
            <w:r w:rsidRPr="0001662C">
              <w:rPr>
                <w:b/>
                <w:bCs/>
              </w:rPr>
              <w:t>Verification</w:t>
            </w:r>
          </w:p>
        </w:tc>
        <w:tc>
          <w:tcPr>
            <w:tcW w:w="1760" w:type="dxa"/>
            <w:vMerge w:val="restart"/>
            <w:shd w:val="clear" w:color="auto" w:fill="D1D1D1" w:themeFill="background2" w:themeFillShade="E6"/>
          </w:tcPr>
          <w:p w14:paraId="29020442" w14:textId="77777777" w:rsidR="00092104" w:rsidRPr="0001662C" w:rsidRDefault="00092104" w:rsidP="00DF5603">
            <w:pPr>
              <w:jc w:val="center"/>
              <w:rPr>
                <w:b/>
                <w:bCs/>
              </w:rPr>
            </w:pPr>
            <w:r w:rsidRPr="0001662C">
              <w:rPr>
                <w:b/>
                <w:bCs/>
              </w:rPr>
              <w:t>Records</w:t>
            </w:r>
          </w:p>
        </w:tc>
      </w:tr>
      <w:tr w:rsidR="00092104" w14:paraId="4B065FE3" w14:textId="77777777" w:rsidTr="00A61B74">
        <w:trPr>
          <w:trHeight w:val="20"/>
        </w:trPr>
        <w:tc>
          <w:tcPr>
            <w:tcW w:w="2110" w:type="dxa"/>
            <w:vMerge/>
          </w:tcPr>
          <w:p w14:paraId="7CEF1D24" w14:textId="77777777" w:rsidR="00092104" w:rsidRPr="0001662C" w:rsidRDefault="00092104" w:rsidP="00DF5603">
            <w:pPr>
              <w:rPr>
                <w:b/>
                <w:bCs/>
              </w:rPr>
            </w:pPr>
          </w:p>
        </w:tc>
        <w:tc>
          <w:tcPr>
            <w:tcW w:w="1350" w:type="dxa"/>
            <w:shd w:val="clear" w:color="auto" w:fill="D1D1D1" w:themeFill="background2" w:themeFillShade="E6"/>
          </w:tcPr>
          <w:p w14:paraId="7C3DD793" w14:textId="77777777" w:rsidR="00092104" w:rsidRPr="0001662C" w:rsidRDefault="00092104" w:rsidP="00DF5603">
            <w:pPr>
              <w:jc w:val="center"/>
              <w:rPr>
                <w:b/>
                <w:bCs/>
              </w:rPr>
            </w:pPr>
            <w:r w:rsidRPr="0001662C">
              <w:rPr>
                <w:b/>
                <w:bCs/>
              </w:rPr>
              <w:t>What</w:t>
            </w:r>
          </w:p>
        </w:tc>
        <w:tc>
          <w:tcPr>
            <w:tcW w:w="1260" w:type="dxa"/>
            <w:shd w:val="clear" w:color="auto" w:fill="D1D1D1" w:themeFill="background2" w:themeFillShade="E6"/>
          </w:tcPr>
          <w:p w14:paraId="6B841903" w14:textId="77777777" w:rsidR="00092104" w:rsidRPr="0001662C" w:rsidRDefault="00092104" w:rsidP="00DF5603">
            <w:pPr>
              <w:jc w:val="center"/>
              <w:rPr>
                <w:b/>
                <w:bCs/>
              </w:rPr>
            </w:pPr>
            <w:r w:rsidRPr="0001662C">
              <w:rPr>
                <w:b/>
                <w:bCs/>
              </w:rPr>
              <w:t>How</w:t>
            </w:r>
          </w:p>
        </w:tc>
        <w:tc>
          <w:tcPr>
            <w:tcW w:w="810" w:type="dxa"/>
            <w:shd w:val="clear" w:color="auto" w:fill="D1D1D1" w:themeFill="background2" w:themeFillShade="E6"/>
          </w:tcPr>
          <w:p w14:paraId="45C0769C" w14:textId="77777777" w:rsidR="00092104" w:rsidRPr="0001662C" w:rsidRDefault="00092104" w:rsidP="00DF5603">
            <w:pPr>
              <w:jc w:val="center"/>
              <w:rPr>
                <w:b/>
                <w:bCs/>
              </w:rPr>
            </w:pPr>
            <w:r w:rsidRPr="0001662C">
              <w:rPr>
                <w:b/>
                <w:bCs/>
              </w:rPr>
              <w:t>When</w:t>
            </w:r>
          </w:p>
        </w:tc>
        <w:tc>
          <w:tcPr>
            <w:tcW w:w="1440" w:type="dxa"/>
            <w:shd w:val="clear" w:color="auto" w:fill="D1D1D1" w:themeFill="background2" w:themeFillShade="E6"/>
          </w:tcPr>
          <w:p w14:paraId="03931585" w14:textId="77777777" w:rsidR="00092104" w:rsidRPr="0001662C" w:rsidRDefault="00092104" w:rsidP="00DF5603">
            <w:pPr>
              <w:jc w:val="center"/>
              <w:rPr>
                <w:b/>
                <w:bCs/>
              </w:rPr>
            </w:pPr>
            <w:r w:rsidRPr="0001662C">
              <w:rPr>
                <w:b/>
                <w:bCs/>
              </w:rPr>
              <w:t>Who</w:t>
            </w:r>
          </w:p>
        </w:tc>
        <w:tc>
          <w:tcPr>
            <w:tcW w:w="3960" w:type="dxa"/>
            <w:vMerge/>
          </w:tcPr>
          <w:p w14:paraId="3CAD306F" w14:textId="77777777" w:rsidR="00092104" w:rsidRDefault="00092104" w:rsidP="00DF5603"/>
        </w:tc>
        <w:tc>
          <w:tcPr>
            <w:tcW w:w="2520" w:type="dxa"/>
            <w:vMerge/>
          </w:tcPr>
          <w:p w14:paraId="5B27F71A" w14:textId="77777777" w:rsidR="00092104" w:rsidRDefault="00092104" w:rsidP="00DF5603"/>
        </w:tc>
        <w:tc>
          <w:tcPr>
            <w:tcW w:w="1760" w:type="dxa"/>
            <w:vMerge/>
          </w:tcPr>
          <w:p w14:paraId="273F860D" w14:textId="77777777" w:rsidR="00092104" w:rsidRDefault="00092104" w:rsidP="00DF5603"/>
        </w:tc>
      </w:tr>
      <w:tr w:rsidR="00092104" w14:paraId="4C479D25" w14:textId="77777777" w:rsidTr="00A61B74">
        <w:trPr>
          <w:trHeight w:val="5068"/>
        </w:trPr>
        <w:tc>
          <w:tcPr>
            <w:tcW w:w="2110" w:type="dxa"/>
          </w:tcPr>
          <w:p w14:paraId="54B5F1ED" w14:textId="7E0E3405" w:rsidR="00092104" w:rsidRPr="00092104" w:rsidRDefault="00092104" w:rsidP="00092104">
            <w:pPr>
              <w:spacing w:before="240"/>
              <w:rPr>
                <w:sz w:val="22"/>
                <w:szCs w:val="22"/>
              </w:rPr>
            </w:pPr>
            <w:r w:rsidRPr="00092104">
              <w:rPr>
                <w:sz w:val="22"/>
                <w:szCs w:val="22"/>
              </w:rPr>
              <w:t>Steam Temperature ≥212°F</w:t>
            </w:r>
            <w:r>
              <w:rPr>
                <w:sz w:val="22"/>
                <w:szCs w:val="22"/>
              </w:rPr>
              <w:t xml:space="preserve"> (100</w:t>
            </w:r>
            <w:r w:rsidRPr="00092104">
              <w:rPr>
                <w:sz w:val="22"/>
                <w:szCs w:val="22"/>
              </w:rPr>
              <w:t>°</w:t>
            </w:r>
            <w:r>
              <w:rPr>
                <w:sz w:val="22"/>
                <w:szCs w:val="22"/>
              </w:rPr>
              <w:t>C)</w:t>
            </w:r>
          </w:p>
          <w:p w14:paraId="4E996606" w14:textId="630EEE62" w:rsidR="00092104" w:rsidRPr="00677CAA" w:rsidRDefault="00092104" w:rsidP="00092104">
            <w:pPr>
              <w:spacing w:before="240"/>
              <w:rPr>
                <w:sz w:val="22"/>
                <w:szCs w:val="22"/>
              </w:rPr>
            </w:pPr>
            <w:r w:rsidRPr="00092104">
              <w:rPr>
                <w:sz w:val="22"/>
                <w:szCs w:val="22"/>
              </w:rPr>
              <w:t>Exposure time of 4 minutes</w:t>
            </w:r>
          </w:p>
        </w:tc>
        <w:tc>
          <w:tcPr>
            <w:tcW w:w="1350" w:type="dxa"/>
          </w:tcPr>
          <w:p w14:paraId="4997E912" w14:textId="77777777" w:rsidR="00092104" w:rsidRPr="00092104" w:rsidRDefault="00092104" w:rsidP="00092104">
            <w:pPr>
              <w:spacing w:before="240"/>
              <w:rPr>
                <w:sz w:val="22"/>
                <w:szCs w:val="22"/>
              </w:rPr>
            </w:pPr>
            <w:r w:rsidRPr="00092104">
              <w:rPr>
                <w:sz w:val="22"/>
                <w:szCs w:val="22"/>
              </w:rPr>
              <w:t>Temperature</w:t>
            </w:r>
          </w:p>
          <w:p w14:paraId="6DEBD6DC" w14:textId="63D53CFD" w:rsidR="00092104" w:rsidRPr="00677CAA" w:rsidRDefault="00092104" w:rsidP="00092104">
            <w:pPr>
              <w:spacing w:before="240"/>
              <w:rPr>
                <w:sz w:val="22"/>
                <w:szCs w:val="22"/>
              </w:rPr>
            </w:pPr>
            <w:r w:rsidRPr="00092104">
              <w:rPr>
                <w:sz w:val="22"/>
                <w:szCs w:val="22"/>
              </w:rPr>
              <w:t>Time</w:t>
            </w:r>
          </w:p>
        </w:tc>
        <w:tc>
          <w:tcPr>
            <w:tcW w:w="1260" w:type="dxa"/>
          </w:tcPr>
          <w:p w14:paraId="38441878" w14:textId="77777777" w:rsidR="00092104" w:rsidRPr="00092104" w:rsidRDefault="00092104" w:rsidP="00092104">
            <w:pPr>
              <w:spacing w:before="240"/>
              <w:rPr>
                <w:sz w:val="22"/>
                <w:szCs w:val="22"/>
              </w:rPr>
            </w:pPr>
            <w:r w:rsidRPr="00092104">
              <w:rPr>
                <w:sz w:val="22"/>
                <w:szCs w:val="22"/>
              </w:rPr>
              <w:t>Continuous temperature recording device</w:t>
            </w:r>
          </w:p>
          <w:p w14:paraId="0B9E983B" w14:textId="276B7BFA" w:rsidR="00092104" w:rsidRPr="00677CAA" w:rsidRDefault="00092104" w:rsidP="00092104">
            <w:pPr>
              <w:spacing w:before="240"/>
              <w:rPr>
                <w:sz w:val="22"/>
                <w:szCs w:val="22"/>
              </w:rPr>
            </w:pPr>
            <w:r w:rsidRPr="00092104">
              <w:rPr>
                <w:sz w:val="22"/>
                <w:szCs w:val="22"/>
              </w:rPr>
              <w:t>Timer</w:t>
            </w:r>
          </w:p>
        </w:tc>
        <w:tc>
          <w:tcPr>
            <w:tcW w:w="810" w:type="dxa"/>
          </w:tcPr>
          <w:p w14:paraId="5E42CEE5" w14:textId="68B4429D" w:rsidR="00092104" w:rsidRPr="00677CAA" w:rsidRDefault="00092104" w:rsidP="00DF5603">
            <w:pPr>
              <w:spacing w:before="240"/>
              <w:rPr>
                <w:sz w:val="22"/>
                <w:szCs w:val="22"/>
              </w:rPr>
            </w:pPr>
            <w:r w:rsidRPr="00092104">
              <w:rPr>
                <w:sz w:val="22"/>
                <w:szCs w:val="22"/>
              </w:rPr>
              <w:t>Every Batch</w:t>
            </w:r>
          </w:p>
        </w:tc>
        <w:tc>
          <w:tcPr>
            <w:tcW w:w="1440" w:type="dxa"/>
          </w:tcPr>
          <w:p w14:paraId="440821A0" w14:textId="1ED5A34D" w:rsidR="00092104" w:rsidRPr="00677CAA" w:rsidRDefault="00092104" w:rsidP="00DF5603">
            <w:pPr>
              <w:spacing w:before="240"/>
              <w:rPr>
                <w:sz w:val="22"/>
                <w:szCs w:val="22"/>
              </w:rPr>
            </w:pPr>
            <w:r w:rsidRPr="00092104">
              <w:rPr>
                <w:sz w:val="22"/>
                <w:szCs w:val="22"/>
              </w:rPr>
              <w:t xml:space="preserve">Manufacturing </w:t>
            </w:r>
            <w:r>
              <w:rPr>
                <w:sz w:val="22"/>
                <w:szCs w:val="22"/>
              </w:rPr>
              <w:t>A</w:t>
            </w:r>
            <w:r w:rsidRPr="00092104">
              <w:rPr>
                <w:sz w:val="22"/>
                <w:szCs w:val="22"/>
              </w:rPr>
              <w:t>ssociate</w:t>
            </w:r>
          </w:p>
        </w:tc>
        <w:tc>
          <w:tcPr>
            <w:tcW w:w="3960" w:type="dxa"/>
          </w:tcPr>
          <w:p w14:paraId="5FD51665" w14:textId="0423E6E4" w:rsidR="00092104" w:rsidRDefault="00092104" w:rsidP="00092104">
            <w:pPr>
              <w:spacing w:before="240"/>
              <w:rPr>
                <w:sz w:val="22"/>
                <w:szCs w:val="22"/>
              </w:rPr>
            </w:pPr>
            <w:r w:rsidRPr="00092104">
              <w:rPr>
                <w:sz w:val="22"/>
                <w:szCs w:val="22"/>
              </w:rPr>
              <w:t xml:space="preserve">If the system fails to reach and maintain ≥212°F, then, reprocess product </w:t>
            </w:r>
            <w:r w:rsidRPr="00092104">
              <w:rPr>
                <w:b/>
                <w:bCs/>
                <w:sz w:val="22"/>
                <w:szCs w:val="22"/>
              </w:rPr>
              <w:t>OR</w:t>
            </w:r>
            <w:r w:rsidRPr="00092104">
              <w:rPr>
                <w:sz w:val="22"/>
                <w:szCs w:val="22"/>
              </w:rPr>
              <w:t xml:space="preserve"> dispose of product</w:t>
            </w:r>
          </w:p>
          <w:p w14:paraId="4F8732E3" w14:textId="77777777" w:rsidR="00092104" w:rsidRDefault="00092104" w:rsidP="00092104">
            <w:pPr>
              <w:spacing w:before="240"/>
              <w:rPr>
                <w:sz w:val="22"/>
                <w:szCs w:val="22"/>
              </w:rPr>
            </w:pPr>
            <w:r w:rsidRPr="00092104">
              <w:rPr>
                <w:b/>
                <w:bCs/>
                <w:sz w:val="22"/>
                <w:szCs w:val="22"/>
              </w:rPr>
              <w:t>AND</w:t>
            </w:r>
            <w:r w:rsidRPr="00092104">
              <w:rPr>
                <w:sz w:val="22"/>
                <w:szCs w:val="22"/>
              </w:rPr>
              <w:t xml:space="preserve"> </w:t>
            </w:r>
          </w:p>
          <w:p w14:paraId="5E99DEBE" w14:textId="18D21BF5" w:rsidR="00092104" w:rsidRPr="00092104" w:rsidRDefault="00092104" w:rsidP="00092104">
            <w:pPr>
              <w:spacing w:before="240"/>
              <w:rPr>
                <w:sz w:val="22"/>
                <w:szCs w:val="22"/>
              </w:rPr>
            </w:pPr>
            <w:r w:rsidRPr="00092104">
              <w:rPr>
                <w:sz w:val="22"/>
                <w:szCs w:val="22"/>
              </w:rPr>
              <w:t>Address the root cause of the process failure to prevent future occurrence.</w:t>
            </w:r>
          </w:p>
          <w:p w14:paraId="7E011711" w14:textId="0B69B493" w:rsidR="00092104" w:rsidRDefault="00092104" w:rsidP="00092104">
            <w:pPr>
              <w:spacing w:before="240"/>
              <w:rPr>
                <w:sz w:val="22"/>
                <w:szCs w:val="22"/>
              </w:rPr>
            </w:pPr>
            <w:r w:rsidRPr="00092104">
              <w:rPr>
                <w:sz w:val="22"/>
                <w:szCs w:val="22"/>
              </w:rPr>
              <w:t xml:space="preserve">If the 4-minute exposure time is not reached, then, hold product till exposure time is reached </w:t>
            </w:r>
            <w:r w:rsidRPr="00092104">
              <w:rPr>
                <w:b/>
                <w:bCs/>
                <w:sz w:val="22"/>
                <w:szCs w:val="22"/>
              </w:rPr>
              <w:t>OR</w:t>
            </w:r>
            <w:r w:rsidRPr="00092104">
              <w:rPr>
                <w:sz w:val="22"/>
                <w:szCs w:val="22"/>
              </w:rPr>
              <w:t xml:space="preserve"> dispose of product</w:t>
            </w:r>
          </w:p>
          <w:p w14:paraId="2370B0A5" w14:textId="3535801C" w:rsidR="00092104" w:rsidRDefault="00092104" w:rsidP="00092104">
            <w:pPr>
              <w:spacing w:before="240"/>
              <w:rPr>
                <w:sz w:val="22"/>
                <w:szCs w:val="22"/>
              </w:rPr>
            </w:pPr>
            <w:r w:rsidRPr="00092104">
              <w:rPr>
                <w:b/>
                <w:bCs/>
                <w:sz w:val="22"/>
                <w:szCs w:val="22"/>
              </w:rPr>
              <w:t>AND</w:t>
            </w:r>
          </w:p>
          <w:p w14:paraId="3F67C8F6" w14:textId="0ADEE12A" w:rsidR="00092104" w:rsidRPr="00677CAA" w:rsidRDefault="00092104" w:rsidP="00092104">
            <w:pPr>
              <w:spacing w:before="240"/>
              <w:rPr>
                <w:sz w:val="22"/>
                <w:szCs w:val="22"/>
              </w:rPr>
            </w:pPr>
            <w:r w:rsidRPr="00092104">
              <w:rPr>
                <w:sz w:val="22"/>
                <w:szCs w:val="22"/>
              </w:rPr>
              <w:t>Address the root cause of the process failure to prevent future occurrence (e.g. retrain staff).</w:t>
            </w:r>
          </w:p>
        </w:tc>
        <w:tc>
          <w:tcPr>
            <w:tcW w:w="2520" w:type="dxa"/>
          </w:tcPr>
          <w:p w14:paraId="52524ADE" w14:textId="77777777" w:rsidR="00092104" w:rsidRPr="00092104" w:rsidRDefault="00092104" w:rsidP="00092104">
            <w:pPr>
              <w:spacing w:before="240"/>
              <w:rPr>
                <w:sz w:val="22"/>
                <w:szCs w:val="22"/>
              </w:rPr>
            </w:pPr>
            <w:r w:rsidRPr="00092104">
              <w:rPr>
                <w:sz w:val="22"/>
                <w:szCs w:val="22"/>
              </w:rPr>
              <w:t xml:space="preserve">Validation study reviewed at least annually or as needed and reevaluated as needed </w:t>
            </w:r>
          </w:p>
          <w:p w14:paraId="3A0EF6E6" w14:textId="77777777" w:rsidR="00092104" w:rsidRPr="00092104" w:rsidRDefault="00092104" w:rsidP="00092104">
            <w:pPr>
              <w:spacing w:before="240"/>
              <w:rPr>
                <w:sz w:val="22"/>
                <w:szCs w:val="22"/>
              </w:rPr>
            </w:pPr>
            <w:r w:rsidRPr="00092104">
              <w:rPr>
                <w:sz w:val="22"/>
                <w:szCs w:val="22"/>
              </w:rPr>
              <w:t>Weekly review of monitoring and corrective action records</w:t>
            </w:r>
          </w:p>
          <w:p w14:paraId="6B229DA2" w14:textId="77777777" w:rsidR="00092104" w:rsidRPr="00092104" w:rsidRDefault="00092104" w:rsidP="00092104">
            <w:pPr>
              <w:spacing w:before="240"/>
              <w:rPr>
                <w:sz w:val="22"/>
                <w:szCs w:val="22"/>
              </w:rPr>
            </w:pPr>
            <w:r w:rsidRPr="00092104">
              <w:rPr>
                <w:sz w:val="22"/>
                <w:szCs w:val="22"/>
              </w:rPr>
              <w:t>Annual external laboratory pathogen testing of product</w:t>
            </w:r>
          </w:p>
          <w:p w14:paraId="7ABD5994" w14:textId="2A064604" w:rsidR="00092104" w:rsidRPr="00677CAA" w:rsidRDefault="00092104" w:rsidP="00092104">
            <w:pPr>
              <w:spacing w:before="240"/>
              <w:rPr>
                <w:sz w:val="22"/>
                <w:szCs w:val="22"/>
              </w:rPr>
            </w:pPr>
            <w:r w:rsidRPr="00092104">
              <w:rPr>
                <w:sz w:val="22"/>
                <w:szCs w:val="22"/>
              </w:rPr>
              <w:t>Temperature recording device accuracy checks daily before use and calibration as needed and at least once a year</w:t>
            </w:r>
          </w:p>
        </w:tc>
        <w:tc>
          <w:tcPr>
            <w:tcW w:w="1760" w:type="dxa"/>
          </w:tcPr>
          <w:p w14:paraId="5D70F46D" w14:textId="77777777" w:rsidR="00092104" w:rsidRPr="00092104" w:rsidRDefault="00092104" w:rsidP="00092104">
            <w:pPr>
              <w:spacing w:before="240"/>
              <w:rPr>
                <w:sz w:val="22"/>
                <w:szCs w:val="22"/>
              </w:rPr>
            </w:pPr>
            <w:r w:rsidRPr="00092104">
              <w:rPr>
                <w:sz w:val="22"/>
                <w:szCs w:val="22"/>
              </w:rPr>
              <w:t>Batch log including treatment time and temperature</w:t>
            </w:r>
          </w:p>
          <w:p w14:paraId="515DD383" w14:textId="77777777" w:rsidR="00092104" w:rsidRPr="00092104" w:rsidRDefault="00092104" w:rsidP="00092104">
            <w:pPr>
              <w:spacing w:before="240"/>
              <w:rPr>
                <w:sz w:val="22"/>
                <w:szCs w:val="22"/>
              </w:rPr>
            </w:pPr>
            <w:r w:rsidRPr="00092104">
              <w:rPr>
                <w:sz w:val="22"/>
                <w:szCs w:val="22"/>
              </w:rPr>
              <w:t>Corrective action records, as necessary</w:t>
            </w:r>
          </w:p>
          <w:p w14:paraId="1788213C" w14:textId="77777777" w:rsidR="00092104" w:rsidRPr="00092104" w:rsidRDefault="00092104" w:rsidP="00092104">
            <w:pPr>
              <w:spacing w:before="240"/>
              <w:rPr>
                <w:sz w:val="22"/>
                <w:szCs w:val="22"/>
              </w:rPr>
            </w:pPr>
            <w:r w:rsidRPr="00092104">
              <w:rPr>
                <w:sz w:val="22"/>
                <w:szCs w:val="22"/>
              </w:rPr>
              <w:t>Lab analysis reports</w:t>
            </w:r>
          </w:p>
          <w:p w14:paraId="5C6FA9B3" w14:textId="77777777" w:rsidR="00092104" w:rsidRPr="00092104" w:rsidRDefault="00092104" w:rsidP="00092104">
            <w:pPr>
              <w:spacing w:before="240"/>
              <w:rPr>
                <w:sz w:val="22"/>
                <w:szCs w:val="22"/>
              </w:rPr>
            </w:pPr>
            <w:r w:rsidRPr="00092104">
              <w:rPr>
                <w:sz w:val="22"/>
                <w:szCs w:val="22"/>
              </w:rPr>
              <w:t>Validated study on file</w:t>
            </w:r>
          </w:p>
          <w:p w14:paraId="6524B52E" w14:textId="42CE2CFE" w:rsidR="00092104" w:rsidRPr="00677CAA" w:rsidRDefault="00092104" w:rsidP="00092104">
            <w:pPr>
              <w:spacing w:before="240"/>
              <w:rPr>
                <w:sz w:val="22"/>
                <w:szCs w:val="22"/>
              </w:rPr>
            </w:pPr>
            <w:r w:rsidRPr="00092104">
              <w:rPr>
                <w:sz w:val="22"/>
                <w:szCs w:val="22"/>
              </w:rPr>
              <w:t>PCQI training records (PCHF only)</w:t>
            </w:r>
          </w:p>
        </w:tc>
      </w:tr>
    </w:tbl>
    <w:p w14:paraId="6EE18A29" w14:textId="77777777" w:rsidR="00092104" w:rsidRDefault="00092104" w:rsidP="00092104">
      <w:pPr>
        <w:sectPr w:rsidR="00092104" w:rsidSect="00553293">
          <w:pgSz w:w="15840" w:h="12240" w:orient="landscape"/>
          <w:pgMar w:top="1440" w:right="1440" w:bottom="1440" w:left="1440" w:header="720" w:footer="720" w:gutter="0"/>
          <w:pgNumType w:chapStyle="1"/>
          <w:cols w:space="720"/>
          <w:docGrid w:linePitch="360"/>
        </w:sectPr>
      </w:pPr>
    </w:p>
    <w:p w14:paraId="158D7581" w14:textId="0E600B48" w:rsidR="00092104" w:rsidRDefault="00553293" w:rsidP="00846B8F">
      <w:pPr>
        <w:pStyle w:val="Heading2"/>
        <w:numPr>
          <w:ilvl w:val="1"/>
          <w:numId w:val="176"/>
        </w:numPr>
      </w:pPr>
      <w:bookmarkStart w:id="240" w:name="_Toc208503312"/>
      <w:r>
        <w:lastRenderedPageBreak/>
        <w:t>References</w:t>
      </w:r>
      <w:bookmarkEnd w:id="240"/>
    </w:p>
    <w:p w14:paraId="1ADFFC70" w14:textId="77777777" w:rsidR="0096181A" w:rsidRPr="0096181A" w:rsidRDefault="0096181A" w:rsidP="0096181A">
      <w:pPr>
        <w:rPr>
          <w:rFonts w:ascii="Times New Roman" w:hAnsi="Times New Roman" w:cs="Times New Roman"/>
        </w:rPr>
      </w:pPr>
      <w:r w:rsidRPr="000B1F22">
        <w:rPr>
          <w:lang w:val="es-ES"/>
        </w:rPr>
        <w:t xml:space="preserve">Del Rosario, E. Z., &amp; Mateo, W. (2019). </w:t>
      </w:r>
      <w:r w:rsidRPr="0096181A">
        <w:t xml:space="preserve">Hot Water Blanching Pre-Treatments: Enhancing Drying of Seaweeds (Kappaphycus alvarezii S.). </w:t>
      </w:r>
      <w:r w:rsidRPr="0096181A">
        <w:rPr>
          <w:i/>
          <w:iCs/>
        </w:rPr>
        <w:t>Open Science Journal</w:t>
      </w:r>
      <w:r w:rsidRPr="0096181A">
        <w:t xml:space="preserve">, </w:t>
      </w:r>
      <w:r w:rsidRPr="0096181A">
        <w:rPr>
          <w:i/>
          <w:iCs/>
        </w:rPr>
        <w:t>4</w:t>
      </w:r>
      <w:r w:rsidRPr="0096181A">
        <w:t>(1). https://doi.org/10.23954/osj.v4i1.2076</w:t>
      </w:r>
    </w:p>
    <w:p w14:paraId="1DE4131B" w14:textId="77777777" w:rsidR="0096181A" w:rsidRPr="0096181A" w:rsidRDefault="0096181A" w:rsidP="0096181A">
      <w:pPr>
        <w:rPr>
          <w:rFonts w:ascii="Times New Roman" w:hAnsi="Times New Roman" w:cs="Times New Roman"/>
        </w:rPr>
      </w:pPr>
      <w:r w:rsidRPr="0096181A">
        <w:t>USFDA. (2022). Appendix 4: Bacterial Pathogen Growth and Inactivation. In Fish and Fishery Products Hazards and Controls Guidance (pp. 417–438). United States Food and Drug Administration.</w:t>
      </w:r>
    </w:p>
    <w:p w14:paraId="51BDB20C" w14:textId="77777777" w:rsidR="0096181A" w:rsidRPr="0096181A" w:rsidRDefault="0096181A" w:rsidP="0096181A">
      <w:pPr>
        <w:rPr>
          <w:rFonts w:ascii="Times New Roman" w:hAnsi="Times New Roman" w:cs="Times New Roman"/>
        </w:rPr>
      </w:pPr>
      <w:r w:rsidRPr="0096181A">
        <w:t xml:space="preserve">USFDA. (2024, May 30). </w:t>
      </w:r>
      <w:r w:rsidRPr="0096181A">
        <w:rPr>
          <w:i/>
          <w:iCs/>
        </w:rPr>
        <w:t>Draft guidance for industry: Hazard analysis and risk-based preventive controls for human food</w:t>
      </w:r>
      <w:r w:rsidRPr="0096181A">
        <w:t>. https://www.fda.gov/regulatory-information/search-fda-guidance-documents/draft-guidance-industry-hazard-analysis-and-risk-based-preventive-controls-human-food</w:t>
      </w:r>
    </w:p>
    <w:p w14:paraId="75645BE2" w14:textId="77777777" w:rsidR="0096181A" w:rsidRPr="0096181A" w:rsidRDefault="0096181A" w:rsidP="0096181A">
      <w:pPr>
        <w:rPr>
          <w:rFonts w:ascii="Times New Roman" w:hAnsi="Times New Roman" w:cs="Times New Roman"/>
        </w:rPr>
      </w:pPr>
      <w:r w:rsidRPr="0096181A">
        <w:t xml:space="preserve">Goodfellow, S. J., &amp; Brown, W. L. (1978). Fate of Salmonella Inoculated into Beef for Cooking. </w:t>
      </w:r>
      <w:r w:rsidRPr="0096181A">
        <w:rPr>
          <w:i/>
          <w:iCs/>
        </w:rPr>
        <w:t>Journal of Food Protection</w:t>
      </w:r>
      <w:r w:rsidRPr="0096181A">
        <w:t xml:space="preserve">, </w:t>
      </w:r>
      <w:r w:rsidRPr="0096181A">
        <w:rPr>
          <w:i/>
          <w:iCs/>
        </w:rPr>
        <w:t>41</w:t>
      </w:r>
      <w:r w:rsidRPr="0096181A">
        <w:t>(8), 598–605. https://doi.org/10.4315/0362-028X-41.8.598</w:t>
      </w:r>
    </w:p>
    <w:p w14:paraId="2625F207" w14:textId="77777777" w:rsidR="0096181A" w:rsidRPr="0096181A" w:rsidRDefault="0096181A" w:rsidP="0096181A">
      <w:pPr>
        <w:rPr>
          <w:rFonts w:ascii="Times New Roman" w:hAnsi="Times New Roman" w:cs="Times New Roman"/>
        </w:rPr>
      </w:pPr>
      <w:r w:rsidRPr="0096181A">
        <w:t xml:space="preserve">ICMSF, I. C. O. M. S. for F. (2011). </w:t>
      </w:r>
      <w:r w:rsidRPr="0096181A">
        <w:rPr>
          <w:i/>
          <w:iCs/>
        </w:rPr>
        <w:t>Microorganisms in Foods 8: Use of Data for Assessing Process Control and Product Acceptance</w:t>
      </w:r>
      <w:r w:rsidRPr="0096181A">
        <w:t>. Springer US. https://doi.org/10.1007/978-1-4419-9374-8</w:t>
      </w:r>
    </w:p>
    <w:p w14:paraId="18C2B303" w14:textId="77777777" w:rsidR="0096181A" w:rsidRPr="0096181A" w:rsidRDefault="0096181A" w:rsidP="0096181A">
      <w:pPr>
        <w:rPr>
          <w:rFonts w:ascii="Times New Roman" w:hAnsi="Times New Roman" w:cs="Times New Roman"/>
        </w:rPr>
      </w:pPr>
      <w:r w:rsidRPr="0096181A">
        <w:t xml:space="preserve">Jovanovic, J., Ornelis, V. F. M., Madder, A., &amp; Rajkovic, A. (2021). </w:t>
      </w:r>
      <w:r w:rsidRPr="0096181A">
        <w:rPr>
          <w:i/>
          <w:iCs/>
        </w:rPr>
        <w:t>Bacillus cereus</w:t>
      </w:r>
      <w:r w:rsidRPr="0096181A">
        <w:t xml:space="preserve"> food intoxication and toxicoinfection. </w:t>
      </w:r>
      <w:r w:rsidRPr="0096181A">
        <w:rPr>
          <w:i/>
          <w:iCs/>
        </w:rPr>
        <w:t>Comprehensive Reviews in Food Science and Food Safety</w:t>
      </w:r>
      <w:r w:rsidRPr="0096181A">
        <w:t xml:space="preserve">, </w:t>
      </w:r>
      <w:r w:rsidRPr="0096181A">
        <w:rPr>
          <w:i/>
          <w:iCs/>
        </w:rPr>
        <w:t>20</w:t>
      </w:r>
      <w:r w:rsidRPr="0096181A">
        <w:t>(4), 3719–3761. https://doi.org/10.1111/1541-4337.12785</w:t>
      </w:r>
    </w:p>
    <w:p w14:paraId="264CEDEB" w14:textId="005A43F9" w:rsidR="0096181A" w:rsidRPr="0096181A" w:rsidRDefault="0096181A" w:rsidP="0096181A">
      <w:r w:rsidRPr="0096181A">
        <w:t xml:space="preserve">Line, J. E., Fain, A. R., Moran, A. B., Martin, L. M., Lechowich, R. V., Carosella, J. M., &amp; Brown, W. L. (1991). Lethality of Heat to Escherichia coli 0157:H7: D-Value and Z-Value Determinations in Ground Beef. </w:t>
      </w:r>
      <w:r w:rsidRPr="0096181A">
        <w:rPr>
          <w:i/>
          <w:iCs/>
        </w:rPr>
        <w:t>Journal of Food Protection</w:t>
      </w:r>
      <w:r w:rsidRPr="0096181A">
        <w:t xml:space="preserve">, </w:t>
      </w:r>
      <w:r w:rsidRPr="0096181A">
        <w:rPr>
          <w:i/>
          <w:iCs/>
        </w:rPr>
        <w:t>54</w:t>
      </w:r>
      <w:r w:rsidRPr="0096181A">
        <w:t>(10), 762–766. https://doi.org/10.4315/0362-028X-54.10.762</w:t>
      </w:r>
    </w:p>
    <w:p w14:paraId="56305F9C" w14:textId="77777777" w:rsidR="00553293" w:rsidRDefault="00553293" w:rsidP="00553293"/>
    <w:p w14:paraId="342C34FA" w14:textId="77777777" w:rsidR="00553293" w:rsidRDefault="00553293" w:rsidP="00553293">
      <w:pPr>
        <w:sectPr w:rsidR="00553293" w:rsidSect="00FB4CF4">
          <w:pgSz w:w="12240" w:h="15840"/>
          <w:pgMar w:top="1440" w:right="1440" w:bottom="1440" w:left="1440" w:header="720" w:footer="720" w:gutter="0"/>
          <w:pgNumType w:chapStyle="1"/>
          <w:cols w:space="720"/>
          <w:docGrid w:linePitch="360"/>
        </w:sectPr>
      </w:pPr>
    </w:p>
    <w:p w14:paraId="1A792279" w14:textId="5A4EE0F4" w:rsidR="00553293" w:rsidRDefault="00553293" w:rsidP="00691E23">
      <w:pPr>
        <w:pStyle w:val="Heading1"/>
      </w:pPr>
      <w:bookmarkStart w:id="241" w:name="_Toc208503313"/>
      <w:bookmarkStart w:id="242" w:name="_Toc210042863"/>
      <w:r>
        <w:lastRenderedPageBreak/>
        <w:t>Allergens and Food Intolerance Substances</w:t>
      </w:r>
      <w:bookmarkEnd w:id="241"/>
      <w:bookmarkEnd w:id="242"/>
    </w:p>
    <w:p w14:paraId="762CE49C" w14:textId="77777777" w:rsidR="00553293" w:rsidRDefault="00553293" w:rsidP="00441BE0">
      <w:pPr>
        <w:pStyle w:val="Heading2"/>
      </w:pPr>
      <w:bookmarkStart w:id="243" w:name="_Toc208503314"/>
      <w:r>
        <w:t>General Background: Understanding the Potential Hazard</w:t>
      </w:r>
      <w:bookmarkEnd w:id="243"/>
    </w:p>
    <w:p w14:paraId="334B1FE5" w14:textId="77777777" w:rsidR="00553293" w:rsidRDefault="00553293" w:rsidP="00B64049">
      <w:pPr>
        <w:spacing w:before="240"/>
      </w:pPr>
      <w:r>
        <w:t>In the United States, nine specific foods account for over 90% of serious allergic reactions and are classified as major food allergens. Food producers selling products in the U.S. must properly manage these allergens to help prevent severe allergic reactions in consumers.</w:t>
      </w:r>
    </w:p>
    <w:p w14:paraId="64136B55" w14:textId="77777777" w:rsidR="00553293" w:rsidRDefault="00553293" w:rsidP="00553293">
      <w:r>
        <w:t>The U.S. Food and Drug Administration (FDA) is responsible for enforcing food allergen regulations, including the Food Allergen Labeling and Consumer Protection Act of 2004 (FALCPA), which originally identified eight major food allergens. In January 2023, the Food Allergy Safety, Treatment, Education, and Research (FASTER) Act added sesame as the ninth major allergen.</w:t>
      </w:r>
    </w:p>
    <w:p w14:paraId="58097F3C" w14:textId="77777777" w:rsidR="00553293" w:rsidRDefault="00553293" w:rsidP="00553293">
      <w:r>
        <w:t>The nine major food allergens in the United States are:</w:t>
      </w:r>
    </w:p>
    <w:p w14:paraId="7F62F516" w14:textId="77777777" w:rsidR="00553293" w:rsidRDefault="00553293" w:rsidP="00553293">
      <w:r>
        <w:t>Milk | Eggs | Fish | Crustacean Shellfish |Peanuts | Tree Nuts |Wheat | Soybeans | Sesame</w:t>
      </w:r>
    </w:p>
    <w:p w14:paraId="12615A76" w14:textId="0A813D47" w:rsidR="00553293" w:rsidRDefault="00553293" w:rsidP="00553293">
      <w:r>
        <w:t>Seaweeds themselves are not recognized as major food allergens in the U.S., but some individuals may still have allergic reactions to them (Afsan &amp; Mather, 2023). A greater concern is that seaweeds are often harvested from coastal waters where small crustaceans—such as shrimp-like amphipods—commonly inhabit and attach to them (</w:t>
      </w:r>
      <w:r w:rsidRPr="00553293">
        <w:t>Banach et al., 2024</w:t>
      </w:r>
      <w:r>
        <w:t>; Duffy, 1990; Gutow et al., 2020).</w:t>
      </w:r>
    </w:p>
    <w:p w14:paraId="3BD811F2" w14:textId="073D11B2" w:rsidR="00553293" w:rsidRDefault="00553293" w:rsidP="00553293">
      <w:r>
        <w:t xml:space="preserve">Research by Motoyama et al. (2007) and Bito et al. (2017) found that amphipods and amphipod tropomyosin—the allergenic protein in crustacean shellfish—can be present on red seaweed such as nori. This can potentially trigger allergic reactions in sensitive individuals. Crustacean allergens have also been detected on </w:t>
      </w:r>
      <w:r w:rsidRPr="00553293">
        <w:rPr>
          <w:i/>
          <w:iCs/>
        </w:rPr>
        <w:t>Saccharina</w:t>
      </w:r>
      <w:r>
        <w:t xml:space="preserve"> </w:t>
      </w:r>
      <w:r w:rsidRPr="00553293">
        <w:rPr>
          <w:i/>
          <w:iCs/>
        </w:rPr>
        <w:t>latissima</w:t>
      </w:r>
      <w:r>
        <w:t xml:space="preserve"> grown in integrated multitrophic aquaculture (IMTA) systems, where crustaceans are occasionally observed during handling or intentionally included as part of the system (Mildenberger et al., 2022).</w:t>
      </w:r>
    </w:p>
    <w:p w14:paraId="6B3549C7" w14:textId="07FE1F5E" w:rsidR="00553293" w:rsidRDefault="00553293" w:rsidP="00553293">
      <w:r>
        <w:t xml:space="preserve">Tropomyosin has also been detected in </w:t>
      </w:r>
      <w:hyperlink w:anchor="_Blanching" w:tooltip="Submersion of foods in boiling water or exposure to steam for a short period of time before rapidly cooling. Blanching is commonly done to fix color and stop enzymatic activity. " w:history="1">
        <w:r w:rsidRPr="000B284B">
          <w:rPr>
            <w:rStyle w:val="Hyperlink"/>
          </w:rPr>
          <w:t>blanched</w:t>
        </w:r>
      </w:hyperlink>
      <w:r>
        <w:t xml:space="preserve"> and </w:t>
      </w:r>
      <w:hyperlink w:anchor="_Fermentation" w:tooltip="A process commonly used to preserve and/or enhance foods, which involves the chemical breakdown of molecules such as sugars by bacteria into acids. This rapidly reduces the pH of the product and is another form of pickling." w:history="1">
        <w:r w:rsidRPr="00BC7922">
          <w:rPr>
            <w:rStyle w:val="Hyperlink"/>
          </w:rPr>
          <w:t>fermented</w:t>
        </w:r>
      </w:hyperlink>
      <w:r>
        <w:t xml:space="preserve"> sugar kelp harvested in Norway (Banach et al., 2024). Although the detected levels of allergens were likely below thresholds that typically cause allergic reactions, further research is needed to assess seasonal, geographic, and product-based variability (Mildenberger et al., 2022).</w:t>
      </w:r>
    </w:p>
    <w:p w14:paraId="765C4177" w14:textId="09D1FCA7" w:rsidR="00553293" w:rsidRDefault="00553293" w:rsidP="00553293">
      <w:r>
        <w:t xml:space="preserve">Current literature indicates that small crustacean species are common in seaweeds harvested from marine environments. As a result, tropomyosin—a known allergen in crustacean shellfish—may be present and could trigger allergic reactions in sensitive individuals. Since crustaceans are a major food allergen that must be declared on food labels under U.S. </w:t>
      </w:r>
      <w:r>
        <w:lastRenderedPageBreak/>
        <w:t>regulations, producers may be responsible for including shellfish allergen labeling on seaweed products likely to contain these residues.</w:t>
      </w:r>
    </w:p>
    <w:p w14:paraId="4C485AE8" w14:textId="77777777" w:rsidR="00553293" w:rsidRDefault="00553293" w:rsidP="00553293">
      <w:r>
        <w:t>Producers should carefully assess the likelihood of crustacean allergen presence in their products and determine whether allergen labeling is necessary. Advisory statements such as “</w:t>
      </w:r>
      <w:r w:rsidRPr="00553293">
        <w:rPr>
          <w:i/>
          <w:iCs/>
        </w:rPr>
        <w:t>May contain shellfish</w:t>
      </w:r>
      <w:r>
        <w:t>” can help alert highly allergic consumers, but they must not replace proper Good Manufacturing Practices (GMPs), including sanitation protocols and allergen control plans aimed at minimizing allergen risks.</w:t>
      </w:r>
    </w:p>
    <w:p w14:paraId="0ED446AF" w14:textId="77777777" w:rsidR="00553293" w:rsidRDefault="00553293" w:rsidP="00553293">
      <w:r>
        <w:t>Certain consumers may also experience hypersensitivity or intolerance to specific food substances and color additives, such as sulfiting agents and FD&amp;C Yellow No. 5. These additives can trigger adverse, allergy-like responses upon ingestion, making accurate labeling essential to protect sensitive individuals.</w:t>
      </w:r>
    </w:p>
    <w:p w14:paraId="00A8573C" w14:textId="77777777" w:rsidR="00553293" w:rsidRDefault="00553293" w:rsidP="00553293">
      <w:r>
        <w:t>Sulfites have been detected in various commercially available microalgae species worldwide, raising public health concerns (Ashworth, 2021). If introduced during production of seaweed-based products, they must be properly declared on the label to inform consumers of potential intolerance-inducing substances.</w:t>
      </w:r>
    </w:p>
    <w:p w14:paraId="552739FD" w14:textId="017E9C7F" w:rsidR="00553293" w:rsidRDefault="00553293" w:rsidP="00553293">
      <w:r>
        <w:t xml:space="preserve">All advisory labeling must be truthful, not misleading, and used in accordance with applicable FDA guidance and </w:t>
      </w:r>
      <w:r w:rsidRPr="00614F15">
        <w:t>regulations</w:t>
      </w:r>
      <w:r w:rsidR="00614F15" w:rsidRPr="00614F15">
        <w:t xml:space="preserve"> (21 U.S.C. 343(i))</w:t>
      </w:r>
      <w:r w:rsidRPr="00614F15">
        <w:t>.</w:t>
      </w:r>
      <w:r>
        <w:t xml:space="preserve"> For more information on food intolerance substances, refer to Chapter 19 of the</w:t>
      </w:r>
      <w:r w:rsidR="0096771E">
        <w:t xml:space="preserve"> FDA</w:t>
      </w:r>
      <w:r w:rsidR="00D31328">
        <w:t>’s</w:t>
      </w:r>
      <w:r>
        <w:t xml:space="preserve"> </w:t>
      </w:r>
      <w:r w:rsidRPr="00553293">
        <w:rPr>
          <w:i/>
          <w:iCs/>
        </w:rPr>
        <w:t>Fish and Fishery Products Hazards and Controls Guide</w:t>
      </w:r>
      <w:r>
        <w:t xml:space="preserve"> (USFDA, 2019).</w:t>
      </w:r>
    </w:p>
    <w:p w14:paraId="5CE88AA8" w14:textId="77777777" w:rsidR="00553293" w:rsidRDefault="00553293" w:rsidP="00846B8F">
      <w:pPr>
        <w:pStyle w:val="Heading2"/>
        <w:numPr>
          <w:ilvl w:val="1"/>
          <w:numId w:val="177"/>
        </w:numPr>
      </w:pPr>
      <w:bookmarkStart w:id="244" w:name="_Toc208503315"/>
      <w:r>
        <w:t>Controls</w:t>
      </w:r>
      <w:bookmarkEnd w:id="244"/>
    </w:p>
    <w:p w14:paraId="601C3BFA" w14:textId="34EC71CE" w:rsidR="00553293" w:rsidRDefault="00553293" w:rsidP="00B64049">
      <w:pPr>
        <w:spacing w:before="240"/>
      </w:pPr>
      <w:r>
        <w:t>Food allergen labeling is mandatory for major allergens and enforced by federal and state regulatory agencies to help reduce the risk of severe allergic reactions. When allergens or intolerance substances are present in foods, facilities must prevent consumers from unknowingly being exposed by:</w:t>
      </w:r>
    </w:p>
    <w:p w14:paraId="3635C3B5" w14:textId="77777777" w:rsidR="00553293" w:rsidRDefault="00553293" w:rsidP="00846B8F">
      <w:pPr>
        <w:pStyle w:val="ListParagraph"/>
        <w:numPr>
          <w:ilvl w:val="0"/>
          <w:numId w:val="87"/>
        </w:numPr>
        <w:spacing w:before="240"/>
      </w:pPr>
      <w:r w:rsidRPr="00553293">
        <w:rPr>
          <w:b/>
          <w:bCs/>
        </w:rPr>
        <w:t>Labeling products</w:t>
      </w:r>
      <w:r>
        <w:t xml:space="preserve"> properly with market names of all allergenic ingredients and intolerance substances on consumer-packaged foods </w:t>
      </w:r>
    </w:p>
    <w:p w14:paraId="47A1C115" w14:textId="18C188E8" w:rsidR="00553293" w:rsidRDefault="00553293" w:rsidP="00846B8F">
      <w:pPr>
        <w:pStyle w:val="ListParagraph"/>
        <w:numPr>
          <w:ilvl w:val="0"/>
          <w:numId w:val="87"/>
        </w:numPr>
        <w:spacing w:before="240"/>
      </w:pPr>
      <w:r w:rsidRPr="00553293">
        <w:rPr>
          <w:b/>
          <w:bCs/>
        </w:rPr>
        <w:t>Implement</w:t>
      </w:r>
      <w:r>
        <w:rPr>
          <w:b/>
          <w:bCs/>
        </w:rPr>
        <w:t>ing</w:t>
      </w:r>
      <w:r w:rsidRPr="00553293">
        <w:rPr>
          <w:b/>
          <w:bCs/>
        </w:rPr>
        <w:t xml:space="preserve"> allergen</w:t>
      </w:r>
      <w:r>
        <w:t xml:space="preserve"> control measures to prevent cross-contact </w:t>
      </w:r>
    </w:p>
    <w:p w14:paraId="237923AA" w14:textId="77777777" w:rsidR="00553293" w:rsidRDefault="00553293" w:rsidP="00553293">
      <w:r>
        <w:t>Allergen cross-contact occurs when an allergen from one food comes into contact with another food, resulting in unintended allergen presence. For example, processing finfish and crustacean shellfish on the same bench without proper cleaning between products can transfer allergenic proteins between products.</w:t>
      </w:r>
    </w:p>
    <w:p w14:paraId="7959ECD9" w14:textId="77777777" w:rsidR="00553293" w:rsidRDefault="00553293" w:rsidP="00553293">
      <w:r>
        <w:lastRenderedPageBreak/>
        <w:t>Facilities operating under Seafood HACCP (21 CFR 123) can address cross-contact risks through pre-requisite programs such as sanitation control procedures (SCP) or allergen control plans. These controls do not have to be part of the HACCP plan itself.</w:t>
      </w:r>
    </w:p>
    <w:p w14:paraId="09E0349A" w14:textId="77777777" w:rsidR="00553293" w:rsidRDefault="00553293" w:rsidP="00553293">
      <w:r>
        <w:t>In contrast, facilities regulated under Preventive Controls for Human Foods (PCHF) (21 CFR Part 117 Subpart C) must include appropriate allergen and sanitation preventive controls directly in their written food safety plan.</w:t>
      </w:r>
    </w:p>
    <w:p w14:paraId="794E9D7B" w14:textId="77777777" w:rsidR="00553293" w:rsidRDefault="00553293" w:rsidP="00553293">
      <w:r>
        <w:t xml:space="preserve">As with allergens, the most effective way to control food intolerance substances in products is through clear, accurate labeling, allowing consumers to avoid products that may cause adverse reactions. </w:t>
      </w:r>
    </w:p>
    <w:p w14:paraId="57FC77F6" w14:textId="77777777" w:rsidR="00553293" w:rsidRDefault="00553293" w:rsidP="00846B8F">
      <w:pPr>
        <w:pStyle w:val="Heading2"/>
        <w:numPr>
          <w:ilvl w:val="1"/>
          <w:numId w:val="178"/>
        </w:numPr>
      </w:pPr>
      <w:bookmarkStart w:id="245" w:name="_Toc208503316"/>
      <w:r>
        <w:t>Determining if the Hazard is Significant</w:t>
      </w:r>
      <w:bookmarkEnd w:id="245"/>
    </w:p>
    <w:p w14:paraId="0B92F103" w14:textId="705D75F8" w:rsidR="00553293" w:rsidRDefault="00553293" w:rsidP="00B64049">
      <w:pPr>
        <w:spacing w:before="240"/>
      </w:pPr>
      <w:r>
        <w:t>If a major food allergen or intolerance substance is present, it is considered a significant hazard—either “reasonably likely to occur” (HACCP) or “a hazard requiring a preventive control” (PCHF)—and must be controlled at some point in the production process. While seaweeds are not major food allergens, facilities should closely monitor products for signs of crustacean contamination and take steps to reduce their presence.</w:t>
      </w:r>
    </w:p>
    <w:p w14:paraId="1F34AEFF" w14:textId="77777777" w:rsidR="00553293" w:rsidRDefault="00553293" w:rsidP="00553293">
      <w:r>
        <w:t>If crustaceans are consistently found—especially if in high numbers—appropriate controls should be included in either the HACCP plan or the PCHF food safety plan to ensure the hazard is effectively managed.</w:t>
      </w:r>
    </w:p>
    <w:p w14:paraId="432A3B3D" w14:textId="77777777" w:rsidR="00553293" w:rsidRDefault="00553293" w:rsidP="00846B8F">
      <w:pPr>
        <w:pStyle w:val="Heading2"/>
        <w:numPr>
          <w:ilvl w:val="1"/>
          <w:numId w:val="178"/>
        </w:numPr>
      </w:pPr>
      <w:bookmarkStart w:id="246" w:name="_Toc208503317"/>
      <w:r>
        <w:t>Hazard Controls and Critical Control Points</w:t>
      </w:r>
      <w:bookmarkEnd w:id="246"/>
    </w:p>
    <w:p w14:paraId="462F5B64" w14:textId="5BE6FBEB" w:rsidR="00553293" w:rsidRDefault="00553293" w:rsidP="00B64049">
      <w:pPr>
        <w:spacing w:before="240"/>
        <w:contextualSpacing/>
      </w:pPr>
      <w:r>
        <w:t>To properly manage major food allergens and intolerance substances:</w:t>
      </w:r>
    </w:p>
    <w:p w14:paraId="21D1E911" w14:textId="475B5485" w:rsidR="00553293" w:rsidRDefault="00553293" w:rsidP="00846B8F">
      <w:pPr>
        <w:pStyle w:val="ListParagraph"/>
        <w:numPr>
          <w:ilvl w:val="0"/>
          <w:numId w:val="88"/>
        </w:numPr>
      </w:pPr>
      <w:r>
        <w:t>Label products accurately with the correct market or common name of the allergen or food intolerance substance.</w:t>
      </w:r>
    </w:p>
    <w:p w14:paraId="0CE6ED92" w14:textId="15C63D3F" w:rsidR="00553293" w:rsidRDefault="00553293" w:rsidP="00846B8F">
      <w:pPr>
        <w:pStyle w:val="ListParagraph"/>
        <w:numPr>
          <w:ilvl w:val="0"/>
          <w:numId w:val="88"/>
        </w:numPr>
      </w:pPr>
      <w:r>
        <w:t>Identify the labeling step as a critical control point or preventive control for allergens and food intolerance substances.</w:t>
      </w:r>
    </w:p>
    <w:p w14:paraId="1234BCF4" w14:textId="712865F0" w:rsidR="00553293" w:rsidRDefault="00553293" w:rsidP="00846B8F">
      <w:pPr>
        <w:pStyle w:val="ListParagraph"/>
        <w:numPr>
          <w:ilvl w:val="0"/>
          <w:numId w:val="88"/>
        </w:numPr>
      </w:pPr>
      <w:r>
        <w:t>Apply sanitation controls where cross-contact risk is high, especially when multiple allergens are present in a facility. Sanitation controls should be applied to any step where there is a high risk of cross-contact occurring.</w:t>
      </w:r>
    </w:p>
    <w:p w14:paraId="0C4197FD" w14:textId="77777777" w:rsidR="00553293" w:rsidRDefault="00553293" w:rsidP="00553293">
      <w:r>
        <w:t>Producers who routinely observe low levels of crustaceans on seaweed products may consider using advisory statements such as “</w:t>
      </w:r>
      <w:r w:rsidRPr="00553293">
        <w:rPr>
          <w:i/>
          <w:iCs/>
        </w:rPr>
        <w:t>May contain shellfish</w:t>
      </w:r>
      <w:r>
        <w:t>” to inform and protect highly sensitive individuals. These individuals could experience allergic reactions, even from trace amounts of allergenic proteins. However, these statements must not replace crustacean removal or reduction measures—such as rinsing or manual removal.</w:t>
      </w:r>
    </w:p>
    <w:p w14:paraId="1783C6AF" w14:textId="4B7072FE" w:rsidR="00553293" w:rsidRDefault="00553293" w:rsidP="00553293">
      <w:r>
        <w:lastRenderedPageBreak/>
        <w:t>Allergens can be controlled either through a specific CCP in a food safety plan, or through a separate Allergen Control Plan.</w:t>
      </w:r>
    </w:p>
    <w:p w14:paraId="6C9747B2" w14:textId="60CEB328" w:rsidR="00045395" w:rsidRDefault="00045395" w:rsidP="00C54E07">
      <w:pPr>
        <w:pStyle w:val="Caption"/>
      </w:pPr>
      <w:r w:rsidRPr="00045395">
        <w:rPr>
          <w:b/>
          <w:bCs/>
        </w:rPr>
        <w:t xml:space="preserve">Table </w:t>
      </w:r>
      <w:r w:rsidR="00896F22">
        <w:rPr>
          <w:b/>
          <w:bCs/>
        </w:rPr>
        <w:fldChar w:fldCharType="begin"/>
      </w:r>
      <w:r w:rsidR="00896F22">
        <w:rPr>
          <w:b/>
          <w:bCs/>
        </w:rPr>
        <w:instrText xml:space="preserve"> STYLEREF 1 \s </w:instrText>
      </w:r>
      <w:r w:rsidR="00896F22">
        <w:rPr>
          <w:b/>
          <w:bCs/>
        </w:rPr>
        <w:fldChar w:fldCharType="separate"/>
      </w:r>
      <w:r w:rsidR="00A042AD">
        <w:rPr>
          <w:b/>
          <w:bCs/>
          <w:noProof/>
        </w:rPr>
        <w:t>14</w:t>
      </w:r>
      <w:r w:rsidR="00896F22">
        <w:rPr>
          <w:b/>
          <w:bCs/>
        </w:rPr>
        <w:fldChar w:fldCharType="end"/>
      </w:r>
      <w:r w:rsidR="00896F22">
        <w:rPr>
          <w:b/>
          <w:bCs/>
        </w:rPr>
        <w:noBreakHyphen/>
      </w:r>
      <w:r w:rsidR="00896F22">
        <w:rPr>
          <w:b/>
          <w:bCs/>
        </w:rPr>
        <w:fldChar w:fldCharType="begin"/>
      </w:r>
      <w:r w:rsidR="00896F22">
        <w:rPr>
          <w:b/>
          <w:bCs/>
        </w:rPr>
        <w:instrText xml:space="preserve"> SEQ Table \* ARABIC \s 1 </w:instrText>
      </w:r>
      <w:r w:rsidR="00896F22">
        <w:rPr>
          <w:b/>
          <w:bCs/>
        </w:rPr>
        <w:fldChar w:fldCharType="separate"/>
      </w:r>
      <w:r w:rsidR="00A042AD">
        <w:rPr>
          <w:b/>
          <w:bCs/>
          <w:noProof/>
        </w:rPr>
        <w:t>1</w:t>
      </w:r>
      <w:r w:rsidR="00896F22">
        <w:rPr>
          <w:b/>
          <w:bCs/>
        </w:rPr>
        <w:fldChar w:fldCharType="end"/>
      </w:r>
      <w:r w:rsidRPr="00045395">
        <w:rPr>
          <w:b/>
          <w:bCs/>
        </w:rPr>
        <w:t>:</w:t>
      </w:r>
      <w:r>
        <w:t xml:space="preserve"> Control Strategies for Allergens and Food Intolerance Substances</w:t>
      </w:r>
    </w:p>
    <w:tbl>
      <w:tblPr>
        <w:tblStyle w:val="TableGrid"/>
        <w:tblW w:w="0" w:type="auto"/>
        <w:tblInd w:w="-5" w:type="dxa"/>
        <w:tblLook w:val="04A0" w:firstRow="1" w:lastRow="0" w:firstColumn="1" w:lastColumn="0" w:noHBand="0" w:noVBand="1"/>
      </w:tblPr>
      <w:tblGrid>
        <w:gridCol w:w="2460"/>
        <w:gridCol w:w="2460"/>
        <w:gridCol w:w="2460"/>
      </w:tblGrid>
      <w:tr w:rsidR="00553293" w14:paraId="31BF76BE" w14:textId="77777777" w:rsidTr="00DF5603">
        <w:trPr>
          <w:trHeight w:val="467"/>
        </w:trPr>
        <w:tc>
          <w:tcPr>
            <w:tcW w:w="2460" w:type="dxa"/>
            <w:vAlign w:val="bottom"/>
          </w:tcPr>
          <w:p w14:paraId="31DB6B93" w14:textId="77777777" w:rsidR="00553293" w:rsidRPr="00EB199E" w:rsidRDefault="00553293" w:rsidP="00DF5603">
            <w:pPr>
              <w:jc w:val="center"/>
              <w:rPr>
                <w:b/>
                <w:bCs/>
              </w:rPr>
            </w:pPr>
            <w:r w:rsidRPr="00EB199E">
              <w:rPr>
                <w:b/>
                <w:bCs/>
              </w:rPr>
              <w:t>Control Strategy</w:t>
            </w:r>
          </w:p>
        </w:tc>
        <w:tc>
          <w:tcPr>
            <w:tcW w:w="2460" w:type="dxa"/>
            <w:vAlign w:val="bottom"/>
          </w:tcPr>
          <w:p w14:paraId="49BAC38A" w14:textId="77777777" w:rsidR="00553293" w:rsidRPr="00EB199E" w:rsidRDefault="00553293" w:rsidP="00DF5603">
            <w:pPr>
              <w:jc w:val="center"/>
              <w:rPr>
                <w:b/>
                <w:bCs/>
              </w:rPr>
            </w:pPr>
            <w:r w:rsidRPr="00EB199E">
              <w:rPr>
                <w:b/>
                <w:bCs/>
              </w:rPr>
              <w:t>Primary</w:t>
            </w:r>
            <w:r>
              <w:rPr>
                <w:b/>
                <w:bCs/>
              </w:rPr>
              <w:t xml:space="preserve"> Processor</w:t>
            </w:r>
          </w:p>
        </w:tc>
        <w:tc>
          <w:tcPr>
            <w:tcW w:w="2460" w:type="dxa"/>
            <w:vAlign w:val="bottom"/>
          </w:tcPr>
          <w:p w14:paraId="1CEC5682" w14:textId="77777777" w:rsidR="00553293" w:rsidRPr="00EB199E" w:rsidRDefault="00553293" w:rsidP="00DF5603">
            <w:pPr>
              <w:jc w:val="center"/>
              <w:rPr>
                <w:b/>
                <w:bCs/>
              </w:rPr>
            </w:pPr>
            <w:r w:rsidRPr="00EB199E">
              <w:rPr>
                <w:b/>
                <w:bCs/>
              </w:rPr>
              <w:t>Secondary</w:t>
            </w:r>
            <w:r>
              <w:rPr>
                <w:b/>
                <w:bCs/>
              </w:rPr>
              <w:t xml:space="preserve"> Processor</w:t>
            </w:r>
          </w:p>
        </w:tc>
      </w:tr>
      <w:tr w:rsidR="00553293" w14:paraId="0B09351A" w14:textId="77777777" w:rsidTr="00553293">
        <w:trPr>
          <w:trHeight w:val="521"/>
        </w:trPr>
        <w:tc>
          <w:tcPr>
            <w:tcW w:w="2460" w:type="dxa"/>
            <w:vAlign w:val="center"/>
          </w:tcPr>
          <w:p w14:paraId="193B35BC" w14:textId="780F27E0" w:rsidR="00553293" w:rsidRDefault="00553293" w:rsidP="00DF5603">
            <w:r>
              <w:t>Receiving Control</w:t>
            </w:r>
          </w:p>
        </w:tc>
        <w:tc>
          <w:tcPr>
            <w:tcW w:w="2460" w:type="dxa"/>
            <w:vAlign w:val="center"/>
          </w:tcPr>
          <w:p w14:paraId="0F89378E" w14:textId="77777777" w:rsidR="00553293" w:rsidRDefault="00553293" w:rsidP="00553293">
            <w:pPr>
              <w:jc w:val="center"/>
            </w:pPr>
            <w:r w:rsidRPr="00587FA2">
              <w:rPr>
                <w:rFonts w:ascii="Wingdings" w:hAnsi="Wingdings" w:cs="Calibri"/>
                <w:b/>
                <w:bCs/>
              </w:rPr>
              <w:t>ü</w:t>
            </w:r>
          </w:p>
        </w:tc>
        <w:tc>
          <w:tcPr>
            <w:tcW w:w="2460" w:type="dxa"/>
            <w:vAlign w:val="center"/>
          </w:tcPr>
          <w:p w14:paraId="1E24F64A" w14:textId="77777777" w:rsidR="00553293" w:rsidRDefault="00553293" w:rsidP="00553293">
            <w:pPr>
              <w:jc w:val="center"/>
            </w:pPr>
            <w:r w:rsidRPr="00587FA2">
              <w:rPr>
                <w:rFonts w:ascii="Wingdings" w:hAnsi="Wingdings" w:cs="Calibri"/>
                <w:b/>
                <w:bCs/>
              </w:rPr>
              <w:t>ü</w:t>
            </w:r>
          </w:p>
        </w:tc>
      </w:tr>
      <w:tr w:rsidR="00553293" w14:paraId="3ABB6108" w14:textId="77777777" w:rsidTr="00553293">
        <w:trPr>
          <w:trHeight w:val="521"/>
        </w:trPr>
        <w:tc>
          <w:tcPr>
            <w:tcW w:w="2460" w:type="dxa"/>
            <w:vAlign w:val="center"/>
          </w:tcPr>
          <w:p w14:paraId="125D2A69" w14:textId="625AE853" w:rsidR="00553293" w:rsidRPr="00553293" w:rsidRDefault="00553293" w:rsidP="00553293">
            <w:pPr>
              <w:rPr>
                <w:rFonts w:cs="Calibri"/>
              </w:rPr>
            </w:pPr>
            <w:r>
              <w:rPr>
                <w:rFonts w:cs="Calibri"/>
              </w:rPr>
              <w:t>Labeling Control</w:t>
            </w:r>
          </w:p>
        </w:tc>
        <w:tc>
          <w:tcPr>
            <w:tcW w:w="2460" w:type="dxa"/>
            <w:vAlign w:val="center"/>
          </w:tcPr>
          <w:p w14:paraId="1B30BA51" w14:textId="7E8CC1EC" w:rsidR="00553293" w:rsidRPr="00553293" w:rsidRDefault="00553293" w:rsidP="00553293">
            <w:pPr>
              <w:jc w:val="center"/>
              <w:rPr>
                <w:rFonts w:cs="Calibri"/>
                <w:b/>
                <w:bCs/>
              </w:rPr>
            </w:pPr>
            <w:r w:rsidRPr="00587FA2">
              <w:rPr>
                <w:rFonts w:ascii="Wingdings" w:hAnsi="Wingdings" w:cs="Calibri"/>
                <w:b/>
                <w:bCs/>
              </w:rPr>
              <w:t>ü</w:t>
            </w:r>
          </w:p>
        </w:tc>
        <w:tc>
          <w:tcPr>
            <w:tcW w:w="2460" w:type="dxa"/>
            <w:vAlign w:val="center"/>
          </w:tcPr>
          <w:p w14:paraId="3768636F" w14:textId="6C695F59" w:rsidR="00553293" w:rsidRPr="00553293" w:rsidRDefault="00553293" w:rsidP="00553293">
            <w:pPr>
              <w:jc w:val="center"/>
              <w:rPr>
                <w:rFonts w:cs="Calibri"/>
                <w:b/>
                <w:bCs/>
              </w:rPr>
            </w:pPr>
            <w:r w:rsidRPr="00587FA2">
              <w:rPr>
                <w:rFonts w:ascii="Wingdings" w:hAnsi="Wingdings" w:cs="Calibri"/>
                <w:b/>
                <w:bCs/>
              </w:rPr>
              <w:t>ü</w:t>
            </w:r>
          </w:p>
        </w:tc>
      </w:tr>
      <w:tr w:rsidR="00553293" w14:paraId="5E091E75" w14:textId="77777777" w:rsidTr="00553293">
        <w:trPr>
          <w:trHeight w:val="521"/>
        </w:trPr>
        <w:tc>
          <w:tcPr>
            <w:tcW w:w="2460" w:type="dxa"/>
            <w:vAlign w:val="center"/>
          </w:tcPr>
          <w:p w14:paraId="24E7A2B1" w14:textId="24AECD0A" w:rsidR="00553293" w:rsidRPr="00553293" w:rsidRDefault="00553293" w:rsidP="00553293">
            <w:pPr>
              <w:rPr>
                <w:rFonts w:cs="Calibri"/>
              </w:rPr>
            </w:pPr>
            <w:r>
              <w:rPr>
                <w:rFonts w:cs="Calibri"/>
              </w:rPr>
              <w:t>Sanitation Preventive Control*</w:t>
            </w:r>
          </w:p>
        </w:tc>
        <w:tc>
          <w:tcPr>
            <w:tcW w:w="2460" w:type="dxa"/>
            <w:vAlign w:val="center"/>
          </w:tcPr>
          <w:p w14:paraId="65592B87" w14:textId="78F865E1" w:rsidR="00553293" w:rsidRPr="00553293" w:rsidRDefault="00553293" w:rsidP="00553293">
            <w:pPr>
              <w:jc w:val="center"/>
              <w:rPr>
                <w:rFonts w:cs="Calibri"/>
                <w:b/>
                <w:bCs/>
              </w:rPr>
            </w:pPr>
            <w:r w:rsidRPr="00587FA2">
              <w:rPr>
                <w:rFonts w:ascii="Wingdings" w:hAnsi="Wingdings" w:cs="Calibri"/>
                <w:b/>
                <w:bCs/>
              </w:rPr>
              <w:t>ü</w:t>
            </w:r>
          </w:p>
        </w:tc>
        <w:tc>
          <w:tcPr>
            <w:tcW w:w="2460" w:type="dxa"/>
            <w:vAlign w:val="center"/>
          </w:tcPr>
          <w:p w14:paraId="28E7C1F8" w14:textId="217BC7DA" w:rsidR="00553293" w:rsidRPr="00553293" w:rsidRDefault="00553293" w:rsidP="00553293">
            <w:pPr>
              <w:jc w:val="center"/>
              <w:rPr>
                <w:rFonts w:cs="Calibri"/>
                <w:b/>
                <w:bCs/>
              </w:rPr>
            </w:pPr>
            <w:r w:rsidRPr="00587FA2">
              <w:rPr>
                <w:rFonts w:ascii="Wingdings" w:hAnsi="Wingdings" w:cs="Calibri"/>
                <w:b/>
                <w:bCs/>
              </w:rPr>
              <w:t>ü</w:t>
            </w:r>
          </w:p>
        </w:tc>
      </w:tr>
    </w:tbl>
    <w:p w14:paraId="4331A02E" w14:textId="768B024B" w:rsidR="00553293" w:rsidRDefault="00553293" w:rsidP="00B64049">
      <w:pPr>
        <w:spacing w:before="240"/>
      </w:pPr>
      <w:r>
        <w:t>*</w:t>
      </w:r>
      <w:r w:rsidR="00B64049">
        <w:t xml:space="preserve"> </w:t>
      </w:r>
      <w:r>
        <w:t>Sanitation controls are not required as Critical Control Points (CCPs) in seafood HACCP plans but can be included or managed through pre-requisite programs (</w:t>
      </w:r>
      <w:r w:rsidR="002033A6">
        <w:t>see</w:t>
      </w:r>
      <w:r>
        <w:t xml:space="preserve"> </w:t>
      </w:r>
      <w:hyperlink w:anchor="_Prerequisite_Programs" w:history="1">
        <w:r w:rsidRPr="002033A6">
          <w:rPr>
            <w:rStyle w:val="Hyperlink"/>
          </w:rPr>
          <w:t>Chapter 3</w:t>
        </w:r>
      </w:hyperlink>
      <w:r>
        <w:t>).</w:t>
      </w:r>
    </w:p>
    <w:p w14:paraId="561BA04C" w14:textId="1030CB3E" w:rsidR="00553293" w:rsidRDefault="00553293" w:rsidP="00553293">
      <w:r>
        <w:rPr>
          <w:b/>
          <w:bCs/>
        </w:rPr>
        <w:t>NOTE:</w:t>
      </w:r>
      <w:r>
        <w:t xml:space="preserve"> Under PCHF regulations, food safety plans must include food allergen preventive controls and/or sanitation preventive controls necessary to prevent allergen hazards.</w:t>
      </w:r>
    </w:p>
    <w:p w14:paraId="6A959082" w14:textId="38ED400B" w:rsidR="00553293" w:rsidRDefault="00553293" w:rsidP="00846B8F">
      <w:pPr>
        <w:pStyle w:val="Heading3"/>
        <w:numPr>
          <w:ilvl w:val="2"/>
          <w:numId w:val="179"/>
        </w:numPr>
      </w:pPr>
      <w:bookmarkStart w:id="247" w:name="_Toc208503318"/>
      <w:r>
        <w:t>Control Strategy 1 – Receiving Control for Pre-Printed Labels</w:t>
      </w:r>
      <w:bookmarkEnd w:id="247"/>
    </w:p>
    <w:p w14:paraId="3CA3B71F" w14:textId="77777777" w:rsidR="00553293" w:rsidRDefault="00553293" w:rsidP="00B64049">
      <w:pPr>
        <w:spacing w:before="240"/>
      </w:pPr>
      <w:r>
        <w:t xml:space="preserve">This control strategy can be incorporated into a HACCP Plan or Food Safety Plan (under Preventive Controls for Human Foods) and implemented at the receiving step for pre-printed labels. </w:t>
      </w:r>
      <w:r w:rsidRPr="00553293">
        <w:rPr>
          <w:b/>
          <w:bCs/>
        </w:rPr>
        <w:t>However, this control alone is not sufficient to manage allergens and food intolerance substances.</w:t>
      </w:r>
      <w:r>
        <w:t xml:space="preserve"> This would be considered a label content control that ensures the information on the label received is accurate. A second Critical Control Point (CCP) or label management control is needed at the labeling step to ensure that the correct labels are applied to the appropriate product(s) before they leave the facility.</w:t>
      </w:r>
    </w:p>
    <w:p w14:paraId="6FB4F561" w14:textId="645A749C" w:rsidR="00553293" w:rsidRDefault="00553293" w:rsidP="00846B8F">
      <w:pPr>
        <w:pStyle w:val="Heading4"/>
        <w:numPr>
          <w:ilvl w:val="3"/>
          <w:numId w:val="179"/>
        </w:numPr>
      </w:pPr>
      <w:r>
        <w:t>Critical Limit(s)/Criterion</w:t>
      </w:r>
    </w:p>
    <w:p w14:paraId="0C367145" w14:textId="64AFF32F" w:rsidR="00553293" w:rsidRDefault="00553293" w:rsidP="00B64049">
      <w:pPr>
        <w:spacing w:before="240"/>
      </w:pPr>
      <w:r>
        <w:t>Check a representative sample of incoming pre-printed labels, boxes, or bags to verify that all required allergens and food intolerance substances are properly declared.</w:t>
      </w:r>
    </w:p>
    <w:p w14:paraId="1FA40E41" w14:textId="77777777" w:rsidR="00553293" w:rsidRDefault="00553293" w:rsidP="00846B8F">
      <w:pPr>
        <w:pStyle w:val="Heading4"/>
        <w:numPr>
          <w:ilvl w:val="3"/>
          <w:numId w:val="179"/>
        </w:numPr>
      </w:pPr>
      <w:r>
        <w:t>Monitoring – What, How, How Often, Who</w:t>
      </w:r>
    </w:p>
    <w:p w14:paraId="73C39134" w14:textId="77777777" w:rsidR="00553293" w:rsidRDefault="00553293" w:rsidP="00846B8F">
      <w:pPr>
        <w:pStyle w:val="ListParagraph"/>
        <w:numPr>
          <w:ilvl w:val="0"/>
          <w:numId w:val="92"/>
        </w:numPr>
        <w:contextualSpacing w:val="0"/>
      </w:pPr>
      <w:r>
        <w:t>What will be monitored?</w:t>
      </w:r>
    </w:p>
    <w:p w14:paraId="30A65D92" w14:textId="77777777" w:rsidR="00553293" w:rsidRDefault="00553293" w:rsidP="00846B8F">
      <w:pPr>
        <w:pStyle w:val="ListParagraph"/>
        <w:numPr>
          <w:ilvl w:val="1"/>
          <w:numId w:val="92"/>
        </w:numPr>
        <w:contextualSpacing w:val="0"/>
      </w:pPr>
      <w:r>
        <w:t>The presence of the market or common name of any allergen or food intolerance substance on incoming pre-printed labels, boxes, or bags.</w:t>
      </w:r>
    </w:p>
    <w:p w14:paraId="7960703E" w14:textId="77777777" w:rsidR="00553293" w:rsidRDefault="00553293" w:rsidP="00846B8F">
      <w:pPr>
        <w:pStyle w:val="ListParagraph"/>
        <w:numPr>
          <w:ilvl w:val="0"/>
          <w:numId w:val="92"/>
        </w:numPr>
        <w:contextualSpacing w:val="0"/>
      </w:pPr>
      <w:r>
        <w:t>How will monitoring be done?</w:t>
      </w:r>
    </w:p>
    <w:p w14:paraId="03BF024C" w14:textId="77777777" w:rsidR="00553293" w:rsidRDefault="00553293" w:rsidP="00846B8F">
      <w:pPr>
        <w:pStyle w:val="ListParagraph"/>
        <w:numPr>
          <w:ilvl w:val="1"/>
          <w:numId w:val="92"/>
        </w:numPr>
        <w:contextualSpacing w:val="0"/>
      </w:pPr>
      <w:r>
        <w:lastRenderedPageBreak/>
        <w:t>Through visual inspection of a representative sample of the pre-printed labels or packaging materials.</w:t>
      </w:r>
    </w:p>
    <w:p w14:paraId="51C7D62E" w14:textId="77777777" w:rsidR="00553293" w:rsidRDefault="00553293" w:rsidP="00846B8F">
      <w:pPr>
        <w:pStyle w:val="ListParagraph"/>
        <w:numPr>
          <w:ilvl w:val="0"/>
          <w:numId w:val="92"/>
        </w:numPr>
        <w:contextualSpacing w:val="0"/>
      </w:pPr>
      <w:r>
        <w:t>How often will monitoring be done (frequency)?</w:t>
      </w:r>
    </w:p>
    <w:p w14:paraId="7A7081DE" w14:textId="77777777" w:rsidR="00553293" w:rsidRDefault="00553293" w:rsidP="00846B8F">
      <w:pPr>
        <w:pStyle w:val="ListParagraph"/>
        <w:numPr>
          <w:ilvl w:val="1"/>
          <w:numId w:val="92"/>
        </w:numPr>
        <w:contextualSpacing w:val="0"/>
      </w:pPr>
      <w:r>
        <w:t>Upon receipt of each shipment of labels, boxes, or bags.</w:t>
      </w:r>
    </w:p>
    <w:p w14:paraId="493315B6" w14:textId="77777777" w:rsidR="00553293" w:rsidRDefault="00553293" w:rsidP="00846B8F">
      <w:pPr>
        <w:pStyle w:val="ListParagraph"/>
        <w:numPr>
          <w:ilvl w:val="0"/>
          <w:numId w:val="92"/>
        </w:numPr>
        <w:contextualSpacing w:val="0"/>
      </w:pPr>
      <w:r>
        <w:t>Who will do the monitoring?</w:t>
      </w:r>
    </w:p>
    <w:p w14:paraId="47D4CEE5" w14:textId="77777777" w:rsidR="00553293" w:rsidRDefault="00553293" w:rsidP="00846B8F">
      <w:pPr>
        <w:pStyle w:val="ListParagraph"/>
        <w:numPr>
          <w:ilvl w:val="1"/>
          <w:numId w:val="92"/>
        </w:numPr>
        <w:contextualSpacing w:val="0"/>
      </w:pPr>
      <w:r>
        <w:t>An individual with an understanding of the control and trained to carry out the required monitoring procedures.</w:t>
      </w:r>
    </w:p>
    <w:p w14:paraId="4A11F09F" w14:textId="77777777" w:rsidR="00553293" w:rsidRDefault="00553293" w:rsidP="00846B8F">
      <w:pPr>
        <w:pStyle w:val="Heading4"/>
        <w:numPr>
          <w:ilvl w:val="3"/>
          <w:numId w:val="179"/>
        </w:numPr>
      </w:pPr>
      <w:r>
        <w:t>Corrective Action/Corrections</w:t>
      </w:r>
    </w:p>
    <w:p w14:paraId="2D48DDE7" w14:textId="77777777" w:rsidR="00553293" w:rsidRDefault="00553293" w:rsidP="00846B8F">
      <w:pPr>
        <w:pStyle w:val="ListParagraph"/>
        <w:numPr>
          <w:ilvl w:val="0"/>
          <w:numId w:val="91"/>
        </w:numPr>
        <w:spacing w:before="240"/>
        <w:contextualSpacing w:val="0"/>
      </w:pPr>
      <w:r>
        <w:t xml:space="preserve">If labels or packaging received are missing allergen market or common name or food intolerance substance declaration, then reject the shipment and return to the supplier </w:t>
      </w:r>
      <w:r w:rsidRPr="00553293">
        <w:rPr>
          <w:b/>
          <w:bCs/>
        </w:rPr>
        <w:t>OR</w:t>
      </w:r>
      <w:r>
        <w:t xml:space="preserve"> discard.</w:t>
      </w:r>
    </w:p>
    <w:p w14:paraId="5F75AE19" w14:textId="1F77C9E5" w:rsidR="00553293" w:rsidRDefault="00553293" w:rsidP="00553293">
      <w:r w:rsidRPr="00553293">
        <w:rPr>
          <w:b/>
          <w:bCs/>
        </w:rPr>
        <w:t>AND</w:t>
      </w:r>
      <w:r>
        <w:t xml:space="preserve"> address the root cause to prevent future occurrence.</w:t>
      </w:r>
    </w:p>
    <w:p w14:paraId="40A4E45A" w14:textId="7087A953" w:rsidR="00553293" w:rsidRDefault="00553293" w:rsidP="00846B8F">
      <w:pPr>
        <w:pStyle w:val="ListParagraph"/>
        <w:numPr>
          <w:ilvl w:val="0"/>
          <w:numId w:val="91"/>
        </w:numPr>
        <w:contextualSpacing w:val="0"/>
      </w:pPr>
      <w:r>
        <w:t>Discontinue use of supplier(s) until the root cause of the labeling error is identified and corrected to prevent recurrence.</w:t>
      </w:r>
    </w:p>
    <w:p w14:paraId="10D9206C" w14:textId="77777777" w:rsidR="00553293" w:rsidRDefault="00553293" w:rsidP="00846B8F">
      <w:pPr>
        <w:pStyle w:val="Heading4"/>
        <w:numPr>
          <w:ilvl w:val="3"/>
          <w:numId w:val="179"/>
        </w:numPr>
      </w:pPr>
      <w:r>
        <w:t>Verification</w:t>
      </w:r>
    </w:p>
    <w:p w14:paraId="74BD8CE6" w14:textId="77777777" w:rsidR="00553293" w:rsidRDefault="00553293" w:rsidP="00846B8F">
      <w:pPr>
        <w:pStyle w:val="ListParagraph"/>
        <w:numPr>
          <w:ilvl w:val="0"/>
          <w:numId w:val="90"/>
        </w:numPr>
        <w:spacing w:before="240"/>
        <w:contextualSpacing w:val="0"/>
      </w:pPr>
      <w:r>
        <w:t>Review of monitoring and corrective action records within one week of preparation to ensure they were completed appropriately.</w:t>
      </w:r>
    </w:p>
    <w:p w14:paraId="26D34034" w14:textId="77777777" w:rsidR="00553293" w:rsidRDefault="00553293" w:rsidP="00846B8F">
      <w:pPr>
        <w:pStyle w:val="ListParagraph"/>
        <w:numPr>
          <w:ilvl w:val="0"/>
          <w:numId w:val="90"/>
        </w:numPr>
        <w:contextualSpacing w:val="0"/>
      </w:pPr>
      <w:r>
        <w:t>Annual product specifications assessment to ensure all ingredients are accurately listed, all allergens and food intolerance substances are properly declared, and no changes have occurred that would affect labeling requirements.</w:t>
      </w:r>
    </w:p>
    <w:p w14:paraId="1152CD0E" w14:textId="77777777" w:rsidR="00553293" w:rsidRDefault="00553293" w:rsidP="00846B8F">
      <w:pPr>
        <w:pStyle w:val="Heading4"/>
        <w:numPr>
          <w:ilvl w:val="3"/>
          <w:numId w:val="179"/>
        </w:numPr>
      </w:pPr>
      <w:r>
        <w:t>Records</w:t>
      </w:r>
    </w:p>
    <w:p w14:paraId="30915479" w14:textId="77777777" w:rsidR="00553293" w:rsidRDefault="00553293" w:rsidP="00846B8F">
      <w:pPr>
        <w:pStyle w:val="ListParagraph"/>
        <w:numPr>
          <w:ilvl w:val="0"/>
          <w:numId w:val="89"/>
        </w:numPr>
        <w:spacing w:before="240"/>
        <w:contextualSpacing w:val="0"/>
      </w:pPr>
      <w:r w:rsidRPr="00553293">
        <w:rPr>
          <w:b/>
          <w:bCs/>
        </w:rPr>
        <w:t>Monitoring Records:</w:t>
      </w:r>
      <w:r>
        <w:t xml:space="preserve"> Labeling log indicating visual inspection was conducted, the date it was conducted, the result of the inspection, and who completed the inspection. Include space for weekly reviews and initials.</w:t>
      </w:r>
    </w:p>
    <w:p w14:paraId="52627D3F" w14:textId="77777777" w:rsidR="00553293" w:rsidRDefault="00553293" w:rsidP="00846B8F">
      <w:pPr>
        <w:pStyle w:val="ListParagraph"/>
        <w:numPr>
          <w:ilvl w:val="0"/>
          <w:numId w:val="89"/>
        </w:numPr>
        <w:contextualSpacing w:val="0"/>
      </w:pPr>
      <w:r w:rsidRPr="00553293">
        <w:rPr>
          <w:b/>
          <w:bCs/>
        </w:rPr>
        <w:t>Corrective Action Records:</w:t>
      </w:r>
      <w:r>
        <w:t xml:space="preserve"> When corrective actions are taken, document the issue, the steps implemented to ensure product safety, and the measures put in place to prevent recurrence.</w:t>
      </w:r>
    </w:p>
    <w:p w14:paraId="276BCB2E" w14:textId="65F6AB3A" w:rsidR="00553293" w:rsidRDefault="00553293" w:rsidP="00846B8F">
      <w:pPr>
        <w:pStyle w:val="ListParagraph"/>
        <w:numPr>
          <w:ilvl w:val="0"/>
          <w:numId w:val="89"/>
        </w:numPr>
        <w:contextualSpacing w:val="0"/>
      </w:pPr>
      <w:r w:rsidRPr="00553293">
        <w:rPr>
          <w:b/>
          <w:bCs/>
        </w:rPr>
        <w:t>Verification Records:</w:t>
      </w:r>
      <w:r>
        <w:t xml:space="preserve"> Record of annual product specifications verification. Monitoring records indicating review within one week.</w:t>
      </w:r>
    </w:p>
    <w:p w14:paraId="6D5E6FC3" w14:textId="77777777" w:rsidR="00553293" w:rsidRDefault="00553293" w:rsidP="00846B8F">
      <w:pPr>
        <w:pStyle w:val="ListParagraph"/>
        <w:numPr>
          <w:ilvl w:val="0"/>
          <w:numId w:val="89"/>
        </w:numPr>
        <w:contextualSpacing w:val="0"/>
      </w:pPr>
      <w:r w:rsidRPr="00553293">
        <w:rPr>
          <w:b/>
          <w:bCs/>
        </w:rPr>
        <w:lastRenderedPageBreak/>
        <w:t>Recall Plan:</w:t>
      </w:r>
      <w:r>
        <w:t xml:space="preserve"> A written recall plan is required for any product with significant hazards when regulated under Preventive Controls for Human Foods (PCHF).</w:t>
      </w:r>
    </w:p>
    <w:p w14:paraId="4D11368D" w14:textId="77777777" w:rsidR="00553293" w:rsidRDefault="00553293" w:rsidP="00846B8F">
      <w:pPr>
        <w:pStyle w:val="ListParagraph"/>
        <w:numPr>
          <w:ilvl w:val="0"/>
          <w:numId w:val="89"/>
        </w:numPr>
        <w:contextualSpacing w:val="0"/>
        <w:sectPr w:rsidR="00553293" w:rsidSect="00F40B6F">
          <w:pgSz w:w="12240" w:h="15840"/>
          <w:pgMar w:top="1440" w:right="1440" w:bottom="1440" w:left="1440" w:header="720" w:footer="720" w:gutter="0"/>
          <w:pgNumType w:start="1" w:chapStyle="1"/>
          <w:cols w:space="720"/>
          <w:docGrid w:linePitch="360"/>
        </w:sectPr>
      </w:pPr>
      <w:r w:rsidRPr="00553293">
        <w:rPr>
          <w:b/>
          <w:bCs/>
        </w:rPr>
        <w:t>Training Records:</w:t>
      </w:r>
      <w:r>
        <w:t xml:space="preserve"> Training records for the preventive controls qualified individual (PCQI) must be maintained if regulated under preventive controls for human foods. While the Seafood HACCP regulation requires a HACCP trained individual to conduct certain activities, training records are not explicitly mandated under the regulation.</w:t>
      </w:r>
    </w:p>
    <w:p w14:paraId="7AF17A0C" w14:textId="5433494D" w:rsidR="00553293" w:rsidRDefault="00553293" w:rsidP="00846B8F">
      <w:pPr>
        <w:pStyle w:val="Heading4"/>
        <w:numPr>
          <w:ilvl w:val="3"/>
          <w:numId w:val="180"/>
        </w:numPr>
      </w:pPr>
      <w:r>
        <w:lastRenderedPageBreak/>
        <w:t>Example HACCP/Food Safety Plan for Receiving</w:t>
      </w:r>
      <w:r w:rsidR="006669F0">
        <w:t xml:space="preserve"> Control</w:t>
      </w:r>
    </w:p>
    <w:p w14:paraId="1CE42250" w14:textId="77777777" w:rsidR="00553293" w:rsidRDefault="00553293" w:rsidP="00553293">
      <w:pPr>
        <w:ind w:left="-810" w:right="-900"/>
      </w:pPr>
      <w:r w:rsidRPr="00AC2821">
        <w:t xml:space="preserve">Below is an example showing what a food safety plan could look like. It is intended for illustrative purposes only. Each producer must develop a plan tailored to their unique products, production and processing methods, and regulatory requirements. </w:t>
      </w:r>
      <w:r w:rsidRPr="00AC2821">
        <w:rPr>
          <w:b/>
          <w:bCs/>
        </w:rPr>
        <w:t>This example should not be copied and used without modification to fit your specific operation.</w:t>
      </w:r>
    </w:p>
    <w:p w14:paraId="77050597" w14:textId="77E11A46" w:rsidR="00553293" w:rsidRDefault="00553293" w:rsidP="00553293">
      <w:pPr>
        <w:spacing w:before="240"/>
        <w:ind w:left="-806"/>
        <w:contextualSpacing/>
      </w:pPr>
      <w:r w:rsidRPr="00E579E8">
        <w:rPr>
          <w:b/>
          <w:bCs/>
        </w:rPr>
        <w:t>Control Strategy:</w:t>
      </w:r>
      <w:r>
        <w:t xml:space="preserve"> </w:t>
      </w:r>
      <w:r w:rsidR="00BA5895">
        <w:t>Receiving</w:t>
      </w:r>
      <w:r>
        <w:t xml:space="preserve"> Control</w:t>
      </w:r>
    </w:p>
    <w:p w14:paraId="16B46A58" w14:textId="6B146B6E" w:rsidR="00553293" w:rsidRDefault="00553293" w:rsidP="00553293">
      <w:pPr>
        <w:spacing w:before="240"/>
        <w:ind w:left="-806"/>
        <w:contextualSpacing/>
      </w:pPr>
      <w:r w:rsidRPr="007235FC">
        <w:rPr>
          <w:b/>
          <w:bCs/>
        </w:rPr>
        <w:t>Critical Control Point</w:t>
      </w:r>
      <w:r w:rsidR="00BA5895">
        <w:rPr>
          <w:b/>
          <w:bCs/>
        </w:rPr>
        <w:t xml:space="preserve"> (HACCP) </w:t>
      </w:r>
      <w:r>
        <w:rPr>
          <w:b/>
          <w:bCs/>
        </w:rPr>
        <w:t>/</w:t>
      </w:r>
      <w:r w:rsidR="00BA5895" w:rsidRPr="00BA5895">
        <w:t xml:space="preserve"> </w:t>
      </w:r>
      <w:r w:rsidR="00BA5895" w:rsidRPr="00BA5895">
        <w:rPr>
          <w:b/>
          <w:bCs/>
        </w:rPr>
        <w:t>Allergen Preventive Control (PCHF)</w:t>
      </w:r>
      <w:r w:rsidRPr="007235FC">
        <w:rPr>
          <w:b/>
          <w:bCs/>
        </w:rPr>
        <w:t xml:space="preserve">: </w:t>
      </w:r>
      <w:r w:rsidR="00BA5895">
        <w:t>Receiving Step</w:t>
      </w:r>
    </w:p>
    <w:p w14:paraId="22606872" w14:textId="44DF4AF4" w:rsidR="00553293" w:rsidRPr="00AD559E" w:rsidRDefault="00553293" w:rsidP="00553293">
      <w:pPr>
        <w:spacing w:before="240"/>
        <w:ind w:left="-806"/>
        <w:contextualSpacing/>
      </w:pPr>
      <w:r w:rsidRPr="00E579E8">
        <w:rPr>
          <w:b/>
          <w:bCs/>
        </w:rPr>
        <w:t>Hazard:</w:t>
      </w:r>
      <w:r>
        <w:t xml:space="preserve"> </w:t>
      </w:r>
      <w:r w:rsidR="00BA5895">
        <w:t>Allergens</w:t>
      </w:r>
    </w:p>
    <w:tbl>
      <w:tblPr>
        <w:tblStyle w:val="TableGrid"/>
        <w:tblW w:w="14670" w:type="dxa"/>
        <w:tblInd w:w="-81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43" w:type="dxa"/>
        </w:tblCellMar>
        <w:tblLook w:val="06A0" w:firstRow="1" w:lastRow="0" w:firstColumn="1" w:lastColumn="0" w:noHBand="1" w:noVBand="1"/>
        <w:tblCaption w:val="Example HACCP Plan for Receiving Control: Allergens"/>
        <w:tblDescription w:val="Column Headers: Parameters/Values/Critical Limits, Monitoring (What/How/When/Who as subheader columns within), Corrective Action, Verification, Records."/>
      </w:tblPr>
      <w:tblGrid>
        <w:gridCol w:w="2340"/>
        <w:gridCol w:w="1417"/>
        <w:gridCol w:w="1463"/>
        <w:gridCol w:w="1440"/>
        <w:gridCol w:w="1350"/>
        <w:gridCol w:w="2610"/>
        <w:gridCol w:w="1980"/>
        <w:gridCol w:w="2070"/>
      </w:tblGrid>
      <w:tr w:rsidR="00553293" w14:paraId="2121968F" w14:textId="77777777" w:rsidTr="00A61B74">
        <w:trPr>
          <w:trHeight w:val="390"/>
        </w:trPr>
        <w:tc>
          <w:tcPr>
            <w:tcW w:w="2340" w:type="dxa"/>
            <w:vMerge w:val="restart"/>
            <w:shd w:val="clear" w:color="auto" w:fill="D1D1D1" w:themeFill="background2" w:themeFillShade="E6"/>
          </w:tcPr>
          <w:p w14:paraId="679392E9" w14:textId="77777777" w:rsidR="00553293" w:rsidRPr="0001662C" w:rsidRDefault="00553293" w:rsidP="00DF5603">
            <w:pPr>
              <w:jc w:val="center"/>
              <w:rPr>
                <w:b/>
                <w:bCs/>
              </w:rPr>
            </w:pPr>
            <w:r w:rsidRPr="0001662C">
              <w:rPr>
                <w:b/>
                <w:bCs/>
              </w:rPr>
              <w:t>Parameters, Values, Critical Limits</w:t>
            </w:r>
          </w:p>
        </w:tc>
        <w:tc>
          <w:tcPr>
            <w:tcW w:w="5670" w:type="dxa"/>
            <w:gridSpan w:val="4"/>
            <w:shd w:val="clear" w:color="auto" w:fill="D1D1D1" w:themeFill="background2" w:themeFillShade="E6"/>
          </w:tcPr>
          <w:p w14:paraId="2377E903" w14:textId="77777777" w:rsidR="00553293" w:rsidRPr="0001662C" w:rsidRDefault="00553293" w:rsidP="00DF5603">
            <w:pPr>
              <w:jc w:val="center"/>
              <w:rPr>
                <w:b/>
                <w:bCs/>
              </w:rPr>
            </w:pPr>
            <w:r w:rsidRPr="0001662C">
              <w:rPr>
                <w:b/>
                <w:bCs/>
              </w:rPr>
              <w:t>Monitoring</w:t>
            </w:r>
          </w:p>
        </w:tc>
        <w:tc>
          <w:tcPr>
            <w:tcW w:w="2610" w:type="dxa"/>
            <w:vMerge w:val="restart"/>
            <w:shd w:val="clear" w:color="auto" w:fill="D1D1D1" w:themeFill="background2" w:themeFillShade="E6"/>
          </w:tcPr>
          <w:p w14:paraId="4A32CEF0" w14:textId="77777777" w:rsidR="00553293" w:rsidRPr="0001662C" w:rsidRDefault="00553293" w:rsidP="00DF5603">
            <w:pPr>
              <w:jc w:val="center"/>
              <w:rPr>
                <w:b/>
                <w:bCs/>
              </w:rPr>
            </w:pPr>
            <w:r w:rsidRPr="0001662C">
              <w:rPr>
                <w:b/>
                <w:bCs/>
              </w:rPr>
              <w:t>Corrective Action</w:t>
            </w:r>
          </w:p>
        </w:tc>
        <w:tc>
          <w:tcPr>
            <w:tcW w:w="1980" w:type="dxa"/>
            <w:vMerge w:val="restart"/>
            <w:shd w:val="clear" w:color="auto" w:fill="D1D1D1" w:themeFill="background2" w:themeFillShade="E6"/>
          </w:tcPr>
          <w:p w14:paraId="1A39A588" w14:textId="77777777" w:rsidR="00553293" w:rsidRPr="0001662C" w:rsidRDefault="00553293" w:rsidP="00DF5603">
            <w:pPr>
              <w:jc w:val="center"/>
              <w:rPr>
                <w:b/>
                <w:bCs/>
              </w:rPr>
            </w:pPr>
            <w:r w:rsidRPr="0001662C">
              <w:rPr>
                <w:b/>
                <w:bCs/>
              </w:rPr>
              <w:t>Verification</w:t>
            </w:r>
          </w:p>
        </w:tc>
        <w:tc>
          <w:tcPr>
            <w:tcW w:w="2070" w:type="dxa"/>
            <w:vMerge w:val="restart"/>
            <w:shd w:val="clear" w:color="auto" w:fill="D1D1D1" w:themeFill="background2" w:themeFillShade="E6"/>
          </w:tcPr>
          <w:p w14:paraId="30900BCD" w14:textId="77777777" w:rsidR="00553293" w:rsidRPr="0001662C" w:rsidRDefault="00553293" w:rsidP="00DF5603">
            <w:pPr>
              <w:jc w:val="center"/>
              <w:rPr>
                <w:b/>
                <w:bCs/>
              </w:rPr>
            </w:pPr>
            <w:r w:rsidRPr="0001662C">
              <w:rPr>
                <w:b/>
                <w:bCs/>
              </w:rPr>
              <w:t>Records</w:t>
            </w:r>
          </w:p>
        </w:tc>
      </w:tr>
      <w:tr w:rsidR="00553293" w14:paraId="2253B218" w14:textId="77777777" w:rsidTr="00A61B74">
        <w:trPr>
          <w:trHeight w:val="20"/>
        </w:trPr>
        <w:tc>
          <w:tcPr>
            <w:tcW w:w="2340" w:type="dxa"/>
            <w:vMerge/>
          </w:tcPr>
          <w:p w14:paraId="2099B2AF" w14:textId="77777777" w:rsidR="00553293" w:rsidRPr="0001662C" w:rsidRDefault="00553293" w:rsidP="00DF5603">
            <w:pPr>
              <w:rPr>
                <w:b/>
                <w:bCs/>
              </w:rPr>
            </w:pPr>
          </w:p>
        </w:tc>
        <w:tc>
          <w:tcPr>
            <w:tcW w:w="1417" w:type="dxa"/>
            <w:shd w:val="clear" w:color="auto" w:fill="D1D1D1" w:themeFill="background2" w:themeFillShade="E6"/>
          </w:tcPr>
          <w:p w14:paraId="4368A908" w14:textId="77777777" w:rsidR="00553293" w:rsidRPr="0001662C" w:rsidRDefault="00553293" w:rsidP="00DF5603">
            <w:pPr>
              <w:jc w:val="center"/>
              <w:rPr>
                <w:b/>
                <w:bCs/>
              </w:rPr>
            </w:pPr>
            <w:r w:rsidRPr="0001662C">
              <w:rPr>
                <w:b/>
                <w:bCs/>
              </w:rPr>
              <w:t>What</w:t>
            </w:r>
          </w:p>
        </w:tc>
        <w:tc>
          <w:tcPr>
            <w:tcW w:w="1463" w:type="dxa"/>
            <w:shd w:val="clear" w:color="auto" w:fill="D1D1D1" w:themeFill="background2" w:themeFillShade="E6"/>
          </w:tcPr>
          <w:p w14:paraId="2129805C" w14:textId="77777777" w:rsidR="00553293" w:rsidRPr="0001662C" w:rsidRDefault="00553293" w:rsidP="00DF5603">
            <w:pPr>
              <w:jc w:val="center"/>
              <w:rPr>
                <w:b/>
                <w:bCs/>
              </w:rPr>
            </w:pPr>
            <w:r w:rsidRPr="0001662C">
              <w:rPr>
                <w:b/>
                <w:bCs/>
              </w:rPr>
              <w:t>How</w:t>
            </w:r>
          </w:p>
        </w:tc>
        <w:tc>
          <w:tcPr>
            <w:tcW w:w="1440" w:type="dxa"/>
            <w:shd w:val="clear" w:color="auto" w:fill="D1D1D1" w:themeFill="background2" w:themeFillShade="E6"/>
          </w:tcPr>
          <w:p w14:paraId="502E04D7" w14:textId="77777777" w:rsidR="00553293" w:rsidRPr="0001662C" w:rsidRDefault="00553293" w:rsidP="00DF5603">
            <w:pPr>
              <w:jc w:val="center"/>
              <w:rPr>
                <w:b/>
                <w:bCs/>
              </w:rPr>
            </w:pPr>
            <w:r w:rsidRPr="0001662C">
              <w:rPr>
                <w:b/>
                <w:bCs/>
              </w:rPr>
              <w:t>When</w:t>
            </w:r>
          </w:p>
        </w:tc>
        <w:tc>
          <w:tcPr>
            <w:tcW w:w="1350" w:type="dxa"/>
            <w:shd w:val="clear" w:color="auto" w:fill="D1D1D1" w:themeFill="background2" w:themeFillShade="E6"/>
          </w:tcPr>
          <w:p w14:paraId="107C8785" w14:textId="77777777" w:rsidR="00553293" w:rsidRPr="0001662C" w:rsidRDefault="00553293" w:rsidP="00DF5603">
            <w:pPr>
              <w:jc w:val="center"/>
              <w:rPr>
                <w:b/>
                <w:bCs/>
              </w:rPr>
            </w:pPr>
            <w:r w:rsidRPr="0001662C">
              <w:rPr>
                <w:b/>
                <w:bCs/>
              </w:rPr>
              <w:t>Who</w:t>
            </w:r>
          </w:p>
        </w:tc>
        <w:tc>
          <w:tcPr>
            <w:tcW w:w="2610" w:type="dxa"/>
            <w:vMerge/>
          </w:tcPr>
          <w:p w14:paraId="1467C3DF" w14:textId="77777777" w:rsidR="00553293" w:rsidRDefault="00553293" w:rsidP="00DF5603"/>
        </w:tc>
        <w:tc>
          <w:tcPr>
            <w:tcW w:w="1980" w:type="dxa"/>
            <w:vMerge/>
          </w:tcPr>
          <w:p w14:paraId="6BD21195" w14:textId="77777777" w:rsidR="00553293" w:rsidRDefault="00553293" w:rsidP="00DF5603"/>
        </w:tc>
        <w:tc>
          <w:tcPr>
            <w:tcW w:w="2070" w:type="dxa"/>
            <w:vMerge/>
          </w:tcPr>
          <w:p w14:paraId="74F97D95" w14:textId="77777777" w:rsidR="00553293" w:rsidRDefault="00553293" w:rsidP="00DF5603"/>
        </w:tc>
      </w:tr>
      <w:tr w:rsidR="00553293" w14:paraId="0025C85F" w14:textId="77777777" w:rsidTr="00A61B74">
        <w:trPr>
          <w:trHeight w:val="5113"/>
        </w:trPr>
        <w:tc>
          <w:tcPr>
            <w:tcW w:w="2340" w:type="dxa"/>
          </w:tcPr>
          <w:p w14:paraId="7FE40B05" w14:textId="17B4CA1A" w:rsidR="00553293" w:rsidRPr="00677CAA" w:rsidRDefault="00BA5895" w:rsidP="00DF5603">
            <w:pPr>
              <w:spacing w:before="240"/>
              <w:rPr>
                <w:sz w:val="22"/>
                <w:szCs w:val="22"/>
              </w:rPr>
            </w:pPr>
            <w:r w:rsidRPr="00BA5895">
              <w:rPr>
                <w:sz w:val="22"/>
                <w:szCs w:val="22"/>
              </w:rPr>
              <w:t>Shellfish allergen declared on the pre-printed food packages received.</w:t>
            </w:r>
          </w:p>
        </w:tc>
        <w:tc>
          <w:tcPr>
            <w:tcW w:w="1417" w:type="dxa"/>
          </w:tcPr>
          <w:p w14:paraId="6A87C9E2" w14:textId="6AC4BE22" w:rsidR="00553293" w:rsidRPr="00677CAA" w:rsidRDefault="00BA5895" w:rsidP="00DF5603">
            <w:pPr>
              <w:spacing w:before="240"/>
              <w:rPr>
                <w:sz w:val="22"/>
                <w:szCs w:val="22"/>
              </w:rPr>
            </w:pPr>
            <w:r w:rsidRPr="00BA5895">
              <w:rPr>
                <w:sz w:val="22"/>
                <w:szCs w:val="22"/>
              </w:rPr>
              <w:t>Presence of crustacean shellfish allergen on pre-printed package</w:t>
            </w:r>
          </w:p>
        </w:tc>
        <w:tc>
          <w:tcPr>
            <w:tcW w:w="1463" w:type="dxa"/>
          </w:tcPr>
          <w:p w14:paraId="7658C1BC" w14:textId="7A6E5FD4" w:rsidR="00553293" w:rsidRPr="00677CAA" w:rsidRDefault="00BA5895" w:rsidP="00DF5603">
            <w:pPr>
              <w:spacing w:before="240"/>
              <w:rPr>
                <w:sz w:val="22"/>
                <w:szCs w:val="22"/>
              </w:rPr>
            </w:pPr>
            <w:r w:rsidRPr="00BA5895">
              <w:rPr>
                <w:sz w:val="22"/>
                <w:szCs w:val="22"/>
              </w:rPr>
              <w:t>Visually</w:t>
            </w:r>
          </w:p>
        </w:tc>
        <w:tc>
          <w:tcPr>
            <w:tcW w:w="1440" w:type="dxa"/>
          </w:tcPr>
          <w:p w14:paraId="460D32F2" w14:textId="4F104ED4" w:rsidR="00553293" w:rsidRPr="00677CAA" w:rsidRDefault="00BA5895" w:rsidP="00DF5603">
            <w:pPr>
              <w:spacing w:before="240"/>
              <w:rPr>
                <w:sz w:val="22"/>
                <w:szCs w:val="22"/>
              </w:rPr>
            </w:pPr>
            <w:r w:rsidRPr="00BA5895">
              <w:rPr>
                <w:sz w:val="22"/>
                <w:szCs w:val="22"/>
              </w:rPr>
              <w:t xml:space="preserve">At </w:t>
            </w:r>
            <w:r>
              <w:rPr>
                <w:sz w:val="22"/>
                <w:szCs w:val="22"/>
              </w:rPr>
              <w:t>R</w:t>
            </w:r>
            <w:r w:rsidRPr="00BA5895">
              <w:rPr>
                <w:sz w:val="22"/>
                <w:szCs w:val="22"/>
              </w:rPr>
              <w:t>eceipt</w:t>
            </w:r>
          </w:p>
        </w:tc>
        <w:tc>
          <w:tcPr>
            <w:tcW w:w="1350" w:type="dxa"/>
          </w:tcPr>
          <w:p w14:paraId="03684C41" w14:textId="77777777" w:rsidR="00553293" w:rsidRPr="00677CAA" w:rsidRDefault="00553293" w:rsidP="00DF5603">
            <w:pPr>
              <w:spacing w:before="240"/>
              <w:rPr>
                <w:sz w:val="22"/>
                <w:szCs w:val="22"/>
              </w:rPr>
            </w:pPr>
            <w:r>
              <w:rPr>
                <w:sz w:val="22"/>
                <w:szCs w:val="22"/>
              </w:rPr>
              <w:t>QA Staff</w:t>
            </w:r>
          </w:p>
        </w:tc>
        <w:tc>
          <w:tcPr>
            <w:tcW w:w="2610" w:type="dxa"/>
          </w:tcPr>
          <w:p w14:paraId="6BF9F395" w14:textId="77777777" w:rsidR="00BA5895" w:rsidRDefault="00BA5895" w:rsidP="00DF5603">
            <w:pPr>
              <w:spacing w:before="240"/>
              <w:rPr>
                <w:sz w:val="22"/>
                <w:szCs w:val="22"/>
              </w:rPr>
            </w:pPr>
            <w:r w:rsidRPr="00BA5895">
              <w:rPr>
                <w:sz w:val="22"/>
                <w:szCs w:val="22"/>
              </w:rPr>
              <w:t>If shellfish are not declared on the label, then, reject the shipment and return to supplier</w:t>
            </w:r>
          </w:p>
          <w:p w14:paraId="0D35F79C" w14:textId="77777777" w:rsidR="00BA5895" w:rsidRDefault="00BA5895" w:rsidP="00DF5603">
            <w:pPr>
              <w:spacing w:before="240"/>
              <w:rPr>
                <w:sz w:val="22"/>
                <w:szCs w:val="22"/>
              </w:rPr>
            </w:pPr>
            <w:r w:rsidRPr="00BA5895">
              <w:rPr>
                <w:b/>
                <w:bCs/>
                <w:sz w:val="22"/>
                <w:szCs w:val="22"/>
              </w:rPr>
              <w:t>AND</w:t>
            </w:r>
          </w:p>
          <w:p w14:paraId="553B3689" w14:textId="52E1D6F9" w:rsidR="00553293" w:rsidRPr="00677CAA" w:rsidRDefault="00BA5895" w:rsidP="00DF5603">
            <w:pPr>
              <w:spacing w:before="240"/>
              <w:rPr>
                <w:sz w:val="22"/>
                <w:szCs w:val="22"/>
              </w:rPr>
            </w:pPr>
            <w:r>
              <w:rPr>
                <w:sz w:val="22"/>
                <w:szCs w:val="22"/>
              </w:rPr>
              <w:t>D</w:t>
            </w:r>
            <w:r w:rsidRPr="00BA5895">
              <w:rPr>
                <w:sz w:val="22"/>
                <w:szCs w:val="22"/>
              </w:rPr>
              <w:t>iscontinue use of supplier until the root cause of the labeling error is identified and corrected to prevent recurrence.</w:t>
            </w:r>
          </w:p>
        </w:tc>
        <w:tc>
          <w:tcPr>
            <w:tcW w:w="1980" w:type="dxa"/>
          </w:tcPr>
          <w:p w14:paraId="208D567A" w14:textId="77777777" w:rsidR="00BA5895" w:rsidRPr="00BA5895" w:rsidRDefault="00BA5895" w:rsidP="00BA5895">
            <w:pPr>
              <w:spacing w:before="240"/>
              <w:rPr>
                <w:sz w:val="22"/>
                <w:szCs w:val="22"/>
              </w:rPr>
            </w:pPr>
            <w:r w:rsidRPr="00BA5895">
              <w:rPr>
                <w:sz w:val="22"/>
                <w:szCs w:val="22"/>
              </w:rPr>
              <w:t xml:space="preserve">Weekly review of records </w:t>
            </w:r>
          </w:p>
          <w:p w14:paraId="57BDCD11" w14:textId="693B4170" w:rsidR="00553293" w:rsidRPr="00677CAA" w:rsidRDefault="00BA5895" w:rsidP="00BA5895">
            <w:pPr>
              <w:spacing w:before="240"/>
              <w:rPr>
                <w:sz w:val="22"/>
                <w:szCs w:val="22"/>
              </w:rPr>
            </w:pPr>
            <w:r w:rsidRPr="00BA5895">
              <w:rPr>
                <w:sz w:val="22"/>
                <w:szCs w:val="22"/>
              </w:rPr>
              <w:t>Annual product specifications assessment to ensure all ingredients are accurately listed, all allergens and food intolerance substances are properly declared, and no changes have occurred that would affect labeling requirements.</w:t>
            </w:r>
          </w:p>
        </w:tc>
        <w:tc>
          <w:tcPr>
            <w:tcW w:w="2070" w:type="dxa"/>
          </w:tcPr>
          <w:p w14:paraId="2D4111A5" w14:textId="77777777" w:rsidR="00BA5895" w:rsidRPr="00BA5895" w:rsidRDefault="00BA5895" w:rsidP="00BA5895">
            <w:pPr>
              <w:spacing w:before="240"/>
              <w:rPr>
                <w:sz w:val="22"/>
                <w:szCs w:val="22"/>
              </w:rPr>
            </w:pPr>
            <w:r w:rsidRPr="00BA5895">
              <w:rPr>
                <w:sz w:val="22"/>
                <w:szCs w:val="22"/>
              </w:rPr>
              <w:t>Monitoring Records: Labeling log including results of package checks</w:t>
            </w:r>
          </w:p>
          <w:p w14:paraId="344EA5F5" w14:textId="77777777" w:rsidR="00BA5895" w:rsidRPr="00BA5895" w:rsidRDefault="00BA5895" w:rsidP="00BA5895">
            <w:pPr>
              <w:spacing w:before="240"/>
              <w:rPr>
                <w:sz w:val="22"/>
                <w:szCs w:val="22"/>
              </w:rPr>
            </w:pPr>
            <w:r w:rsidRPr="00BA5895">
              <w:rPr>
                <w:sz w:val="22"/>
                <w:szCs w:val="22"/>
              </w:rPr>
              <w:t xml:space="preserve">Corrective Action Records, as needed </w:t>
            </w:r>
          </w:p>
          <w:p w14:paraId="484178A0" w14:textId="77777777" w:rsidR="00BA5895" w:rsidRPr="00BA5895" w:rsidRDefault="00BA5895" w:rsidP="00BA5895">
            <w:pPr>
              <w:spacing w:before="240"/>
              <w:rPr>
                <w:sz w:val="22"/>
                <w:szCs w:val="22"/>
              </w:rPr>
            </w:pPr>
            <w:r w:rsidRPr="00BA5895">
              <w:rPr>
                <w:sz w:val="22"/>
                <w:szCs w:val="22"/>
              </w:rPr>
              <w:t xml:space="preserve">Verification Records: Annual product specifications verification </w:t>
            </w:r>
          </w:p>
          <w:p w14:paraId="0932E271" w14:textId="12BD7D0D" w:rsidR="00553293" w:rsidRPr="00677CAA" w:rsidRDefault="00BA5895" w:rsidP="00BA5895">
            <w:pPr>
              <w:spacing w:before="240"/>
              <w:rPr>
                <w:sz w:val="22"/>
                <w:szCs w:val="22"/>
              </w:rPr>
            </w:pPr>
            <w:r w:rsidRPr="00BA5895">
              <w:rPr>
                <w:sz w:val="22"/>
                <w:szCs w:val="22"/>
              </w:rPr>
              <w:t>PCQI training records (PCHF only)</w:t>
            </w:r>
          </w:p>
        </w:tc>
      </w:tr>
    </w:tbl>
    <w:p w14:paraId="2866AF51" w14:textId="77777777" w:rsidR="00553293" w:rsidRDefault="00553293" w:rsidP="00846B8F">
      <w:pPr>
        <w:pStyle w:val="ListParagraph"/>
        <w:numPr>
          <w:ilvl w:val="0"/>
          <w:numId w:val="89"/>
        </w:numPr>
        <w:contextualSpacing w:val="0"/>
        <w:sectPr w:rsidR="00553293" w:rsidSect="00553293">
          <w:pgSz w:w="15840" w:h="12240" w:orient="landscape"/>
          <w:pgMar w:top="1440" w:right="1440" w:bottom="1440" w:left="1440" w:header="720" w:footer="720" w:gutter="0"/>
          <w:pgNumType w:chapStyle="1"/>
          <w:cols w:space="720"/>
          <w:docGrid w:linePitch="360"/>
        </w:sectPr>
      </w:pPr>
    </w:p>
    <w:p w14:paraId="2E2BE4F0" w14:textId="47581441" w:rsidR="00553293" w:rsidRDefault="00BA5895" w:rsidP="00846B8F">
      <w:pPr>
        <w:pStyle w:val="Heading3"/>
        <w:numPr>
          <w:ilvl w:val="2"/>
          <w:numId w:val="181"/>
        </w:numPr>
      </w:pPr>
      <w:bookmarkStart w:id="248" w:name="_Toc208503319"/>
      <w:r>
        <w:lastRenderedPageBreak/>
        <w:t>Control Strategy 2 – Labeling Control</w:t>
      </w:r>
      <w:bookmarkEnd w:id="248"/>
    </w:p>
    <w:p w14:paraId="3EB4B932" w14:textId="27244817" w:rsidR="00BA5895" w:rsidRDefault="00BA5895" w:rsidP="00B64049">
      <w:pPr>
        <w:spacing w:before="240"/>
      </w:pPr>
      <w:r>
        <w:t>Proper labeling of products leaving a facility is the most effective measure for managing allergens and food intolerance substances. It is essential to inspect a representative sample of finished product labels to ensure that accurate labels are applied and that allergen and food intolerance warnings are clearly present.</w:t>
      </w:r>
    </w:p>
    <w:p w14:paraId="36318729" w14:textId="77777777" w:rsidR="00BA5895" w:rsidRDefault="00BA5895" w:rsidP="00BA5895">
      <w:r>
        <w:t>Because labeling practices can vary significantly between facilities, producers should tailor their procedures to reflect the specific practices in place. The primary goal is to establish controls that minimize the risk of products leaving the facility without proper labeling of any allergens or food intolerance substances present.</w:t>
      </w:r>
    </w:p>
    <w:p w14:paraId="251AFB20" w14:textId="77777777" w:rsidR="00BA5895" w:rsidRDefault="00BA5895" w:rsidP="00846B8F">
      <w:pPr>
        <w:pStyle w:val="Heading4"/>
        <w:numPr>
          <w:ilvl w:val="3"/>
          <w:numId w:val="181"/>
        </w:numPr>
      </w:pPr>
      <w:r>
        <w:t>Critical Limit(s)/Criterion</w:t>
      </w:r>
    </w:p>
    <w:p w14:paraId="1720BC31" w14:textId="77777777" w:rsidR="00BA5895" w:rsidRDefault="00BA5895" w:rsidP="00846B8F">
      <w:pPr>
        <w:pStyle w:val="ListParagraph"/>
        <w:numPr>
          <w:ilvl w:val="0"/>
          <w:numId w:val="89"/>
        </w:numPr>
        <w:spacing w:before="240"/>
      </w:pPr>
      <w:r>
        <w:t>A label that clearly declares all major food allergens and/or food intolerance substances present in the product must be affixed to the finished product packaging.</w:t>
      </w:r>
    </w:p>
    <w:p w14:paraId="5DE054CD" w14:textId="77777777" w:rsidR="00BA5895" w:rsidRDefault="00BA5895" w:rsidP="00846B8F">
      <w:pPr>
        <w:pStyle w:val="Heading4"/>
        <w:numPr>
          <w:ilvl w:val="3"/>
          <w:numId w:val="181"/>
        </w:numPr>
      </w:pPr>
      <w:r>
        <w:t>Monitoring – What, How, How Often, Who</w:t>
      </w:r>
    </w:p>
    <w:p w14:paraId="022234BD" w14:textId="77777777" w:rsidR="00BA5895" w:rsidRDefault="00BA5895" w:rsidP="00846B8F">
      <w:pPr>
        <w:pStyle w:val="ListParagraph"/>
        <w:numPr>
          <w:ilvl w:val="0"/>
          <w:numId w:val="89"/>
        </w:numPr>
        <w:spacing w:before="240"/>
        <w:contextualSpacing w:val="0"/>
      </w:pPr>
      <w:r>
        <w:t>What will be monitored?</w:t>
      </w:r>
    </w:p>
    <w:p w14:paraId="754DD83A" w14:textId="77777777" w:rsidR="00BA5895" w:rsidRDefault="00BA5895" w:rsidP="00846B8F">
      <w:pPr>
        <w:pStyle w:val="ListParagraph"/>
        <w:numPr>
          <w:ilvl w:val="1"/>
          <w:numId w:val="89"/>
        </w:numPr>
        <w:contextualSpacing w:val="0"/>
      </w:pPr>
      <w:r>
        <w:t>The presence of a label that clearly identifies the appropriate market or common name of any allergen(s) and/or food intolerance substances.</w:t>
      </w:r>
    </w:p>
    <w:p w14:paraId="466D114C" w14:textId="77777777" w:rsidR="00BA5895" w:rsidRDefault="00BA5895" w:rsidP="00846B8F">
      <w:pPr>
        <w:pStyle w:val="ListParagraph"/>
        <w:numPr>
          <w:ilvl w:val="0"/>
          <w:numId w:val="89"/>
        </w:numPr>
        <w:contextualSpacing w:val="0"/>
      </w:pPr>
      <w:r>
        <w:t>How will monitoring be done?</w:t>
      </w:r>
    </w:p>
    <w:p w14:paraId="613D747D" w14:textId="77777777" w:rsidR="00BA5895" w:rsidRDefault="00BA5895" w:rsidP="00846B8F">
      <w:pPr>
        <w:pStyle w:val="ListParagraph"/>
        <w:numPr>
          <w:ilvl w:val="1"/>
          <w:numId w:val="89"/>
        </w:numPr>
        <w:contextualSpacing w:val="0"/>
      </w:pPr>
      <w:r>
        <w:t>Labels will be visually inspected to verify the correct identification of allergens and food intolerance substances.</w:t>
      </w:r>
    </w:p>
    <w:p w14:paraId="0DAABE1F" w14:textId="77777777" w:rsidR="00BA5895" w:rsidRDefault="00BA5895" w:rsidP="00846B8F">
      <w:pPr>
        <w:pStyle w:val="ListParagraph"/>
        <w:numPr>
          <w:ilvl w:val="0"/>
          <w:numId w:val="89"/>
        </w:numPr>
        <w:contextualSpacing w:val="0"/>
      </w:pPr>
      <w:r>
        <w:t>How often will monitoring be done (frequency)?</w:t>
      </w:r>
    </w:p>
    <w:p w14:paraId="6A4C7583" w14:textId="77777777" w:rsidR="00BA5895" w:rsidRDefault="00BA5895" w:rsidP="00846B8F">
      <w:pPr>
        <w:pStyle w:val="ListParagraph"/>
        <w:numPr>
          <w:ilvl w:val="1"/>
          <w:numId w:val="89"/>
        </w:numPr>
        <w:contextualSpacing w:val="0"/>
      </w:pPr>
      <w:r>
        <w:t>Label inspections will be performed at the start of label application and periodically throughout production. Checks should occur at least once every two hours during the labeling process.</w:t>
      </w:r>
    </w:p>
    <w:p w14:paraId="12452305" w14:textId="77777777" w:rsidR="00BA5895" w:rsidRDefault="00BA5895" w:rsidP="00846B8F">
      <w:pPr>
        <w:pStyle w:val="ListParagraph"/>
        <w:numPr>
          <w:ilvl w:val="0"/>
          <w:numId w:val="89"/>
        </w:numPr>
        <w:contextualSpacing w:val="0"/>
      </w:pPr>
      <w:r>
        <w:t>Who will do the monitoring?</w:t>
      </w:r>
    </w:p>
    <w:p w14:paraId="015D3709" w14:textId="77777777" w:rsidR="00BA5895" w:rsidRDefault="00BA5895" w:rsidP="00846B8F">
      <w:pPr>
        <w:pStyle w:val="ListParagraph"/>
        <w:numPr>
          <w:ilvl w:val="1"/>
          <w:numId w:val="89"/>
        </w:numPr>
        <w:contextualSpacing w:val="0"/>
      </w:pPr>
      <w:r>
        <w:t>A trained individual who understands the control measures and is qualified to perform the required monitoring procedures.</w:t>
      </w:r>
    </w:p>
    <w:p w14:paraId="7014FAEE" w14:textId="77777777" w:rsidR="00BA5895" w:rsidRDefault="00BA5895" w:rsidP="00846B8F">
      <w:pPr>
        <w:pStyle w:val="Heading4"/>
        <w:numPr>
          <w:ilvl w:val="3"/>
          <w:numId w:val="181"/>
        </w:numPr>
      </w:pPr>
      <w:r>
        <w:lastRenderedPageBreak/>
        <w:t>Corrective Action/Corrections</w:t>
      </w:r>
    </w:p>
    <w:p w14:paraId="6FEB722C" w14:textId="6282BB5D" w:rsidR="00BA5895" w:rsidRDefault="00BA5895" w:rsidP="00846B8F">
      <w:pPr>
        <w:pStyle w:val="ListParagraph"/>
        <w:numPr>
          <w:ilvl w:val="0"/>
          <w:numId w:val="93"/>
        </w:numPr>
        <w:spacing w:before="240"/>
        <w:contextualSpacing w:val="0"/>
      </w:pPr>
      <w:r>
        <w:t xml:space="preserve">If the label is missing or incorrect during inspection, then stop production to prevent further labeling errors </w:t>
      </w:r>
      <w:r w:rsidRPr="009E0CC2">
        <w:rPr>
          <w:b/>
          <w:bCs/>
        </w:rPr>
        <w:t>AND</w:t>
      </w:r>
      <w:r>
        <w:t xml:space="preserve"> check all packages since the last verified accurate check to ensure proper </w:t>
      </w:r>
      <w:r w:rsidR="00166F39">
        <w:t xml:space="preserve">labeling </w:t>
      </w:r>
      <w:r w:rsidR="00166F39" w:rsidRPr="00166F39">
        <w:rPr>
          <w:b/>
          <w:bCs/>
        </w:rPr>
        <w:t>AND</w:t>
      </w:r>
      <w:r>
        <w:t xml:space="preserve"> relabel all affected products with the correct label.</w:t>
      </w:r>
    </w:p>
    <w:p w14:paraId="3687F526" w14:textId="35EE7219" w:rsidR="00BA5895" w:rsidRDefault="00BA5895" w:rsidP="009E0CC2">
      <w:r w:rsidRPr="009E0CC2">
        <w:rPr>
          <w:b/>
          <w:bCs/>
        </w:rPr>
        <w:t>AND</w:t>
      </w:r>
      <w:r>
        <w:t xml:space="preserve"> address the root cause to prevent future occurrence.</w:t>
      </w:r>
    </w:p>
    <w:p w14:paraId="18D493B1" w14:textId="179BF776" w:rsidR="00BA5895" w:rsidRDefault="00BA5895" w:rsidP="00846B8F">
      <w:pPr>
        <w:pStyle w:val="ListParagraph"/>
        <w:numPr>
          <w:ilvl w:val="0"/>
          <w:numId w:val="93"/>
        </w:numPr>
        <w:contextualSpacing w:val="0"/>
      </w:pPr>
      <w:r>
        <w:t>Identify the cause of the mislabeling and correct the issue to prevent re-occurrence.</w:t>
      </w:r>
    </w:p>
    <w:p w14:paraId="2E329B75" w14:textId="77777777" w:rsidR="00BA5895" w:rsidRDefault="00BA5895" w:rsidP="00846B8F">
      <w:pPr>
        <w:pStyle w:val="Heading4"/>
        <w:numPr>
          <w:ilvl w:val="3"/>
          <w:numId w:val="181"/>
        </w:numPr>
      </w:pPr>
      <w:r>
        <w:t>Verification</w:t>
      </w:r>
    </w:p>
    <w:p w14:paraId="6682AD25" w14:textId="77777777" w:rsidR="00BA5895" w:rsidRDefault="00BA5895" w:rsidP="00846B8F">
      <w:pPr>
        <w:pStyle w:val="ListParagraph"/>
        <w:numPr>
          <w:ilvl w:val="0"/>
          <w:numId w:val="93"/>
        </w:numPr>
        <w:spacing w:before="240"/>
        <w:contextualSpacing w:val="0"/>
      </w:pPr>
      <w:r>
        <w:t>Review of monitoring and corrective action records within one week of preparation to ensure they were completed appropriately.</w:t>
      </w:r>
    </w:p>
    <w:p w14:paraId="3E3955E2" w14:textId="77777777" w:rsidR="00BA5895" w:rsidRDefault="00BA5895" w:rsidP="00846B8F">
      <w:pPr>
        <w:pStyle w:val="ListParagraph"/>
        <w:numPr>
          <w:ilvl w:val="0"/>
          <w:numId w:val="93"/>
        </w:numPr>
        <w:contextualSpacing w:val="0"/>
      </w:pPr>
      <w:r>
        <w:t>Annual product specifications assessment to ensure all ingredients are accurate and allergens/food intolerance substances are appropriately listed on the labels.</w:t>
      </w:r>
    </w:p>
    <w:p w14:paraId="38A09917" w14:textId="77777777" w:rsidR="00BA5895" w:rsidRDefault="00BA5895" w:rsidP="00846B8F">
      <w:pPr>
        <w:pStyle w:val="Heading4"/>
        <w:numPr>
          <w:ilvl w:val="3"/>
          <w:numId w:val="181"/>
        </w:numPr>
      </w:pPr>
      <w:r>
        <w:t>Records</w:t>
      </w:r>
    </w:p>
    <w:p w14:paraId="041DE6F8" w14:textId="77777777" w:rsidR="00BA5895" w:rsidRDefault="00BA5895" w:rsidP="00846B8F">
      <w:pPr>
        <w:pStyle w:val="ListParagraph"/>
        <w:numPr>
          <w:ilvl w:val="0"/>
          <w:numId w:val="94"/>
        </w:numPr>
        <w:spacing w:before="240"/>
        <w:contextualSpacing w:val="0"/>
      </w:pPr>
      <w:r w:rsidRPr="009E0CC2">
        <w:rPr>
          <w:b/>
          <w:bCs/>
        </w:rPr>
        <w:t>Monitoring Records:</w:t>
      </w:r>
      <w:r>
        <w:t xml:space="preserve"> Labeling log indicating visual inspection was conducted, the date and time it was conducted, the result of the inspection, and who completed the inspection. Include space for weekly review and initials.</w:t>
      </w:r>
    </w:p>
    <w:p w14:paraId="0A3262E2" w14:textId="77777777" w:rsidR="00BA5895" w:rsidRDefault="00BA5895" w:rsidP="00846B8F">
      <w:pPr>
        <w:pStyle w:val="ListParagraph"/>
        <w:numPr>
          <w:ilvl w:val="0"/>
          <w:numId w:val="94"/>
        </w:numPr>
        <w:contextualSpacing w:val="0"/>
      </w:pPr>
      <w:r w:rsidRPr="009E0CC2">
        <w:rPr>
          <w:b/>
          <w:bCs/>
        </w:rPr>
        <w:t>Corrective Action Records:</w:t>
      </w:r>
      <w:r>
        <w:t xml:space="preserve"> When corrective actions are taken, document the issue, the steps implemented to ensure product safety, and the measures put in place to prevent recurrence.</w:t>
      </w:r>
    </w:p>
    <w:p w14:paraId="4A0820B6" w14:textId="55711D31" w:rsidR="00BA5895" w:rsidRDefault="00BA5895" w:rsidP="00846B8F">
      <w:pPr>
        <w:pStyle w:val="ListParagraph"/>
        <w:numPr>
          <w:ilvl w:val="0"/>
          <w:numId w:val="94"/>
        </w:numPr>
        <w:contextualSpacing w:val="0"/>
      </w:pPr>
      <w:r w:rsidRPr="009E0CC2">
        <w:rPr>
          <w:b/>
          <w:bCs/>
        </w:rPr>
        <w:t>Verification Records:</w:t>
      </w:r>
      <w:r>
        <w:t xml:space="preserve"> Record of annual product specifications verification. Monitoring records indicating review within one week.</w:t>
      </w:r>
    </w:p>
    <w:p w14:paraId="34DBD131" w14:textId="77777777" w:rsidR="00BA5895" w:rsidRDefault="00BA5895" w:rsidP="00846B8F">
      <w:pPr>
        <w:pStyle w:val="ListParagraph"/>
        <w:numPr>
          <w:ilvl w:val="0"/>
          <w:numId w:val="94"/>
        </w:numPr>
        <w:contextualSpacing w:val="0"/>
      </w:pPr>
      <w:r w:rsidRPr="009E0CC2">
        <w:rPr>
          <w:b/>
          <w:bCs/>
        </w:rPr>
        <w:t>Recall Plan:</w:t>
      </w:r>
      <w:r>
        <w:t xml:space="preserve"> A written recall plan is required for any product with significant hazards when regulated under Preventive Controls for Human Foods (PCHF).</w:t>
      </w:r>
    </w:p>
    <w:p w14:paraId="6BEB8765" w14:textId="77777777" w:rsidR="009E0CC2" w:rsidRDefault="00BA5895" w:rsidP="00846B8F">
      <w:pPr>
        <w:pStyle w:val="ListParagraph"/>
        <w:numPr>
          <w:ilvl w:val="0"/>
          <w:numId w:val="94"/>
        </w:numPr>
        <w:contextualSpacing w:val="0"/>
        <w:sectPr w:rsidR="009E0CC2" w:rsidSect="009E0CC2">
          <w:pgSz w:w="12240" w:h="15840"/>
          <w:pgMar w:top="1440" w:right="1440" w:bottom="1440" w:left="1440" w:header="720" w:footer="720" w:gutter="0"/>
          <w:pgNumType w:chapStyle="1"/>
          <w:cols w:space="720"/>
          <w:docGrid w:linePitch="360"/>
        </w:sectPr>
      </w:pPr>
      <w:r w:rsidRPr="009E0CC2">
        <w:rPr>
          <w:b/>
          <w:bCs/>
        </w:rPr>
        <w:t>Training Records:</w:t>
      </w:r>
      <w:r>
        <w:t xml:space="preserve"> Training records for the preventive controls qualified individual (PCQI) must be maintained if regulated under preventive controls for human foods. While the Seafood HACCP regulation requires a HACCP trained individual to conduct certain activities, training records are not explicitly mandated under the regulation.</w:t>
      </w:r>
    </w:p>
    <w:p w14:paraId="4B5B8E4C" w14:textId="1BBF6C69" w:rsidR="009E0CC2" w:rsidRDefault="009E0CC2" w:rsidP="00846B8F">
      <w:pPr>
        <w:pStyle w:val="Heading4"/>
        <w:numPr>
          <w:ilvl w:val="3"/>
          <w:numId w:val="182"/>
        </w:numPr>
      </w:pPr>
      <w:r>
        <w:lastRenderedPageBreak/>
        <w:t>Example HACCP/Food Safety Plan for Labeling Control</w:t>
      </w:r>
    </w:p>
    <w:p w14:paraId="126ECF1B" w14:textId="77777777" w:rsidR="009E0CC2" w:rsidRDefault="009E0CC2" w:rsidP="009E0CC2">
      <w:pPr>
        <w:ind w:left="-810" w:right="-900"/>
      </w:pPr>
      <w:r w:rsidRPr="00AC2821">
        <w:t xml:space="preserve">Below is an example showing what a food safety plan could look like. It is intended for illustrative purposes only. Each producer must develop a plan tailored to their unique products, production and processing methods, and regulatory requirements. </w:t>
      </w:r>
      <w:r w:rsidRPr="00AC2821">
        <w:rPr>
          <w:b/>
          <w:bCs/>
        </w:rPr>
        <w:t>This example should not be copied and used without modification to fit your specific operation.</w:t>
      </w:r>
    </w:p>
    <w:p w14:paraId="400BFBF3" w14:textId="3E3B9DD7" w:rsidR="009E0CC2" w:rsidRDefault="009E0CC2" w:rsidP="009E0CC2">
      <w:pPr>
        <w:spacing w:before="240"/>
        <w:ind w:left="-806"/>
        <w:contextualSpacing/>
      </w:pPr>
      <w:r w:rsidRPr="00E579E8">
        <w:rPr>
          <w:b/>
          <w:bCs/>
        </w:rPr>
        <w:t>Control Strategy:</w:t>
      </w:r>
      <w:r>
        <w:t xml:space="preserve"> Labeling Control</w:t>
      </w:r>
    </w:p>
    <w:p w14:paraId="26CD7B83" w14:textId="3A40FAE0" w:rsidR="009E0CC2" w:rsidRDefault="009E0CC2" w:rsidP="009E0CC2">
      <w:pPr>
        <w:spacing w:before="240"/>
        <w:ind w:left="-806"/>
        <w:contextualSpacing/>
      </w:pPr>
      <w:r w:rsidRPr="007235FC">
        <w:rPr>
          <w:b/>
          <w:bCs/>
        </w:rPr>
        <w:t>Critical Control Point</w:t>
      </w:r>
      <w:r>
        <w:rPr>
          <w:b/>
          <w:bCs/>
        </w:rPr>
        <w:t xml:space="preserve"> (HACCP) /</w:t>
      </w:r>
      <w:r w:rsidRPr="00BA5895">
        <w:t xml:space="preserve"> </w:t>
      </w:r>
      <w:r w:rsidRPr="00BA5895">
        <w:rPr>
          <w:b/>
          <w:bCs/>
        </w:rPr>
        <w:t>Allergen Preventive Control (PCHF)</w:t>
      </w:r>
      <w:r w:rsidRPr="007235FC">
        <w:rPr>
          <w:b/>
          <w:bCs/>
        </w:rPr>
        <w:t xml:space="preserve">: </w:t>
      </w:r>
      <w:r>
        <w:t>Labeling Step</w:t>
      </w:r>
    </w:p>
    <w:p w14:paraId="34080916" w14:textId="77777777" w:rsidR="009E0CC2" w:rsidRPr="00AD559E" w:rsidRDefault="009E0CC2" w:rsidP="009E0CC2">
      <w:pPr>
        <w:spacing w:before="240"/>
        <w:ind w:left="-806"/>
        <w:contextualSpacing/>
      </w:pPr>
      <w:r w:rsidRPr="00E579E8">
        <w:rPr>
          <w:b/>
          <w:bCs/>
        </w:rPr>
        <w:t>Hazard:</w:t>
      </w:r>
      <w:r>
        <w:t xml:space="preserve"> Allergens</w:t>
      </w:r>
    </w:p>
    <w:tbl>
      <w:tblPr>
        <w:tblStyle w:val="TableGrid"/>
        <w:tblW w:w="14670" w:type="dxa"/>
        <w:tblInd w:w="-81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tblCellMar>
        <w:tblLook w:val="04A0" w:firstRow="1" w:lastRow="0" w:firstColumn="1" w:lastColumn="0" w:noHBand="0" w:noVBand="1"/>
        <w:tblCaption w:val="Example HACCP/Food Safety Plan for Labeling Control: Allergens"/>
        <w:tblDescription w:val="Column Headers: Parameters/Values/Critical Limits, Monitoring (What/How/When/Who as subheader columns within), Corrective Action, Verification, Records."/>
      </w:tblPr>
      <w:tblGrid>
        <w:gridCol w:w="2340"/>
        <w:gridCol w:w="1417"/>
        <w:gridCol w:w="1463"/>
        <w:gridCol w:w="1440"/>
        <w:gridCol w:w="1350"/>
        <w:gridCol w:w="2610"/>
        <w:gridCol w:w="1980"/>
        <w:gridCol w:w="2070"/>
      </w:tblGrid>
      <w:tr w:rsidR="009E0CC2" w14:paraId="232C8842" w14:textId="77777777" w:rsidTr="00A61B74">
        <w:trPr>
          <w:trHeight w:val="390"/>
        </w:trPr>
        <w:tc>
          <w:tcPr>
            <w:tcW w:w="2340" w:type="dxa"/>
            <w:vMerge w:val="restart"/>
            <w:shd w:val="clear" w:color="auto" w:fill="D1D1D1" w:themeFill="background2" w:themeFillShade="E6"/>
          </w:tcPr>
          <w:p w14:paraId="3351692F" w14:textId="77777777" w:rsidR="009E0CC2" w:rsidRPr="0001662C" w:rsidRDefault="009E0CC2" w:rsidP="00DF5603">
            <w:pPr>
              <w:jc w:val="center"/>
              <w:rPr>
                <w:b/>
                <w:bCs/>
              </w:rPr>
            </w:pPr>
            <w:r w:rsidRPr="0001662C">
              <w:rPr>
                <w:b/>
                <w:bCs/>
              </w:rPr>
              <w:t>Parameters, Values, Critical Limits</w:t>
            </w:r>
          </w:p>
        </w:tc>
        <w:tc>
          <w:tcPr>
            <w:tcW w:w="5670" w:type="dxa"/>
            <w:gridSpan w:val="4"/>
            <w:shd w:val="clear" w:color="auto" w:fill="D1D1D1" w:themeFill="background2" w:themeFillShade="E6"/>
          </w:tcPr>
          <w:p w14:paraId="553D01E5" w14:textId="77777777" w:rsidR="009E0CC2" w:rsidRPr="0001662C" w:rsidRDefault="009E0CC2" w:rsidP="00DF5603">
            <w:pPr>
              <w:jc w:val="center"/>
              <w:rPr>
                <w:b/>
                <w:bCs/>
              </w:rPr>
            </w:pPr>
            <w:r w:rsidRPr="0001662C">
              <w:rPr>
                <w:b/>
                <w:bCs/>
              </w:rPr>
              <w:t>Monitoring</w:t>
            </w:r>
          </w:p>
        </w:tc>
        <w:tc>
          <w:tcPr>
            <w:tcW w:w="2610" w:type="dxa"/>
            <w:vMerge w:val="restart"/>
            <w:shd w:val="clear" w:color="auto" w:fill="D1D1D1" w:themeFill="background2" w:themeFillShade="E6"/>
          </w:tcPr>
          <w:p w14:paraId="207E9585" w14:textId="77777777" w:rsidR="009E0CC2" w:rsidRPr="0001662C" w:rsidRDefault="009E0CC2" w:rsidP="00DF5603">
            <w:pPr>
              <w:jc w:val="center"/>
              <w:rPr>
                <w:b/>
                <w:bCs/>
              </w:rPr>
            </w:pPr>
            <w:r w:rsidRPr="0001662C">
              <w:rPr>
                <w:b/>
                <w:bCs/>
              </w:rPr>
              <w:t>Corrective Action</w:t>
            </w:r>
          </w:p>
        </w:tc>
        <w:tc>
          <w:tcPr>
            <w:tcW w:w="1980" w:type="dxa"/>
            <w:vMerge w:val="restart"/>
            <w:shd w:val="clear" w:color="auto" w:fill="D1D1D1" w:themeFill="background2" w:themeFillShade="E6"/>
          </w:tcPr>
          <w:p w14:paraId="333AD54D" w14:textId="77777777" w:rsidR="009E0CC2" w:rsidRPr="0001662C" w:rsidRDefault="009E0CC2" w:rsidP="00DF5603">
            <w:pPr>
              <w:jc w:val="center"/>
              <w:rPr>
                <w:b/>
                <w:bCs/>
              </w:rPr>
            </w:pPr>
            <w:r w:rsidRPr="0001662C">
              <w:rPr>
                <w:b/>
                <w:bCs/>
              </w:rPr>
              <w:t>Verification</w:t>
            </w:r>
          </w:p>
        </w:tc>
        <w:tc>
          <w:tcPr>
            <w:tcW w:w="2070" w:type="dxa"/>
            <w:vMerge w:val="restart"/>
            <w:shd w:val="clear" w:color="auto" w:fill="D1D1D1" w:themeFill="background2" w:themeFillShade="E6"/>
          </w:tcPr>
          <w:p w14:paraId="7315B779" w14:textId="77777777" w:rsidR="009E0CC2" w:rsidRPr="0001662C" w:rsidRDefault="009E0CC2" w:rsidP="00DF5603">
            <w:pPr>
              <w:jc w:val="center"/>
              <w:rPr>
                <w:b/>
                <w:bCs/>
              </w:rPr>
            </w:pPr>
            <w:r w:rsidRPr="0001662C">
              <w:rPr>
                <w:b/>
                <w:bCs/>
              </w:rPr>
              <w:t>Records</w:t>
            </w:r>
          </w:p>
        </w:tc>
      </w:tr>
      <w:tr w:rsidR="009E0CC2" w14:paraId="7A58115D" w14:textId="77777777" w:rsidTr="00A61B74">
        <w:trPr>
          <w:trHeight w:val="20"/>
        </w:trPr>
        <w:tc>
          <w:tcPr>
            <w:tcW w:w="2340" w:type="dxa"/>
            <w:vMerge/>
          </w:tcPr>
          <w:p w14:paraId="7E7403A5" w14:textId="77777777" w:rsidR="009E0CC2" w:rsidRPr="0001662C" w:rsidRDefault="009E0CC2" w:rsidP="00DF5603">
            <w:pPr>
              <w:rPr>
                <w:b/>
                <w:bCs/>
              </w:rPr>
            </w:pPr>
          </w:p>
        </w:tc>
        <w:tc>
          <w:tcPr>
            <w:tcW w:w="1417" w:type="dxa"/>
            <w:shd w:val="clear" w:color="auto" w:fill="D1D1D1" w:themeFill="background2" w:themeFillShade="E6"/>
          </w:tcPr>
          <w:p w14:paraId="43BCCF92" w14:textId="77777777" w:rsidR="009E0CC2" w:rsidRPr="0001662C" w:rsidRDefault="009E0CC2" w:rsidP="00DF5603">
            <w:pPr>
              <w:jc w:val="center"/>
              <w:rPr>
                <w:b/>
                <w:bCs/>
              </w:rPr>
            </w:pPr>
            <w:r w:rsidRPr="0001662C">
              <w:rPr>
                <w:b/>
                <w:bCs/>
              </w:rPr>
              <w:t>What</w:t>
            </w:r>
          </w:p>
        </w:tc>
        <w:tc>
          <w:tcPr>
            <w:tcW w:w="1463" w:type="dxa"/>
            <w:shd w:val="clear" w:color="auto" w:fill="D1D1D1" w:themeFill="background2" w:themeFillShade="E6"/>
          </w:tcPr>
          <w:p w14:paraId="3D73ECFB" w14:textId="77777777" w:rsidR="009E0CC2" w:rsidRPr="0001662C" w:rsidRDefault="009E0CC2" w:rsidP="00DF5603">
            <w:pPr>
              <w:jc w:val="center"/>
              <w:rPr>
                <w:b/>
                <w:bCs/>
              </w:rPr>
            </w:pPr>
            <w:r w:rsidRPr="0001662C">
              <w:rPr>
                <w:b/>
                <w:bCs/>
              </w:rPr>
              <w:t>How</w:t>
            </w:r>
          </w:p>
        </w:tc>
        <w:tc>
          <w:tcPr>
            <w:tcW w:w="1440" w:type="dxa"/>
            <w:shd w:val="clear" w:color="auto" w:fill="D1D1D1" w:themeFill="background2" w:themeFillShade="E6"/>
          </w:tcPr>
          <w:p w14:paraId="235723F7" w14:textId="77777777" w:rsidR="009E0CC2" w:rsidRPr="0001662C" w:rsidRDefault="009E0CC2" w:rsidP="00DF5603">
            <w:pPr>
              <w:jc w:val="center"/>
              <w:rPr>
                <w:b/>
                <w:bCs/>
              </w:rPr>
            </w:pPr>
            <w:r w:rsidRPr="0001662C">
              <w:rPr>
                <w:b/>
                <w:bCs/>
              </w:rPr>
              <w:t>When</w:t>
            </w:r>
          </w:p>
        </w:tc>
        <w:tc>
          <w:tcPr>
            <w:tcW w:w="1350" w:type="dxa"/>
            <w:shd w:val="clear" w:color="auto" w:fill="D1D1D1" w:themeFill="background2" w:themeFillShade="E6"/>
          </w:tcPr>
          <w:p w14:paraId="610B78D8" w14:textId="77777777" w:rsidR="009E0CC2" w:rsidRPr="0001662C" w:rsidRDefault="009E0CC2" w:rsidP="00DF5603">
            <w:pPr>
              <w:jc w:val="center"/>
              <w:rPr>
                <w:b/>
                <w:bCs/>
              </w:rPr>
            </w:pPr>
            <w:r w:rsidRPr="0001662C">
              <w:rPr>
                <w:b/>
                <w:bCs/>
              </w:rPr>
              <w:t>Who</w:t>
            </w:r>
          </w:p>
        </w:tc>
        <w:tc>
          <w:tcPr>
            <w:tcW w:w="2610" w:type="dxa"/>
            <w:vMerge/>
          </w:tcPr>
          <w:p w14:paraId="1027E691" w14:textId="77777777" w:rsidR="009E0CC2" w:rsidRDefault="009E0CC2" w:rsidP="00DF5603"/>
        </w:tc>
        <w:tc>
          <w:tcPr>
            <w:tcW w:w="1980" w:type="dxa"/>
            <w:vMerge/>
          </w:tcPr>
          <w:p w14:paraId="65C4F1F6" w14:textId="77777777" w:rsidR="009E0CC2" w:rsidRDefault="009E0CC2" w:rsidP="00DF5603"/>
        </w:tc>
        <w:tc>
          <w:tcPr>
            <w:tcW w:w="2070" w:type="dxa"/>
            <w:vMerge/>
          </w:tcPr>
          <w:p w14:paraId="4F83476D" w14:textId="77777777" w:rsidR="009E0CC2" w:rsidRDefault="009E0CC2" w:rsidP="00DF5603"/>
        </w:tc>
      </w:tr>
      <w:tr w:rsidR="009E0CC2" w14:paraId="4CDDBCC3" w14:textId="77777777" w:rsidTr="00A61B74">
        <w:trPr>
          <w:trHeight w:val="4548"/>
        </w:trPr>
        <w:tc>
          <w:tcPr>
            <w:tcW w:w="2340" w:type="dxa"/>
          </w:tcPr>
          <w:p w14:paraId="1F9F04CA" w14:textId="2ADEA5AB" w:rsidR="009E0CC2" w:rsidRPr="00677CAA" w:rsidRDefault="009E0CC2" w:rsidP="00DF5603">
            <w:pPr>
              <w:spacing w:before="240"/>
              <w:rPr>
                <w:sz w:val="22"/>
                <w:szCs w:val="22"/>
              </w:rPr>
            </w:pPr>
            <w:r w:rsidRPr="009E0CC2">
              <w:rPr>
                <w:sz w:val="22"/>
                <w:szCs w:val="22"/>
              </w:rPr>
              <w:t>Finished product label contains: Shellfish</w:t>
            </w:r>
          </w:p>
        </w:tc>
        <w:tc>
          <w:tcPr>
            <w:tcW w:w="1417" w:type="dxa"/>
          </w:tcPr>
          <w:p w14:paraId="3287715B" w14:textId="36776149" w:rsidR="009E0CC2" w:rsidRPr="00677CAA" w:rsidRDefault="009E0CC2" w:rsidP="00DF5603">
            <w:pPr>
              <w:spacing w:before="240"/>
              <w:rPr>
                <w:sz w:val="22"/>
                <w:szCs w:val="22"/>
              </w:rPr>
            </w:pPr>
            <w:r w:rsidRPr="009E0CC2">
              <w:rPr>
                <w:sz w:val="22"/>
                <w:szCs w:val="22"/>
              </w:rPr>
              <w:t>Presence of crustacean shellfish allergen listed on product label</w:t>
            </w:r>
          </w:p>
        </w:tc>
        <w:tc>
          <w:tcPr>
            <w:tcW w:w="1463" w:type="dxa"/>
          </w:tcPr>
          <w:p w14:paraId="11147DD6" w14:textId="69D7A49E" w:rsidR="009E0CC2" w:rsidRPr="00677CAA" w:rsidRDefault="009E0CC2" w:rsidP="00DF5603">
            <w:pPr>
              <w:spacing w:before="240"/>
              <w:rPr>
                <w:sz w:val="22"/>
                <w:szCs w:val="22"/>
              </w:rPr>
            </w:pPr>
            <w:r w:rsidRPr="009E0CC2">
              <w:rPr>
                <w:sz w:val="22"/>
                <w:szCs w:val="22"/>
              </w:rPr>
              <w:t>Visual inspection of label</w:t>
            </w:r>
          </w:p>
        </w:tc>
        <w:tc>
          <w:tcPr>
            <w:tcW w:w="1440" w:type="dxa"/>
          </w:tcPr>
          <w:p w14:paraId="5A2C430C" w14:textId="54F71EAA" w:rsidR="009E0CC2" w:rsidRPr="00677CAA" w:rsidRDefault="009E0CC2" w:rsidP="00DF5603">
            <w:pPr>
              <w:spacing w:before="240"/>
              <w:rPr>
                <w:sz w:val="22"/>
                <w:szCs w:val="22"/>
              </w:rPr>
            </w:pPr>
            <w:r w:rsidRPr="009E0CC2">
              <w:rPr>
                <w:sz w:val="22"/>
                <w:szCs w:val="22"/>
              </w:rPr>
              <w:t>At the start of production and at least every two hours</w:t>
            </w:r>
          </w:p>
        </w:tc>
        <w:tc>
          <w:tcPr>
            <w:tcW w:w="1350" w:type="dxa"/>
          </w:tcPr>
          <w:p w14:paraId="6F15080F" w14:textId="71F2C515" w:rsidR="009E0CC2" w:rsidRPr="00677CAA" w:rsidRDefault="009E0CC2" w:rsidP="00DF5603">
            <w:pPr>
              <w:spacing w:before="240"/>
              <w:rPr>
                <w:sz w:val="22"/>
                <w:szCs w:val="22"/>
              </w:rPr>
            </w:pPr>
            <w:r>
              <w:rPr>
                <w:sz w:val="22"/>
                <w:szCs w:val="22"/>
              </w:rPr>
              <w:t>Packing Manager</w:t>
            </w:r>
          </w:p>
        </w:tc>
        <w:tc>
          <w:tcPr>
            <w:tcW w:w="2610" w:type="dxa"/>
          </w:tcPr>
          <w:p w14:paraId="48907A1F" w14:textId="4EA85D8B" w:rsidR="009E0CC2" w:rsidRPr="009E0CC2" w:rsidRDefault="009E0CC2" w:rsidP="009E0CC2">
            <w:pPr>
              <w:spacing w:before="240"/>
              <w:rPr>
                <w:sz w:val="22"/>
                <w:szCs w:val="22"/>
              </w:rPr>
            </w:pPr>
            <w:r w:rsidRPr="009E0CC2">
              <w:rPr>
                <w:sz w:val="22"/>
                <w:szCs w:val="22"/>
              </w:rPr>
              <w:t>If the label is not present or is inaccurate, then stop labeling and recheck all products since the last correct check. Relabel all incorrectly labeled products.</w:t>
            </w:r>
          </w:p>
          <w:p w14:paraId="69A9CDF4" w14:textId="77777777" w:rsidR="009E0CC2" w:rsidRPr="009E0CC2" w:rsidRDefault="009E0CC2" w:rsidP="009E0CC2">
            <w:pPr>
              <w:spacing w:before="240"/>
              <w:rPr>
                <w:b/>
                <w:bCs/>
                <w:sz w:val="22"/>
                <w:szCs w:val="22"/>
              </w:rPr>
            </w:pPr>
            <w:r w:rsidRPr="009E0CC2">
              <w:rPr>
                <w:b/>
                <w:bCs/>
                <w:sz w:val="22"/>
                <w:szCs w:val="22"/>
              </w:rPr>
              <w:t>AND</w:t>
            </w:r>
          </w:p>
          <w:p w14:paraId="5AAB52DE" w14:textId="324EE98D" w:rsidR="009E0CC2" w:rsidRPr="00677CAA" w:rsidRDefault="009E0CC2" w:rsidP="009E0CC2">
            <w:pPr>
              <w:spacing w:before="240"/>
              <w:rPr>
                <w:sz w:val="22"/>
                <w:szCs w:val="22"/>
              </w:rPr>
            </w:pPr>
            <w:r w:rsidRPr="009E0CC2">
              <w:rPr>
                <w:sz w:val="22"/>
                <w:szCs w:val="22"/>
              </w:rPr>
              <w:t>Determine the cause of the labeling error and make corrections to prevent future errors.</w:t>
            </w:r>
          </w:p>
        </w:tc>
        <w:tc>
          <w:tcPr>
            <w:tcW w:w="1980" w:type="dxa"/>
          </w:tcPr>
          <w:p w14:paraId="35479616" w14:textId="34FC507B" w:rsidR="009E0CC2" w:rsidRPr="009E0CC2" w:rsidRDefault="009E0CC2" w:rsidP="009E0CC2">
            <w:pPr>
              <w:spacing w:before="240"/>
              <w:rPr>
                <w:sz w:val="22"/>
                <w:szCs w:val="22"/>
              </w:rPr>
            </w:pPr>
            <w:r w:rsidRPr="009E0CC2">
              <w:rPr>
                <w:sz w:val="22"/>
                <w:szCs w:val="22"/>
              </w:rPr>
              <w:t>Weekly review of label monitoring records.</w:t>
            </w:r>
          </w:p>
          <w:p w14:paraId="2E9E06DC" w14:textId="1655A63B" w:rsidR="009E0CC2" w:rsidRPr="00677CAA" w:rsidRDefault="009E0CC2" w:rsidP="009E0CC2">
            <w:pPr>
              <w:spacing w:before="240"/>
              <w:rPr>
                <w:sz w:val="22"/>
                <w:szCs w:val="22"/>
              </w:rPr>
            </w:pPr>
            <w:r w:rsidRPr="009E0CC2">
              <w:rPr>
                <w:sz w:val="22"/>
                <w:szCs w:val="22"/>
              </w:rPr>
              <w:t>Annual review of product specifications to verify accuracy of labels.</w:t>
            </w:r>
          </w:p>
        </w:tc>
        <w:tc>
          <w:tcPr>
            <w:tcW w:w="2070" w:type="dxa"/>
          </w:tcPr>
          <w:p w14:paraId="27C5D455" w14:textId="77777777" w:rsidR="009E0CC2" w:rsidRPr="009E0CC2" w:rsidRDefault="009E0CC2" w:rsidP="009E0CC2">
            <w:pPr>
              <w:spacing w:before="240"/>
              <w:rPr>
                <w:sz w:val="22"/>
                <w:szCs w:val="22"/>
              </w:rPr>
            </w:pPr>
            <w:r w:rsidRPr="009E0CC2">
              <w:rPr>
                <w:sz w:val="22"/>
                <w:szCs w:val="22"/>
              </w:rPr>
              <w:t>Monitoring Record: Label Log with results of visual inspections</w:t>
            </w:r>
          </w:p>
          <w:p w14:paraId="6B6F9984" w14:textId="2A91C341" w:rsidR="009E0CC2" w:rsidRPr="009E0CC2" w:rsidRDefault="009E0CC2" w:rsidP="009E0CC2">
            <w:pPr>
              <w:spacing w:before="240"/>
              <w:rPr>
                <w:sz w:val="22"/>
                <w:szCs w:val="22"/>
              </w:rPr>
            </w:pPr>
            <w:r w:rsidRPr="009E0CC2">
              <w:rPr>
                <w:sz w:val="22"/>
                <w:szCs w:val="22"/>
              </w:rPr>
              <w:t xml:space="preserve">Corrective Action Records: </w:t>
            </w:r>
            <w:r>
              <w:rPr>
                <w:sz w:val="22"/>
                <w:szCs w:val="22"/>
              </w:rPr>
              <w:t>W</w:t>
            </w:r>
            <w:r w:rsidRPr="009E0CC2">
              <w:rPr>
                <w:sz w:val="22"/>
                <w:szCs w:val="22"/>
              </w:rPr>
              <w:t>hen needed</w:t>
            </w:r>
          </w:p>
          <w:p w14:paraId="33615896" w14:textId="77777777" w:rsidR="009E0CC2" w:rsidRPr="009E0CC2" w:rsidRDefault="009E0CC2" w:rsidP="009E0CC2">
            <w:pPr>
              <w:spacing w:before="240"/>
              <w:rPr>
                <w:sz w:val="22"/>
                <w:szCs w:val="22"/>
              </w:rPr>
            </w:pPr>
            <w:r w:rsidRPr="009E0CC2">
              <w:rPr>
                <w:sz w:val="22"/>
                <w:szCs w:val="22"/>
              </w:rPr>
              <w:t>Verification Records: Annual product specifications assessment.</w:t>
            </w:r>
          </w:p>
          <w:p w14:paraId="1EB97C2E" w14:textId="3890413E" w:rsidR="009E0CC2" w:rsidRPr="00677CAA" w:rsidRDefault="009E0CC2" w:rsidP="009E0CC2">
            <w:pPr>
              <w:spacing w:before="240"/>
              <w:rPr>
                <w:sz w:val="22"/>
                <w:szCs w:val="22"/>
              </w:rPr>
            </w:pPr>
            <w:r w:rsidRPr="009E0CC2">
              <w:rPr>
                <w:sz w:val="22"/>
                <w:szCs w:val="22"/>
              </w:rPr>
              <w:t>PCQI training records (PCHF only)</w:t>
            </w:r>
          </w:p>
        </w:tc>
      </w:tr>
    </w:tbl>
    <w:p w14:paraId="4363C5EB" w14:textId="6FF50DEE" w:rsidR="00BA5895" w:rsidRDefault="00BA5895" w:rsidP="009E0CC2"/>
    <w:p w14:paraId="330DE7ED" w14:textId="77777777" w:rsidR="009E0CC2" w:rsidRDefault="009E0CC2" w:rsidP="009E0CC2"/>
    <w:p w14:paraId="384BB495" w14:textId="77777777" w:rsidR="009E0CC2" w:rsidRDefault="009E0CC2" w:rsidP="009E0CC2">
      <w:pPr>
        <w:sectPr w:rsidR="009E0CC2" w:rsidSect="009E0CC2">
          <w:pgSz w:w="15840" w:h="12240" w:orient="landscape"/>
          <w:pgMar w:top="1440" w:right="1440" w:bottom="1440" w:left="1440" w:header="720" w:footer="720" w:gutter="0"/>
          <w:pgNumType w:chapStyle="1"/>
          <w:cols w:space="720"/>
          <w:docGrid w:linePitch="360"/>
        </w:sectPr>
      </w:pPr>
    </w:p>
    <w:p w14:paraId="58CFD5D8" w14:textId="196C2642" w:rsidR="009E0CC2" w:rsidRDefault="009E0CC2" w:rsidP="00846B8F">
      <w:pPr>
        <w:pStyle w:val="Heading3"/>
        <w:numPr>
          <w:ilvl w:val="2"/>
          <w:numId w:val="183"/>
        </w:numPr>
      </w:pPr>
      <w:bookmarkStart w:id="249" w:name="_Toc208503320"/>
      <w:r>
        <w:lastRenderedPageBreak/>
        <w:t>Control Strategy 3 – Sanitation Control</w:t>
      </w:r>
      <w:bookmarkEnd w:id="249"/>
    </w:p>
    <w:p w14:paraId="5CA19F69" w14:textId="6CEFE2BA" w:rsidR="009E0CC2" w:rsidRDefault="009E0CC2" w:rsidP="00490E45">
      <w:pPr>
        <w:spacing w:before="240"/>
      </w:pPr>
      <w:r w:rsidRPr="009E0CC2">
        <w:rPr>
          <w:b/>
          <w:bCs/>
        </w:rPr>
        <w:t>NOTE:</w:t>
      </w:r>
      <w:r>
        <w:t xml:space="preserve"> Facilities regulated under Seafood HACCP are not required to identify sanitation controls as Critical Control Points (CCPs) in their HACCP plans. Instead, these controls can be addressed through pre-requisite programs, such as Sanitation Control Procedures (SCPs).</w:t>
      </w:r>
    </w:p>
    <w:p w14:paraId="3F6D62F3" w14:textId="77777777" w:rsidR="009E0CC2" w:rsidRDefault="009E0CC2" w:rsidP="009E0CC2">
      <w:r>
        <w:t>In contrast, facilities regulated under the Preventive Controls for Human Foods (PCHF) rule must include any sanitation preventive controls necessary to prevent hazards directly in their written food safety plan.</w:t>
      </w:r>
    </w:p>
    <w:p w14:paraId="6279DC04" w14:textId="77777777" w:rsidR="009E0CC2" w:rsidRDefault="009E0CC2" w:rsidP="009E0CC2">
      <w:r>
        <w:t>Whether regulated under HACCP or PCHF, facilities should ensure that allergenic and non-allergenic ingredients—including different major food allergens—are processed with adequate separation by time or space to prevent cross-contact.</w:t>
      </w:r>
    </w:p>
    <w:p w14:paraId="77FA7A30" w14:textId="77777777" w:rsidR="009E0CC2" w:rsidRDefault="009E0CC2" w:rsidP="009E0CC2">
      <w:r>
        <w:t>Sanitation controls should be implemented at any processing step—such as drying, milling, or fermenting—where there is a risk of allergen cross-contact and where proper sanitation can effectively prevent it. This is especially critical in facilities handling multiple major allergens or both allergenic and non-allergenic products, to protect consumers and ensure regulatory compliance.</w:t>
      </w:r>
    </w:p>
    <w:p w14:paraId="5F2E837D" w14:textId="77777777" w:rsidR="009E0CC2" w:rsidRDefault="009E0CC2" w:rsidP="00846B8F">
      <w:pPr>
        <w:pStyle w:val="Heading4"/>
        <w:numPr>
          <w:ilvl w:val="3"/>
          <w:numId w:val="183"/>
        </w:numPr>
      </w:pPr>
      <w:r>
        <w:t>Purpose (Sanitation Preventive Control)</w:t>
      </w:r>
    </w:p>
    <w:p w14:paraId="775C08BA" w14:textId="6039B3BE" w:rsidR="009E0CC2" w:rsidRDefault="009E0CC2" w:rsidP="00846B8F">
      <w:pPr>
        <w:pStyle w:val="ListParagraph"/>
        <w:numPr>
          <w:ilvl w:val="0"/>
          <w:numId w:val="96"/>
        </w:numPr>
        <w:spacing w:before="240"/>
        <w:contextualSpacing w:val="0"/>
      </w:pPr>
      <w:r>
        <w:t>Clearly define the purpose of each sanitation control and specify the equipment or area of the facility to which it applies.</w:t>
      </w:r>
      <w:r w:rsidR="000F081F">
        <w:t xml:space="preserve"> </w:t>
      </w:r>
      <w:r w:rsidRPr="000F081F">
        <w:rPr>
          <w:b/>
          <w:bCs/>
        </w:rPr>
        <w:t>For example</w:t>
      </w:r>
      <w:r>
        <w:t>: "</w:t>
      </w:r>
      <w:r w:rsidRPr="000F081F">
        <w:rPr>
          <w:i/>
          <w:iCs/>
        </w:rPr>
        <w:t>To ensure the processing table is thoroughly cleaned to prevent cross-contact between products that contain major food allergens and those that do not.</w:t>
      </w:r>
      <w:r>
        <w:t>"</w:t>
      </w:r>
    </w:p>
    <w:p w14:paraId="20C7B74A" w14:textId="61E92B1B" w:rsidR="009E0CC2" w:rsidRDefault="009E0CC2" w:rsidP="00846B8F">
      <w:pPr>
        <w:pStyle w:val="Heading4"/>
        <w:numPr>
          <w:ilvl w:val="3"/>
          <w:numId w:val="183"/>
        </w:numPr>
      </w:pPr>
      <w:r>
        <w:t xml:space="preserve">Frequency of </w:t>
      </w:r>
      <w:r w:rsidR="000F081F">
        <w:t>C</w:t>
      </w:r>
      <w:r>
        <w:t>leaning</w:t>
      </w:r>
    </w:p>
    <w:p w14:paraId="28CF6521" w14:textId="6F781CE5" w:rsidR="009E0CC2" w:rsidRDefault="006D17D6" w:rsidP="00846B8F">
      <w:pPr>
        <w:pStyle w:val="ListParagraph"/>
        <w:numPr>
          <w:ilvl w:val="0"/>
          <w:numId w:val="96"/>
        </w:numPr>
        <w:spacing w:before="240"/>
        <w:contextualSpacing w:val="0"/>
      </w:pPr>
      <w:r>
        <w:t>Daily,</w:t>
      </w:r>
      <w:r w:rsidR="009E0CC2">
        <w:t xml:space="preserve"> before production and any time you transition between different allergens, or between allergenic and non-allergenic ingredients.</w:t>
      </w:r>
    </w:p>
    <w:p w14:paraId="37677543" w14:textId="56D06F08" w:rsidR="009E0CC2" w:rsidRDefault="009E0CC2" w:rsidP="00846B8F">
      <w:pPr>
        <w:pStyle w:val="Heading4"/>
        <w:numPr>
          <w:ilvl w:val="3"/>
          <w:numId w:val="183"/>
        </w:numPr>
      </w:pPr>
      <w:r>
        <w:t xml:space="preserve">Who </w:t>
      </w:r>
      <w:r w:rsidR="000F081F">
        <w:t>W</w:t>
      </w:r>
      <w:r>
        <w:t xml:space="preserve">ill </w:t>
      </w:r>
      <w:r w:rsidR="000F081F">
        <w:t>I</w:t>
      </w:r>
      <w:r>
        <w:t xml:space="preserve">mplement the </w:t>
      </w:r>
      <w:r w:rsidR="000F081F">
        <w:t>S</w:t>
      </w:r>
      <w:r>
        <w:t xml:space="preserve">anitation </w:t>
      </w:r>
      <w:r w:rsidR="000F081F">
        <w:t>C</w:t>
      </w:r>
      <w:r>
        <w:t>ontrol</w:t>
      </w:r>
    </w:p>
    <w:p w14:paraId="170A4FC1" w14:textId="11699FE0" w:rsidR="009E0CC2" w:rsidRDefault="009E0CC2" w:rsidP="00846B8F">
      <w:pPr>
        <w:pStyle w:val="ListParagraph"/>
        <w:numPr>
          <w:ilvl w:val="0"/>
          <w:numId w:val="96"/>
        </w:numPr>
        <w:spacing w:before="240"/>
        <w:contextualSpacing w:val="0"/>
      </w:pPr>
      <w:r>
        <w:t>Sanitation personnel or any other trained individual designated to carry out the sanitation control procedures.</w:t>
      </w:r>
    </w:p>
    <w:p w14:paraId="01A24C60" w14:textId="77777777" w:rsidR="009E0CC2" w:rsidRDefault="009E0CC2" w:rsidP="00846B8F">
      <w:pPr>
        <w:pStyle w:val="Heading4"/>
        <w:numPr>
          <w:ilvl w:val="3"/>
          <w:numId w:val="183"/>
        </w:numPr>
      </w:pPr>
      <w:r>
        <w:t>Procedure</w:t>
      </w:r>
    </w:p>
    <w:p w14:paraId="4A58A743" w14:textId="1C271FE8" w:rsidR="009E0CC2" w:rsidRDefault="009E0CC2" w:rsidP="00846B8F">
      <w:pPr>
        <w:pStyle w:val="ListParagraph"/>
        <w:numPr>
          <w:ilvl w:val="0"/>
          <w:numId w:val="96"/>
        </w:numPr>
        <w:spacing w:before="240"/>
        <w:contextualSpacing w:val="0"/>
      </w:pPr>
      <w:r>
        <w:t>Outline the sanitation procedures for the specific equipment or area of the facility to be cleaned, following the applicable Sanitation Standard Operating Procedure (SSOP).</w:t>
      </w:r>
    </w:p>
    <w:p w14:paraId="46158B82" w14:textId="77777777" w:rsidR="009E0CC2" w:rsidRDefault="009E0CC2" w:rsidP="00846B8F">
      <w:pPr>
        <w:pStyle w:val="Heading4"/>
        <w:numPr>
          <w:ilvl w:val="3"/>
          <w:numId w:val="183"/>
        </w:numPr>
      </w:pPr>
      <w:r>
        <w:lastRenderedPageBreak/>
        <w:t>Monitoring – What, How, How Often, Who</w:t>
      </w:r>
    </w:p>
    <w:p w14:paraId="4395DB2F" w14:textId="77777777" w:rsidR="009E0CC2" w:rsidRDefault="009E0CC2" w:rsidP="00846B8F">
      <w:pPr>
        <w:pStyle w:val="ListParagraph"/>
        <w:numPr>
          <w:ilvl w:val="0"/>
          <w:numId w:val="96"/>
        </w:numPr>
        <w:spacing w:before="240"/>
        <w:contextualSpacing w:val="0"/>
      </w:pPr>
      <w:r>
        <w:t>What will be monitored?</w:t>
      </w:r>
    </w:p>
    <w:p w14:paraId="6706758F" w14:textId="77777777" w:rsidR="009E0CC2" w:rsidRDefault="009E0CC2" w:rsidP="00846B8F">
      <w:pPr>
        <w:pStyle w:val="ListParagraph"/>
        <w:numPr>
          <w:ilvl w:val="1"/>
          <w:numId w:val="96"/>
        </w:numPr>
        <w:contextualSpacing w:val="0"/>
      </w:pPr>
      <w:r>
        <w:t>Cleanliness of surface or equipment.</w:t>
      </w:r>
    </w:p>
    <w:p w14:paraId="7DD8E6D5" w14:textId="77777777" w:rsidR="009E0CC2" w:rsidRDefault="009E0CC2" w:rsidP="00846B8F">
      <w:pPr>
        <w:pStyle w:val="ListParagraph"/>
        <w:numPr>
          <w:ilvl w:val="0"/>
          <w:numId w:val="96"/>
        </w:numPr>
        <w:contextualSpacing w:val="0"/>
      </w:pPr>
      <w:r>
        <w:t>How will monitoring be done?</w:t>
      </w:r>
    </w:p>
    <w:p w14:paraId="051C6B33" w14:textId="77777777" w:rsidR="009E0CC2" w:rsidRDefault="009E0CC2" w:rsidP="00846B8F">
      <w:pPr>
        <w:pStyle w:val="ListParagraph"/>
        <w:numPr>
          <w:ilvl w:val="1"/>
          <w:numId w:val="96"/>
        </w:numPr>
        <w:contextualSpacing w:val="0"/>
      </w:pPr>
      <w:r>
        <w:t xml:space="preserve">Visual observation of cleanliness </w:t>
      </w:r>
      <w:r w:rsidRPr="000F081F">
        <w:rPr>
          <w:b/>
          <w:bCs/>
        </w:rPr>
        <w:t>AND/OR</w:t>
      </w:r>
      <w:r>
        <w:t xml:space="preserve"> allergen testing (test strips).</w:t>
      </w:r>
    </w:p>
    <w:p w14:paraId="2E4933B5" w14:textId="77777777" w:rsidR="009E0CC2" w:rsidRDefault="009E0CC2" w:rsidP="00846B8F">
      <w:pPr>
        <w:pStyle w:val="ListParagraph"/>
        <w:numPr>
          <w:ilvl w:val="0"/>
          <w:numId w:val="96"/>
        </w:numPr>
        <w:contextualSpacing w:val="0"/>
      </w:pPr>
      <w:r>
        <w:t>How often will monitoring be done (frequency)?</w:t>
      </w:r>
    </w:p>
    <w:p w14:paraId="495178BA" w14:textId="77777777" w:rsidR="009E0CC2" w:rsidRDefault="009E0CC2" w:rsidP="00846B8F">
      <w:pPr>
        <w:pStyle w:val="ListParagraph"/>
        <w:numPr>
          <w:ilvl w:val="1"/>
          <w:numId w:val="96"/>
        </w:numPr>
        <w:contextualSpacing w:val="0"/>
      </w:pPr>
      <w:r>
        <w:t>At least once daily, after sanitation is completed and before production begins.</w:t>
      </w:r>
    </w:p>
    <w:p w14:paraId="55914678" w14:textId="77777777" w:rsidR="009E0CC2" w:rsidRDefault="009E0CC2" w:rsidP="00846B8F">
      <w:pPr>
        <w:pStyle w:val="ListParagraph"/>
        <w:numPr>
          <w:ilvl w:val="0"/>
          <w:numId w:val="96"/>
        </w:numPr>
        <w:contextualSpacing w:val="0"/>
      </w:pPr>
      <w:r>
        <w:t>Who will do the monitoring?</w:t>
      </w:r>
    </w:p>
    <w:p w14:paraId="41494DB3" w14:textId="77777777" w:rsidR="009E0CC2" w:rsidRDefault="009E0CC2" w:rsidP="00846B8F">
      <w:pPr>
        <w:pStyle w:val="ListParagraph"/>
        <w:numPr>
          <w:ilvl w:val="1"/>
          <w:numId w:val="96"/>
        </w:numPr>
        <w:contextualSpacing w:val="0"/>
      </w:pPr>
      <w:r>
        <w:t>A trained individual who understands the control measures and is qualified to perform the required monitoring procedures.</w:t>
      </w:r>
    </w:p>
    <w:p w14:paraId="34369948" w14:textId="77777777" w:rsidR="009E0CC2" w:rsidRDefault="009E0CC2" w:rsidP="00846B8F">
      <w:pPr>
        <w:pStyle w:val="Heading4"/>
        <w:numPr>
          <w:ilvl w:val="3"/>
          <w:numId w:val="183"/>
        </w:numPr>
      </w:pPr>
      <w:r>
        <w:t>Corrections</w:t>
      </w:r>
    </w:p>
    <w:p w14:paraId="2DA31D0C" w14:textId="77777777" w:rsidR="009E0CC2" w:rsidRDefault="009E0CC2" w:rsidP="00846B8F">
      <w:pPr>
        <w:pStyle w:val="ListParagraph"/>
        <w:numPr>
          <w:ilvl w:val="0"/>
          <w:numId w:val="97"/>
        </w:numPr>
        <w:spacing w:before="240"/>
        <w:contextualSpacing w:val="0"/>
      </w:pPr>
      <w:r>
        <w:t xml:space="preserve">If inadequate sanitation is observed </w:t>
      </w:r>
      <w:r w:rsidRPr="000F081F">
        <w:rPr>
          <w:b/>
          <w:bCs/>
        </w:rPr>
        <w:t>OR</w:t>
      </w:r>
      <w:r>
        <w:t xml:space="preserve"> testing indicates that allergens are present, then stop production, if applicable, and re-clean all surfaces or equipment before retesting or assessing cleanliness.</w:t>
      </w:r>
    </w:p>
    <w:p w14:paraId="659E308C" w14:textId="7F771613" w:rsidR="009E0CC2" w:rsidRDefault="009E0CC2" w:rsidP="000F081F">
      <w:r w:rsidRPr="000F081F">
        <w:rPr>
          <w:b/>
          <w:bCs/>
        </w:rPr>
        <w:t>AND</w:t>
      </w:r>
      <w:r>
        <w:t xml:space="preserve"> address the root cause to prevent future occurrence.</w:t>
      </w:r>
    </w:p>
    <w:p w14:paraId="00B946E0" w14:textId="2CB6E4DF" w:rsidR="009E0CC2" w:rsidRDefault="009E0CC2" w:rsidP="00846B8F">
      <w:pPr>
        <w:pStyle w:val="ListParagraph"/>
        <w:numPr>
          <w:ilvl w:val="0"/>
          <w:numId w:val="97"/>
        </w:numPr>
        <w:contextualSpacing w:val="0"/>
      </w:pPr>
      <w:r>
        <w:t>Retrain staff to address issues in sanitation practices and revise SSOPs as needed to address the root cause and prevent recurrence of sanitation deficiencies.</w:t>
      </w:r>
    </w:p>
    <w:p w14:paraId="5EE0B4F2" w14:textId="77777777" w:rsidR="009E0CC2" w:rsidRDefault="009E0CC2" w:rsidP="00846B8F">
      <w:pPr>
        <w:pStyle w:val="Heading4"/>
        <w:numPr>
          <w:ilvl w:val="3"/>
          <w:numId w:val="183"/>
        </w:numPr>
      </w:pPr>
      <w:r>
        <w:t>Verification</w:t>
      </w:r>
    </w:p>
    <w:p w14:paraId="6D8AA33F" w14:textId="77777777" w:rsidR="009E0CC2" w:rsidRDefault="009E0CC2" w:rsidP="00846B8F">
      <w:pPr>
        <w:pStyle w:val="ListParagraph"/>
        <w:numPr>
          <w:ilvl w:val="0"/>
          <w:numId w:val="97"/>
        </w:numPr>
        <w:spacing w:before="240"/>
        <w:contextualSpacing w:val="0"/>
      </w:pPr>
      <w:r>
        <w:t>Review of monitoring and correction records within one week of preparation to ensure they were completed appropriately.</w:t>
      </w:r>
    </w:p>
    <w:p w14:paraId="7AA58C70" w14:textId="77777777" w:rsidR="009E0CC2" w:rsidRPr="000F081F" w:rsidRDefault="009E0CC2" w:rsidP="000F081F">
      <w:pPr>
        <w:rPr>
          <w:b/>
          <w:bCs/>
        </w:rPr>
      </w:pPr>
      <w:r w:rsidRPr="000F081F">
        <w:rPr>
          <w:b/>
          <w:bCs/>
        </w:rPr>
        <w:t>AND</w:t>
      </w:r>
    </w:p>
    <w:p w14:paraId="3C099BE6" w14:textId="77777777" w:rsidR="009E0CC2" w:rsidRDefault="009E0CC2" w:rsidP="00846B8F">
      <w:pPr>
        <w:pStyle w:val="ListParagraph"/>
        <w:numPr>
          <w:ilvl w:val="0"/>
          <w:numId w:val="97"/>
        </w:numPr>
        <w:contextualSpacing w:val="0"/>
      </w:pPr>
      <w:r>
        <w:t xml:space="preserve">Written sanitation procedures or SSOPs should be evaluated to ensure they are effective at removing potential allergens to effectively prevent cross-contact before implementation. </w:t>
      </w:r>
    </w:p>
    <w:p w14:paraId="57AEA018" w14:textId="50D9050D" w:rsidR="009E0CC2" w:rsidRDefault="009E0CC2" w:rsidP="00846B8F">
      <w:pPr>
        <w:pStyle w:val="ListParagraph"/>
        <w:numPr>
          <w:ilvl w:val="1"/>
          <w:numId w:val="97"/>
        </w:numPr>
        <w:contextualSpacing w:val="0"/>
      </w:pPr>
      <w:r>
        <w:t xml:space="preserve">For high risk and hard to clean equipment or areas of a facility validation of cleaning procedures can be conducted to ensure allergens are effectively controlled through sanitation procedures. For more information on cleaning process validation, review the </w:t>
      </w:r>
      <w:hyperlink r:id="rId182" w:history="1">
        <w:r w:rsidRPr="000F081F">
          <w:rPr>
            <w:rStyle w:val="Hyperlink"/>
            <w:i/>
            <w:iCs/>
          </w:rPr>
          <w:t xml:space="preserve">FDA’s Guide to Inspections Validation of Cleaning </w:t>
        </w:r>
        <w:r w:rsidRPr="000F081F">
          <w:rPr>
            <w:rStyle w:val="Hyperlink"/>
            <w:i/>
            <w:iCs/>
          </w:rPr>
          <w:lastRenderedPageBreak/>
          <w:t>Procedures</w:t>
        </w:r>
      </w:hyperlink>
      <w:r>
        <w:t xml:space="preserve"> or </w:t>
      </w:r>
      <w:hyperlink r:id="rId183" w:history="1">
        <w:r w:rsidRPr="000F081F">
          <w:rPr>
            <w:rStyle w:val="Hyperlink"/>
          </w:rPr>
          <w:t xml:space="preserve">Appendix 10: </w:t>
        </w:r>
        <w:r w:rsidRPr="000F081F">
          <w:rPr>
            <w:rStyle w:val="Hyperlink"/>
            <w:i/>
            <w:iCs/>
          </w:rPr>
          <w:t>Cleaning and Sanitation for the Control of Allergens</w:t>
        </w:r>
      </w:hyperlink>
      <w:r w:rsidR="000F081F">
        <w:t xml:space="preserve"> (PDF)</w:t>
      </w:r>
      <w:r>
        <w:t xml:space="preserve"> in the</w:t>
      </w:r>
      <w:r w:rsidR="0096771E">
        <w:t xml:space="preserve"> FDA</w:t>
      </w:r>
      <w:r w:rsidR="00D31328">
        <w:t>’s</w:t>
      </w:r>
      <w:r>
        <w:t xml:space="preserve"> </w:t>
      </w:r>
      <w:r w:rsidRPr="000F081F">
        <w:rPr>
          <w:i/>
          <w:iCs/>
        </w:rPr>
        <w:t>Fish and Fishery Products Hazards and Controls Guide</w:t>
      </w:r>
      <w:r>
        <w:t>.</w:t>
      </w:r>
    </w:p>
    <w:p w14:paraId="614094E1" w14:textId="77777777" w:rsidR="009E0CC2" w:rsidRPr="000F081F" w:rsidRDefault="009E0CC2" w:rsidP="000F081F">
      <w:pPr>
        <w:rPr>
          <w:b/>
          <w:bCs/>
        </w:rPr>
      </w:pPr>
      <w:r w:rsidRPr="000F081F">
        <w:rPr>
          <w:b/>
          <w:bCs/>
        </w:rPr>
        <w:t>OR</w:t>
      </w:r>
    </w:p>
    <w:p w14:paraId="059C659E" w14:textId="3EC984D8" w:rsidR="009E0CC2" w:rsidRDefault="009E0CC2" w:rsidP="00846B8F">
      <w:pPr>
        <w:pStyle w:val="ListParagraph"/>
        <w:numPr>
          <w:ilvl w:val="0"/>
          <w:numId w:val="97"/>
        </w:numPr>
        <w:contextualSpacing w:val="0"/>
      </w:pPr>
      <w:r>
        <w:t>Allergen testing to periodically assess the effectiveness of the cleaning procedures.</w:t>
      </w:r>
    </w:p>
    <w:p w14:paraId="5BF304C3" w14:textId="77777777" w:rsidR="009E0CC2" w:rsidRDefault="009E0CC2" w:rsidP="00846B8F">
      <w:pPr>
        <w:pStyle w:val="Heading4"/>
        <w:numPr>
          <w:ilvl w:val="3"/>
          <w:numId w:val="183"/>
        </w:numPr>
      </w:pPr>
      <w:r>
        <w:t>Records</w:t>
      </w:r>
    </w:p>
    <w:p w14:paraId="150A86AF" w14:textId="77777777" w:rsidR="009E0CC2" w:rsidRDefault="009E0CC2" w:rsidP="00846B8F">
      <w:pPr>
        <w:pStyle w:val="ListParagraph"/>
        <w:numPr>
          <w:ilvl w:val="0"/>
          <w:numId w:val="95"/>
        </w:numPr>
        <w:spacing w:before="240"/>
        <w:contextualSpacing w:val="0"/>
      </w:pPr>
      <w:r w:rsidRPr="000F081F">
        <w:rPr>
          <w:b/>
          <w:bCs/>
        </w:rPr>
        <w:t>Monitoring Records:</w:t>
      </w:r>
      <w:r>
        <w:t xml:space="preserve"> Maintain a sanitation log that documents when each sanitation step is performed, who completed the task, and the results of the sanitation check. It is considered good practice to also reference the specific Sanitation Standard Operating Procedure (SSOP) used for each task.</w:t>
      </w:r>
    </w:p>
    <w:p w14:paraId="4FDD92E2" w14:textId="77777777" w:rsidR="009E0CC2" w:rsidRDefault="009E0CC2" w:rsidP="00846B8F">
      <w:pPr>
        <w:pStyle w:val="ListParagraph"/>
        <w:numPr>
          <w:ilvl w:val="0"/>
          <w:numId w:val="95"/>
        </w:numPr>
        <w:contextualSpacing w:val="0"/>
      </w:pPr>
      <w:r>
        <w:t>Written SSOPs are required for foods regulated under the Preventive Controls for Human Foods (PCHF) rule.</w:t>
      </w:r>
    </w:p>
    <w:p w14:paraId="0258C17F" w14:textId="6517024C" w:rsidR="009E0CC2" w:rsidRDefault="009E0CC2" w:rsidP="00846B8F">
      <w:pPr>
        <w:pStyle w:val="ListParagraph"/>
        <w:numPr>
          <w:ilvl w:val="0"/>
          <w:numId w:val="95"/>
        </w:numPr>
        <w:contextualSpacing w:val="0"/>
      </w:pPr>
      <w:r w:rsidRPr="000F081F">
        <w:rPr>
          <w:b/>
          <w:bCs/>
        </w:rPr>
        <w:t>Correction Records:</w:t>
      </w:r>
      <w:r>
        <w:t xml:space="preserve"> Document any corrections made to address conditions or practices that required attention, including a description of the issue, the action taken, and the date and person responsible for the correction.</w:t>
      </w:r>
    </w:p>
    <w:p w14:paraId="2203CD00" w14:textId="77777777" w:rsidR="009E0CC2" w:rsidRDefault="009E0CC2" w:rsidP="00846B8F">
      <w:pPr>
        <w:pStyle w:val="ListParagraph"/>
        <w:numPr>
          <w:ilvl w:val="0"/>
          <w:numId w:val="95"/>
        </w:numPr>
        <w:contextualSpacing w:val="0"/>
      </w:pPr>
      <w:r w:rsidRPr="000F081F">
        <w:rPr>
          <w:b/>
          <w:bCs/>
        </w:rPr>
        <w:t>Verification Records:</w:t>
      </w:r>
      <w:r>
        <w:t xml:space="preserve"> Including record reviews, documentation of monitoring record review, cleaning procedure validations, or allergen testing results as applicable.</w:t>
      </w:r>
    </w:p>
    <w:p w14:paraId="06DC44C2" w14:textId="77777777" w:rsidR="009E0CC2" w:rsidRDefault="009E0CC2" w:rsidP="00846B8F">
      <w:pPr>
        <w:pStyle w:val="ListParagraph"/>
        <w:numPr>
          <w:ilvl w:val="0"/>
          <w:numId w:val="95"/>
        </w:numPr>
        <w:contextualSpacing w:val="0"/>
      </w:pPr>
      <w:r w:rsidRPr="000F081F">
        <w:rPr>
          <w:b/>
          <w:bCs/>
        </w:rPr>
        <w:t>Recall Plan:</w:t>
      </w:r>
      <w:r>
        <w:t xml:space="preserve"> A written recall plan is required for any product with significant hazards when regulated under Preventive Controls for Human Foods (PCHF).</w:t>
      </w:r>
    </w:p>
    <w:p w14:paraId="6DE34FB9" w14:textId="77777777" w:rsidR="00A26A80" w:rsidRDefault="009E0CC2" w:rsidP="00846B8F">
      <w:pPr>
        <w:pStyle w:val="ListParagraph"/>
        <w:numPr>
          <w:ilvl w:val="0"/>
          <w:numId w:val="95"/>
        </w:numPr>
        <w:contextualSpacing w:val="0"/>
        <w:sectPr w:rsidR="00A26A80" w:rsidSect="009E0CC2">
          <w:pgSz w:w="12240" w:h="15840"/>
          <w:pgMar w:top="1440" w:right="1440" w:bottom="1440" w:left="1440" w:header="720" w:footer="720" w:gutter="0"/>
          <w:pgNumType w:chapStyle="1"/>
          <w:cols w:space="720"/>
          <w:docGrid w:linePitch="360"/>
        </w:sectPr>
      </w:pPr>
      <w:r w:rsidRPr="000F081F">
        <w:rPr>
          <w:b/>
          <w:bCs/>
        </w:rPr>
        <w:t>Training Records:</w:t>
      </w:r>
      <w:r>
        <w:t xml:space="preserve"> Training records for the preventive controls qualified individual (PCQI) must be maintained if regulated under preventive controls for human foods. While the Seafood HACCP regulation requires a HACCP trained individual to conduct certain activities, training records are not explicitly mandated under the regulation.</w:t>
      </w:r>
    </w:p>
    <w:p w14:paraId="6789C54B" w14:textId="77777777" w:rsidR="00A26A80" w:rsidRDefault="00A26A80" w:rsidP="00846B8F">
      <w:pPr>
        <w:pStyle w:val="Heading4"/>
        <w:numPr>
          <w:ilvl w:val="3"/>
          <w:numId w:val="184"/>
        </w:numPr>
      </w:pPr>
      <w:r>
        <w:lastRenderedPageBreak/>
        <w:t>Example Food Safety Plan for Sanitation Preventive Control</w:t>
      </w:r>
    </w:p>
    <w:p w14:paraId="7278B96D" w14:textId="39D142B9" w:rsidR="00A26A80" w:rsidRDefault="00A26A80" w:rsidP="00A26A80">
      <w:pPr>
        <w:ind w:left="-810" w:right="-900"/>
      </w:pPr>
      <w:r>
        <w:t xml:space="preserve">Below is an example showing what a Sanitation Preventive Control could look like. It is intended for illustrative purposes only. Each producer must develop a plan tailored to their unique products, production and processing methods, and regulatory requirements. </w:t>
      </w:r>
      <w:r w:rsidRPr="00A26A80">
        <w:rPr>
          <w:b/>
          <w:bCs/>
        </w:rPr>
        <w:t>This example should not be copied and used without modification to fit your specific operation.</w:t>
      </w:r>
    </w:p>
    <w:p w14:paraId="1C6E7680" w14:textId="0BF73B98" w:rsidR="00A26A80" w:rsidRDefault="00A26A80" w:rsidP="00A26A80">
      <w:pPr>
        <w:ind w:left="-810" w:right="-900"/>
      </w:pPr>
      <w:r w:rsidRPr="00A26A80">
        <w:rPr>
          <w:b/>
          <w:bCs/>
        </w:rPr>
        <w:t>Control Strategy:</w:t>
      </w:r>
      <w:r>
        <w:t xml:space="preserve"> Sanitation Preventive Control</w:t>
      </w:r>
    </w:p>
    <w:p w14:paraId="54C4C645" w14:textId="77777777" w:rsidR="00A26A80" w:rsidRDefault="00A26A80" w:rsidP="00A26A80">
      <w:pPr>
        <w:ind w:left="-810" w:right="-900"/>
      </w:pPr>
      <w:r w:rsidRPr="00A26A80">
        <w:rPr>
          <w:b/>
          <w:bCs/>
        </w:rPr>
        <w:t>Purpose:</w:t>
      </w:r>
      <w:r>
        <w:t xml:space="preserve"> To ensure that the processing table and equipment is thoroughly cleaned to prevent cross-contact between products that contain major food allergens and those that do not. This sanitation control applies specifically to the processing table used in pre-packaging operations.</w:t>
      </w:r>
    </w:p>
    <w:p w14:paraId="1BF720A2" w14:textId="77777777" w:rsidR="00A26A80" w:rsidRDefault="00A26A80" w:rsidP="00A26A80">
      <w:pPr>
        <w:ind w:left="-810" w:right="-900"/>
      </w:pPr>
      <w:r w:rsidRPr="00A26A80">
        <w:rPr>
          <w:b/>
          <w:bCs/>
        </w:rPr>
        <w:t>Frequency of Cleaning:</w:t>
      </w:r>
      <w:r>
        <w:t xml:space="preserve"> Daily, before production begins and at any time there is a transition between different allergens or between allergenic and non-allergenic products</w:t>
      </w:r>
    </w:p>
    <w:p w14:paraId="72AB98FA" w14:textId="77777777" w:rsidR="00A26A80" w:rsidRDefault="00A26A80" w:rsidP="00A26A80">
      <w:pPr>
        <w:ind w:left="-810" w:right="-900"/>
      </w:pPr>
      <w:r w:rsidRPr="00A26A80">
        <w:rPr>
          <w:b/>
          <w:bCs/>
        </w:rPr>
        <w:t>Responsible Personnel:</w:t>
      </w:r>
      <w:r>
        <w:t xml:space="preserve"> Sanitation personnel or any other trained individual designated to carry out sanitation control procedures.</w:t>
      </w:r>
    </w:p>
    <w:p w14:paraId="3C189C84" w14:textId="17394ACC" w:rsidR="00A26A80" w:rsidRDefault="00A26A80" w:rsidP="00A26A80">
      <w:pPr>
        <w:ind w:left="-810" w:right="-900"/>
      </w:pPr>
      <w:r w:rsidRPr="00A26A80">
        <w:rPr>
          <w:b/>
          <w:bCs/>
        </w:rPr>
        <w:t>Procedure:</w:t>
      </w:r>
      <w:r>
        <w:t xml:space="preserve"> Sanitation will follow the established written Sanitation Standard Operating Procedure (SSOP) for the processing table and associated equipment, which includes: 1) Removal of visible debris; 2) Rinsing with potable water; 3) Application of an approved cleaning agent ensuring full surface contact and adequate exposure time; 4) Rinse and sanitize with food-safe sanitizer following manufacturer instructions; and 5) Allow surfaces to air dry.</w:t>
      </w:r>
    </w:p>
    <w:p w14:paraId="2D5468BA" w14:textId="5CFE4CB8" w:rsidR="00EF43EE" w:rsidRPr="00B47DD8" w:rsidRDefault="00EF43EE" w:rsidP="00EF43EE">
      <w:pPr>
        <w:spacing w:before="240"/>
        <w:ind w:left="-1080"/>
        <w:contextualSpacing/>
        <w:jc w:val="center"/>
        <w:rPr>
          <w:b/>
          <w:bCs/>
        </w:rPr>
        <w:sectPr w:rsidR="00EF43EE" w:rsidRPr="00B47DD8" w:rsidSect="00A26A80">
          <w:pgSz w:w="15840" w:h="12240" w:orient="landscape"/>
          <w:pgMar w:top="1440" w:right="1440" w:bottom="1440" w:left="1440" w:header="720" w:footer="720" w:gutter="0"/>
          <w:pgNumType w:chapStyle="1"/>
          <w:cols w:space="720"/>
          <w:docGrid w:linePitch="360"/>
        </w:sectPr>
      </w:pPr>
      <w:r w:rsidRPr="00B47DD8">
        <w:rPr>
          <w:b/>
          <w:bCs/>
        </w:rPr>
        <w:t>This example is continued on the next page.</w:t>
      </w:r>
    </w:p>
    <w:p w14:paraId="03C180E2" w14:textId="556A5562" w:rsidR="00EF43EE" w:rsidRDefault="00EF43EE" w:rsidP="00846B8F">
      <w:pPr>
        <w:pStyle w:val="Heading4"/>
        <w:numPr>
          <w:ilvl w:val="3"/>
          <w:numId w:val="184"/>
        </w:numPr>
      </w:pPr>
      <w:r>
        <w:lastRenderedPageBreak/>
        <w:t>Example Food Safety Plan for Sanitation Preventive Control (continued)</w:t>
      </w:r>
    </w:p>
    <w:tbl>
      <w:tblPr>
        <w:tblStyle w:val="TableGrid"/>
        <w:tblW w:w="14670" w:type="dxa"/>
        <w:tblInd w:w="-81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tblCellMar>
        <w:tblLook w:val="04A0" w:firstRow="1" w:lastRow="0" w:firstColumn="1" w:lastColumn="0" w:noHBand="0" w:noVBand="1"/>
        <w:tblCaption w:val="Example HACCP/Food Safety Plan for Sanitation Preventive Control"/>
        <w:tblDescription w:val="Column Headers: Criterion, Monitoring (What/How/When/Who as subheader columns within), Corrective Action, Verification, Records."/>
      </w:tblPr>
      <w:tblGrid>
        <w:gridCol w:w="2340"/>
        <w:gridCol w:w="1530"/>
        <w:gridCol w:w="1350"/>
        <w:gridCol w:w="1440"/>
        <w:gridCol w:w="1170"/>
        <w:gridCol w:w="2790"/>
        <w:gridCol w:w="1980"/>
        <w:gridCol w:w="2070"/>
      </w:tblGrid>
      <w:tr w:rsidR="00A26A80" w14:paraId="5B2013A8" w14:textId="77777777" w:rsidTr="00A61B74">
        <w:trPr>
          <w:trHeight w:val="390"/>
        </w:trPr>
        <w:tc>
          <w:tcPr>
            <w:tcW w:w="2340" w:type="dxa"/>
            <w:vMerge w:val="restart"/>
            <w:shd w:val="clear" w:color="auto" w:fill="D1D1D1" w:themeFill="background2" w:themeFillShade="E6"/>
          </w:tcPr>
          <w:p w14:paraId="59DB7B2B" w14:textId="77777777" w:rsidR="00A26A80" w:rsidRPr="0001662C" w:rsidRDefault="00A26A80" w:rsidP="00DF5603">
            <w:pPr>
              <w:jc w:val="center"/>
              <w:rPr>
                <w:b/>
                <w:bCs/>
              </w:rPr>
            </w:pPr>
            <w:r>
              <w:rPr>
                <w:b/>
                <w:bCs/>
              </w:rPr>
              <w:t>Criterion</w:t>
            </w:r>
          </w:p>
        </w:tc>
        <w:tc>
          <w:tcPr>
            <w:tcW w:w="5490" w:type="dxa"/>
            <w:gridSpan w:val="4"/>
            <w:shd w:val="clear" w:color="auto" w:fill="D1D1D1" w:themeFill="background2" w:themeFillShade="E6"/>
          </w:tcPr>
          <w:p w14:paraId="541114FC" w14:textId="77777777" w:rsidR="00A26A80" w:rsidRPr="0001662C" w:rsidRDefault="00A26A80" w:rsidP="00DF5603">
            <w:pPr>
              <w:jc w:val="center"/>
              <w:rPr>
                <w:b/>
                <w:bCs/>
              </w:rPr>
            </w:pPr>
            <w:r w:rsidRPr="0001662C">
              <w:rPr>
                <w:b/>
                <w:bCs/>
              </w:rPr>
              <w:t>Monitoring</w:t>
            </w:r>
          </w:p>
        </w:tc>
        <w:tc>
          <w:tcPr>
            <w:tcW w:w="2790" w:type="dxa"/>
            <w:vMerge w:val="restart"/>
            <w:shd w:val="clear" w:color="auto" w:fill="D1D1D1" w:themeFill="background2" w:themeFillShade="E6"/>
          </w:tcPr>
          <w:p w14:paraId="2E5EE4C2" w14:textId="77777777" w:rsidR="00A26A80" w:rsidRPr="0001662C" w:rsidRDefault="00A26A80" w:rsidP="00DF5603">
            <w:pPr>
              <w:jc w:val="center"/>
              <w:rPr>
                <w:b/>
                <w:bCs/>
              </w:rPr>
            </w:pPr>
            <w:r w:rsidRPr="0001662C">
              <w:rPr>
                <w:b/>
                <w:bCs/>
              </w:rPr>
              <w:t>Corrective Action</w:t>
            </w:r>
          </w:p>
        </w:tc>
        <w:tc>
          <w:tcPr>
            <w:tcW w:w="1980" w:type="dxa"/>
            <w:vMerge w:val="restart"/>
            <w:shd w:val="clear" w:color="auto" w:fill="D1D1D1" w:themeFill="background2" w:themeFillShade="E6"/>
          </w:tcPr>
          <w:p w14:paraId="097ABED2" w14:textId="77777777" w:rsidR="00A26A80" w:rsidRPr="0001662C" w:rsidRDefault="00A26A80" w:rsidP="00DF5603">
            <w:pPr>
              <w:jc w:val="center"/>
              <w:rPr>
                <w:b/>
                <w:bCs/>
              </w:rPr>
            </w:pPr>
            <w:r w:rsidRPr="0001662C">
              <w:rPr>
                <w:b/>
                <w:bCs/>
              </w:rPr>
              <w:t>Verification</w:t>
            </w:r>
          </w:p>
        </w:tc>
        <w:tc>
          <w:tcPr>
            <w:tcW w:w="2070" w:type="dxa"/>
            <w:vMerge w:val="restart"/>
            <w:shd w:val="clear" w:color="auto" w:fill="D1D1D1" w:themeFill="background2" w:themeFillShade="E6"/>
          </w:tcPr>
          <w:p w14:paraId="44F737AF" w14:textId="77777777" w:rsidR="00A26A80" w:rsidRPr="0001662C" w:rsidRDefault="00A26A80" w:rsidP="00DF5603">
            <w:pPr>
              <w:jc w:val="center"/>
              <w:rPr>
                <w:b/>
                <w:bCs/>
              </w:rPr>
            </w:pPr>
            <w:r w:rsidRPr="0001662C">
              <w:rPr>
                <w:b/>
                <w:bCs/>
              </w:rPr>
              <w:t>Records</w:t>
            </w:r>
          </w:p>
        </w:tc>
      </w:tr>
      <w:tr w:rsidR="00A26A80" w14:paraId="0690F805" w14:textId="77777777" w:rsidTr="00A61B74">
        <w:trPr>
          <w:trHeight w:val="20"/>
        </w:trPr>
        <w:tc>
          <w:tcPr>
            <w:tcW w:w="2340" w:type="dxa"/>
            <w:vMerge/>
          </w:tcPr>
          <w:p w14:paraId="789F0120" w14:textId="77777777" w:rsidR="00A26A80" w:rsidRPr="0001662C" w:rsidRDefault="00A26A80" w:rsidP="00DF5603">
            <w:pPr>
              <w:rPr>
                <w:b/>
                <w:bCs/>
              </w:rPr>
            </w:pPr>
          </w:p>
        </w:tc>
        <w:tc>
          <w:tcPr>
            <w:tcW w:w="1530" w:type="dxa"/>
            <w:shd w:val="clear" w:color="auto" w:fill="D1D1D1" w:themeFill="background2" w:themeFillShade="E6"/>
          </w:tcPr>
          <w:p w14:paraId="06FB1473" w14:textId="77777777" w:rsidR="00A26A80" w:rsidRPr="0001662C" w:rsidRDefault="00A26A80" w:rsidP="00DF5603">
            <w:pPr>
              <w:jc w:val="center"/>
              <w:rPr>
                <w:b/>
                <w:bCs/>
              </w:rPr>
            </w:pPr>
            <w:r w:rsidRPr="0001662C">
              <w:rPr>
                <w:b/>
                <w:bCs/>
              </w:rPr>
              <w:t>What</w:t>
            </w:r>
          </w:p>
        </w:tc>
        <w:tc>
          <w:tcPr>
            <w:tcW w:w="1350" w:type="dxa"/>
            <w:shd w:val="clear" w:color="auto" w:fill="D1D1D1" w:themeFill="background2" w:themeFillShade="E6"/>
          </w:tcPr>
          <w:p w14:paraId="694C41F0" w14:textId="77777777" w:rsidR="00A26A80" w:rsidRPr="0001662C" w:rsidRDefault="00A26A80" w:rsidP="00DF5603">
            <w:pPr>
              <w:jc w:val="center"/>
              <w:rPr>
                <w:b/>
                <w:bCs/>
              </w:rPr>
            </w:pPr>
            <w:r w:rsidRPr="0001662C">
              <w:rPr>
                <w:b/>
                <w:bCs/>
              </w:rPr>
              <w:t>How</w:t>
            </w:r>
          </w:p>
        </w:tc>
        <w:tc>
          <w:tcPr>
            <w:tcW w:w="1440" w:type="dxa"/>
            <w:shd w:val="clear" w:color="auto" w:fill="D1D1D1" w:themeFill="background2" w:themeFillShade="E6"/>
          </w:tcPr>
          <w:p w14:paraId="2D8A7CF0" w14:textId="77777777" w:rsidR="00A26A80" w:rsidRPr="0001662C" w:rsidRDefault="00A26A80" w:rsidP="00DF5603">
            <w:pPr>
              <w:jc w:val="center"/>
              <w:rPr>
                <w:b/>
                <w:bCs/>
              </w:rPr>
            </w:pPr>
            <w:r w:rsidRPr="0001662C">
              <w:rPr>
                <w:b/>
                <w:bCs/>
              </w:rPr>
              <w:t>When</w:t>
            </w:r>
          </w:p>
        </w:tc>
        <w:tc>
          <w:tcPr>
            <w:tcW w:w="1170" w:type="dxa"/>
            <w:shd w:val="clear" w:color="auto" w:fill="D1D1D1" w:themeFill="background2" w:themeFillShade="E6"/>
          </w:tcPr>
          <w:p w14:paraId="34E7DA7B" w14:textId="77777777" w:rsidR="00A26A80" w:rsidRPr="0001662C" w:rsidRDefault="00A26A80" w:rsidP="00DF5603">
            <w:pPr>
              <w:jc w:val="center"/>
              <w:rPr>
                <w:b/>
                <w:bCs/>
              </w:rPr>
            </w:pPr>
            <w:r w:rsidRPr="0001662C">
              <w:rPr>
                <w:b/>
                <w:bCs/>
              </w:rPr>
              <w:t>Who</w:t>
            </w:r>
          </w:p>
        </w:tc>
        <w:tc>
          <w:tcPr>
            <w:tcW w:w="2790" w:type="dxa"/>
            <w:vMerge/>
          </w:tcPr>
          <w:p w14:paraId="3DB56B9D" w14:textId="77777777" w:rsidR="00A26A80" w:rsidRDefault="00A26A80" w:rsidP="00DF5603"/>
        </w:tc>
        <w:tc>
          <w:tcPr>
            <w:tcW w:w="1980" w:type="dxa"/>
            <w:vMerge/>
          </w:tcPr>
          <w:p w14:paraId="73EE3216" w14:textId="77777777" w:rsidR="00A26A80" w:rsidRDefault="00A26A80" w:rsidP="00DF5603"/>
        </w:tc>
        <w:tc>
          <w:tcPr>
            <w:tcW w:w="2070" w:type="dxa"/>
            <w:vMerge/>
          </w:tcPr>
          <w:p w14:paraId="14045DD9" w14:textId="77777777" w:rsidR="00A26A80" w:rsidRDefault="00A26A80" w:rsidP="00DF5603"/>
        </w:tc>
      </w:tr>
      <w:tr w:rsidR="00A26A80" w14:paraId="04C22614" w14:textId="77777777" w:rsidTr="00A61B74">
        <w:trPr>
          <w:trHeight w:val="3774"/>
        </w:trPr>
        <w:tc>
          <w:tcPr>
            <w:tcW w:w="2340" w:type="dxa"/>
          </w:tcPr>
          <w:p w14:paraId="267B9C76" w14:textId="7079FBE2" w:rsidR="00A26A80" w:rsidRPr="00677CAA" w:rsidRDefault="00A26A80" w:rsidP="00DF5603">
            <w:pPr>
              <w:spacing w:before="240"/>
              <w:rPr>
                <w:sz w:val="22"/>
                <w:szCs w:val="22"/>
              </w:rPr>
            </w:pPr>
            <w:r w:rsidRPr="00A26A80">
              <w:rPr>
                <w:sz w:val="22"/>
                <w:szCs w:val="22"/>
              </w:rPr>
              <w:t>The bench, cutting board, and knives used for seaweed salad preparation are visibly clean and free of debris.</w:t>
            </w:r>
          </w:p>
        </w:tc>
        <w:tc>
          <w:tcPr>
            <w:tcW w:w="1530" w:type="dxa"/>
          </w:tcPr>
          <w:p w14:paraId="57B4EE71" w14:textId="37F5FBD5" w:rsidR="00A26A80" w:rsidRPr="00677CAA" w:rsidRDefault="00A26A80" w:rsidP="00DF5603">
            <w:pPr>
              <w:spacing w:before="240"/>
              <w:rPr>
                <w:sz w:val="22"/>
                <w:szCs w:val="22"/>
              </w:rPr>
            </w:pPr>
            <w:r w:rsidRPr="00A26A80">
              <w:rPr>
                <w:sz w:val="22"/>
                <w:szCs w:val="22"/>
              </w:rPr>
              <w:t>Cleanliness of surfaces</w:t>
            </w:r>
          </w:p>
        </w:tc>
        <w:tc>
          <w:tcPr>
            <w:tcW w:w="1350" w:type="dxa"/>
          </w:tcPr>
          <w:p w14:paraId="532C3F30" w14:textId="77777777" w:rsidR="00A26A80" w:rsidRPr="00677CAA" w:rsidRDefault="00A26A80" w:rsidP="00DF5603">
            <w:pPr>
              <w:spacing w:before="240"/>
              <w:rPr>
                <w:sz w:val="22"/>
                <w:szCs w:val="22"/>
              </w:rPr>
            </w:pPr>
            <w:r>
              <w:rPr>
                <w:sz w:val="22"/>
                <w:szCs w:val="22"/>
              </w:rPr>
              <w:t>Visually</w:t>
            </w:r>
          </w:p>
        </w:tc>
        <w:tc>
          <w:tcPr>
            <w:tcW w:w="1440" w:type="dxa"/>
          </w:tcPr>
          <w:p w14:paraId="638101FB" w14:textId="7FFE34C1" w:rsidR="00A26A80" w:rsidRDefault="00A26A80" w:rsidP="00DF5603">
            <w:pPr>
              <w:spacing w:before="240"/>
              <w:rPr>
                <w:sz w:val="22"/>
                <w:szCs w:val="22"/>
              </w:rPr>
            </w:pPr>
            <w:r w:rsidRPr="00697B0C">
              <w:rPr>
                <w:sz w:val="22"/>
                <w:szCs w:val="22"/>
              </w:rPr>
              <w:t>Prior to packaging</w:t>
            </w:r>
          </w:p>
          <w:p w14:paraId="6735E973" w14:textId="77777777" w:rsidR="00A26A80" w:rsidRDefault="00A26A80" w:rsidP="00DF5603">
            <w:pPr>
              <w:spacing w:before="240"/>
              <w:rPr>
                <w:sz w:val="22"/>
                <w:szCs w:val="22"/>
              </w:rPr>
            </w:pPr>
            <w:r w:rsidRPr="00697B0C">
              <w:rPr>
                <w:b/>
                <w:bCs/>
                <w:sz w:val="22"/>
                <w:szCs w:val="22"/>
              </w:rPr>
              <w:t>AND</w:t>
            </w:r>
          </w:p>
          <w:p w14:paraId="1A49D6DE" w14:textId="77777777" w:rsidR="00A26A80" w:rsidRPr="00677CAA" w:rsidRDefault="00A26A80" w:rsidP="00DF5603">
            <w:pPr>
              <w:spacing w:before="240"/>
              <w:rPr>
                <w:sz w:val="22"/>
                <w:szCs w:val="22"/>
              </w:rPr>
            </w:pPr>
            <w:r>
              <w:rPr>
                <w:sz w:val="22"/>
                <w:szCs w:val="22"/>
              </w:rPr>
              <w:t>B</w:t>
            </w:r>
            <w:r w:rsidRPr="00697B0C">
              <w:rPr>
                <w:sz w:val="22"/>
                <w:szCs w:val="22"/>
              </w:rPr>
              <w:t>etween production changes.</w:t>
            </w:r>
          </w:p>
        </w:tc>
        <w:tc>
          <w:tcPr>
            <w:tcW w:w="1170" w:type="dxa"/>
          </w:tcPr>
          <w:p w14:paraId="1DC4C051" w14:textId="77777777" w:rsidR="00A26A80" w:rsidRPr="00677CAA" w:rsidRDefault="00A26A80" w:rsidP="00DF5603">
            <w:pPr>
              <w:spacing w:before="240"/>
              <w:rPr>
                <w:sz w:val="22"/>
                <w:szCs w:val="22"/>
              </w:rPr>
            </w:pPr>
            <w:r>
              <w:rPr>
                <w:sz w:val="22"/>
                <w:szCs w:val="22"/>
              </w:rPr>
              <w:t>QA Staff</w:t>
            </w:r>
          </w:p>
        </w:tc>
        <w:tc>
          <w:tcPr>
            <w:tcW w:w="2790" w:type="dxa"/>
          </w:tcPr>
          <w:p w14:paraId="27093FC3" w14:textId="77777777" w:rsidR="00A26A80" w:rsidRDefault="00A26A80" w:rsidP="00DF5603">
            <w:pPr>
              <w:spacing w:before="240"/>
              <w:rPr>
                <w:sz w:val="22"/>
                <w:szCs w:val="22"/>
              </w:rPr>
            </w:pPr>
            <w:r w:rsidRPr="00A26A80">
              <w:rPr>
                <w:sz w:val="22"/>
                <w:szCs w:val="22"/>
              </w:rPr>
              <w:t xml:space="preserve">If surfaces are visibly unclean, then all surfaces will be re-cleaned in accordance with appropriate SSOP </w:t>
            </w:r>
          </w:p>
          <w:p w14:paraId="2F462F66" w14:textId="32952197" w:rsidR="00A26A80" w:rsidRPr="00A26A80" w:rsidRDefault="00A26A80" w:rsidP="00DF5603">
            <w:pPr>
              <w:spacing w:before="240"/>
              <w:rPr>
                <w:b/>
                <w:bCs/>
                <w:sz w:val="22"/>
                <w:szCs w:val="22"/>
              </w:rPr>
            </w:pPr>
            <w:r w:rsidRPr="00A26A80">
              <w:rPr>
                <w:b/>
                <w:bCs/>
                <w:sz w:val="22"/>
                <w:szCs w:val="22"/>
              </w:rPr>
              <w:t>AND</w:t>
            </w:r>
          </w:p>
          <w:p w14:paraId="6CA64901" w14:textId="2816D64F" w:rsidR="00A26A80" w:rsidRPr="00677CAA" w:rsidRDefault="00A26A80" w:rsidP="00DF5603">
            <w:pPr>
              <w:spacing w:before="240"/>
              <w:rPr>
                <w:sz w:val="22"/>
                <w:szCs w:val="22"/>
              </w:rPr>
            </w:pPr>
            <w:r>
              <w:rPr>
                <w:sz w:val="22"/>
                <w:szCs w:val="22"/>
              </w:rPr>
              <w:t>T</w:t>
            </w:r>
            <w:r w:rsidRPr="00A26A80">
              <w:rPr>
                <w:sz w:val="22"/>
                <w:szCs w:val="22"/>
              </w:rPr>
              <w:t>he root cause will be determined and corrected to prevent future violations.</w:t>
            </w:r>
          </w:p>
        </w:tc>
        <w:tc>
          <w:tcPr>
            <w:tcW w:w="1980" w:type="dxa"/>
          </w:tcPr>
          <w:p w14:paraId="3397428D" w14:textId="60498849" w:rsidR="00A26A80" w:rsidRPr="00A26A80" w:rsidRDefault="00A26A80" w:rsidP="00A26A80">
            <w:pPr>
              <w:spacing w:before="240"/>
              <w:rPr>
                <w:sz w:val="22"/>
                <w:szCs w:val="22"/>
              </w:rPr>
            </w:pPr>
            <w:r w:rsidRPr="00A26A80">
              <w:rPr>
                <w:sz w:val="22"/>
                <w:szCs w:val="22"/>
              </w:rPr>
              <w:t>Records of annual allergen testing to verify cleaning practices are effective.</w:t>
            </w:r>
          </w:p>
          <w:p w14:paraId="69ABC652" w14:textId="4CE0E5DA" w:rsidR="00A26A80" w:rsidRPr="00677CAA" w:rsidRDefault="00A26A80" w:rsidP="00A26A80">
            <w:pPr>
              <w:spacing w:before="240"/>
              <w:rPr>
                <w:sz w:val="22"/>
                <w:szCs w:val="22"/>
              </w:rPr>
            </w:pPr>
            <w:r w:rsidRPr="00A26A80">
              <w:rPr>
                <w:sz w:val="22"/>
                <w:szCs w:val="22"/>
              </w:rPr>
              <w:t>Weekly review of sanitation monitoring and correction records.</w:t>
            </w:r>
          </w:p>
        </w:tc>
        <w:tc>
          <w:tcPr>
            <w:tcW w:w="2070" w:type="dxa"/>
          </w:tcPr>
          <w:p w14:paraId="304F35B2" w14:textId="014FE7DD" w:rsidR="00A26A80" w:rsidRPr="00A26A80" w:rsidRDefault="00A26A80" w:rsidP="00A26A80">
            <w:pPr>
              <w:spacing w:before="240"/>
              <w:rPr>
                <w:sz w:val="22"/>
                <w:szCs w:val="22"/>
              </w:rPr>
            </w:pPr>
            <w:r w:rsidRPr="00A26A80">
              <w:rPr>
                <w:sz w:val="22"/>
                <w:szCs w:val="22"/>
              </w:rPr>
              <w:t>Sanitation monitoring records</w:t>
            </w:r>
          </w:p>
          <w:p w14:paraId="69CBB5F8" w14:textId="77777777" w:rsidR="00A26A80" w:rsidRPr="00A26A80" w:rsidRDefault="00A26A80" w:rsidP="00A26A80">
            <w:pPr>
              <w:spacing w:before="240"/>
              <w:rPr>
                <w:sz w:val="22"/>
                <w:szCs w:val="22"/>
              </w:rPr>
            </w:pPr>
            <w:r w:rsidRPr="00A26A80">
              <w:rPr>
                <w:sz w:val="22"/>
                <w:szCs w:val="22"/>
              </w:rPr>
              <w:t>Correction records, if necessary</w:t>
            </w:r>
          </w:p>
          <w:p w14:paraId="4710CFCC" w14:textId="77777777" w:rsidR="00A26A80" w:rsidRPr="00A26A80" w:rsidRDefault="00A26A80" w:rsidP="00A26A80">
            <w:pPr>
              <w:spacing w:before="240"/>
              <w:rPr>
                <w:sz w:val="22"/>
                <w:szCs w:val="22"/>
              </w:rPr>
            </w:pPr>
            <w:r w:rsidRPr="00A26A80">
              <w:rPr>
                <w:sz w:val="22"/>
                <w:szCs w:val="22"/>
              </w:rPr>
              <w:t>Verification records - Annual allergen test results and record reviews</w:t>
            </w:r>
          </w:p>
          <w:p w14:paraId="7083A0F1" w14:textId="6B00A3BE" w:rsidR="00A26A80" w:rsidRPr="00677CAA" w:rsidRDefault="00A26A80" w:rsidP="00A26A80">
            <w:pPr>
              <w:spacing w:before="240"/>
              <w:rPr>
                <w:sz w:val="22"/>
                <w:szCs w:val="22"/>
              </w:rPr>
            </w:pPr>
            <w:r w:rsidRPr="00A26A80">
              <w:rPr>
                <w:sz w:val="22"/>
                <w:szCs w:val="22"/>
              </w:rPr>
              <w:t>PCQI training records (PCHF only)</w:t>
            </w:r>
          </w:p>
        </w:tc>
      </w:tr>
    </w:tbl>
    <w:p w14:paraId="54ED33CB" w14:textId="77777777" w:rsidR="00A26A80" w:rsidRDefault="00A26A80" w:rsidP="00A26A80"/>
    <w:p w14:paraId="53E08637" w14:textId="77777777" w:rsidR="00A26A80" w:rsidRDefault="00A26A80" w:rsidP="00A26A80">
      <w:pPr>
        <w:sectPr w:rsidR="00A26A80" w:rsidSect="00A26A80">
          <w:pgSz w:w="15840" w:h="12240" w:orient="landscape"/>
          <w:pgMar w:top="1440" w:right="1440" w:bottom="1440" w:left="1440" w:header="720" w:footer="720" w:gutter="0"/>
          <w:pgNumType w:chapStyle="1"/>
          <w:cols w:space="720"/>
          <w:docGrid w:linePitch="360"/>
        </w:sectPr>
      </w:pPr>
    </w:p>
    <w:p w14:paraId="4178D718" w14:textId="54526183" w:rsidR="00A26A80" w:rsidRDefault="005964A5" w:rsidP="00846B8F">
      <w:pPr>
        <w:pStyle w:val="Heading2"/>
        <w:numPr>
          <w:ilvl w:val="1"/>
          <w:numId w:val="185"/>
        </w:numPr>
      </w:pPr>
      <w:bookmarkStart w:id="250" w:name="_Toc208503321"/>
      <w:r>
        <w:lastRenderedPageBreak/>
        <w:t>References</w:t>
      </w:r>
      <w:bookmarkEnd w:id="250"/>
    </w:p>
    <w:p w14:paraId="035ED0F7" w14:textId="77777777" w:rsidR="002B4698" w:rsidRDefault="002B4698" w:rsidP="002B4698">
      <w:pPr>
        <w:rPr>
          <w:rFonts w:ascii="Times New Roman" w:hAnsi="Times New Roman"/>
        </w:rPr>
      </w:pPr>
      <w:r>
        <w:t xml:space="preserve">Afshan, T., &amp; Mathur, S. (2023). “Plenty of Allergens in the Sushi”- Food Allergy to Seaweed. Annals of Allergy, Asthma &amp; Immunology, 131(5), S169. </w:t>
      </w:r>
      <w:hyperlink r:id="rId184" w:history="1">
        <w:r>
          <w:rPr>
            <w:rStyle w:val="Hyperlink"/>
            <w:rFonts w:cs="Calibri"/>
            <w:color w:val="1155CC"/>
          </w:rPr>
          <w:t>https://doi.org/10.1016/j.anai.2023.08.518</w:t>
        </w:r>
      </w:hyperlink>
    </w:p>
    <w:p w14:paraId="67834E79" w14:textId="77777777" w:rsidR="002B4698" w:rsidRDefault="002B4698" w:rsidP="002B4698">
      <w:r>
        <w:t xml:space="preserve">Ashworth, G. (2021). Sulphur dioxide in commercially produced microalgae. Food Science and Technology. </w:t>
      </w:r>
      <w:hyperlink r:id="rId185" w:history="1">
        <w:r>
          <w:rPr>
            <w:rStyle w:val="Hyperlink"/>
            <w:rFonts w:cs="Calibri"/>
            <w:color w:val="1155CC"/>
          </w:rPr>
          <w:t>https://doi.org/10.1002/fsat.3510_2.x</w:t>
        </w:r>
      </w:hyperlink>
    </w:p>
    <w:p w14:paraId="33666162" w14:textId="5A775D65" w:rsidR="002B4698" w:rsidRDefault="002B4698" w:rsidP="002B4698">
      <w:r>
        <w:t xml:space="preserve">Banach, J. L., Hoffmans, Y., &amp; Faassen, E. J. (2024). A case study on Norwegian commercial harvesting and production of Saccharina latissima (Part 1): Effect of processing seaweed on chemical hazards, allergens, and microbiological hazards. Food Control, 162(December 2023), 110461. </w:t>
      </w:r>
      <w:hyperlink r:id="rId186" w:history="1">
        <w:r>
          <w:rPr>
            <w:rStyle w:val="Hyperlink"/>
            <w:rFonts w:cs="Calibri"/>
          </w:rPr>
          <w:t>https://doi.org/10.1016/j.foodcont.2024.110461</w:t>
        </w:r>
      </w:hyperlink>
    </w:p>
    <w:p w14:paraId="79B2B5E1" w14:textId="77777777" w:rsidR="002B4698" w:rsidRDefault="002B4698" w:rsidP="002B4698">
      <w:r>
        <w:t xml:space="preserve">Bito, T., Teng, F., &amp; Watanabe, F. (2017). Bioactive Compounds of Edible Purple Laver </w:t>
      </w:r>
      <w:r>
        <w:rPr>
          <w:i/>
          <w:iCs/>
        </w:rPr>
        <w:t>Porphyra sp</w:t>
      </w:r>
      <w:r>
        <w:t xml:space="preserve">. (Nori). Journal of Agricultural and Food Chemistry, 65(49), 10685–10692. </w:t>
      </w:r>
      <w:hyperlink r:id="rId187" w:history="1">
        <w:r>
          <w:rPr>
            <w:rStyle w:val="Hyperlink"/>
            <w:rFonts w:cs="Calibri"/>
            <w:color w:val="1155CC"/>
          </w:rPr>
          <w:t>https://doi.org/10.1021/acs.jafc.7b04688</w:t>
        </w:r>
      </w:hyperlink>
    </w:p>
    <w:p w14:paraId="57F86B4D" w14:textId="77777777" w:rsidR="002B4698" w:rsidRPr="000B1F22" w:rsidRDefault="002B4698" w:rsidP="002B4698">
      <w:pPr>
        <w:rPr>
          <w:lang w:val="es-ES"/>
        </w:rPr>
      </w:pPr>
      <w:r>
        <w:t xml:space="preserve">Duffy, J. E. (1990). Amphipods on seaweeds: partners or pests? </w:t>
      </w:r>
      <w:r w:rsidRPr="000B1F22">
        <w:rPr>
          <w:lang w:val="es-ES"/>
        </w:rPr>
        <w:t xml:space="preserve">Oecologia, 83(2), 267–276. </w:t>
      </w:r>
      <w:hyperlink r:id="rId188" w:history="1">
        <w:r w:rsidRPr="000B1F22">
          <w:rPr>
            <w:rStyle w:val="Hyperlink"/>
            <w:rFonts w:cs="Calibri"/>
            <w:color w:val="1155CC"/>
            <w:lang w:val="es-ES"/>
          </w:rPr>
          <w:t>https://doi.org/10.1007/BF00317764</w:t>
        </w:r>
      </w:hyperlink>
    </w:p>
    <w:p w14:paraId="70395ED5" w14:textId="77777777" w:rsidR="002B4698" w:rsidRDefault="002B4698" w:rsidP="002B4698">
      <w:r w:rsidRPr="00F85DE5">
        <w:rPr>
          <w:lang w:val="es-ES"/>
        </w:rPr>
        <w:t xml:space="preserve">USFDA. </w:t>
      </w:r>
      <w:r>
        <w:t xml:space="preserve">(2019). CHAPTER 19: Undeclared Major Food Allergens And Food Intolerance Substances. In Fish and Fishery Products Hazard and Control Guidance. June 2022 Edition. United States Food and Drug Administration (USFDA). </w:t>
      </w:r>
      <w:hyperlink r:id="rId189" w:history="1">
        <w:r>
          <w:rPr>
            <w:rStyle w:val="Hyperlink"/>
            <w:rFonts w:cs="Calibri"/>
            <w:color w:val="1155CC"/>
          </w:rPr>
          <w:t>https://www.fda.gov/media/80337/download</w:t>
        </w:r>
      </w:hyperlink>
    </w:p>
    <w:p w14:paraId="3108D6DD" w14:textId="77777777" w:rsidR="002B4698" w:rsidRDefault="002B4698" w:rsidP="002B4698">
      <w:r>
        <w:t xml:space="preserve">Gutow, L., Poore, A. G. B., Díaz Poblete, M. A., Villalobos, V., &amp; Thiel, M. (2020). Small burrowing amphipods cause major damage in a large kelp. Proceedings of the Royal Society B: Biological Sciences, 287(1926), 1–9. </w:t>
      </w:r>
      <w:hyperlink r:id="rId190" w:history="1">
        <w:r>
          <w:rPr>
            <w:rStyle w:val="Hyperlink"/>
            <w:rFonts w:cs="Calibri"/>
            <w:color w:val="1155CC"/>
          </w:rPr>
          <w:t>https://doi.org/10.1098/rspb.2020.0330</w:t>
        </w:r>
      </w:hyperlink>
    </w:p>
    <w:p w14:paraId="3B27AE55" w14:textId="77777777" w:rsidR="002B4698" w:rsidRPr="000B1F22" w:rsidRDefault="002B4698" w:rsidP="002B4698">
      <w:pPr>
        <w:rPr>
          <w:lang w:val="es-ES"/>
        </w:rPr>
      </w:pPr>
      <w:r>
        <w:t xml:space="preserve">Mildenberger, J., Stangeland, J. K., &amp; Rebours, C. (2022). Antioxidative activities, phenolic compounds and marine food allergens in the macroalgae </w:t>
      </w:r>
      <w:r>
        <w:rPr>
          <w:i/>
          <w:iCs/>
        </w:rPr>
        <w:t>Saccharina latissima</w:t>
      </w:r>
      <w:r>
        <w:t xml:space="preserve"> produced in integrated multi-trophic aquaculture systems. </w:t>
      </w:r>
      <w:r w:rsidRPr="000B1F22">
        <w:rPr>
          <w:lang w:val="es-ES"/>
        </w:rPr>
        <w:t xml:space="preserve">Aquaculture, 546, 737386. </w:t>
      </w:r>
      <w:hyperlink r:id="rId191" w:history="1">
        <w:r w:rsidRPr="000B1F22">
          <w:rPr>
            <w:rStyle w:val="Hyperlink"/>
            <w:rFonts w:cs="Calibri"/>
            <w:color w:val="1155CC"/>
            <w:lang w:val="es-ES"/>
          </w:rPr>
          <w:t>https://doi.org/10.1016/j.aquaculture.2021.737386</w:t>
        </w:r>
      </w:hyperlink>
    </w:p>
    <w:p w14:paraId="27D0C59E" w14:textId="7C57C8BE" w:rsidR="002B4698" w:rsidRPr="002B4698" w:rsidRDefault="002B4698" w:rsidP="002B4698">
      <w:r w:rsidRPr="000B1F22">
        <w:rPr>
          <w:lang w:val="es-ES"/>
        </w:rPr>
        <w:t xml:space="preserve">Motoyama, K., Hamada, Y., Nagashima, Y., &amp; Shiomi, K. (2007). </w:t>
      </w:r>
      <w:r>
        <w:t xml:space="preserve">Allergenicity and allergens of amphipods found in nori (dried laver). Food Additives and Contaminants, 24(9), 917–922. </w:t>
      </w:r>
      <w:hyperlink r:id="rId192" w:history="1">
        <w:r>
          <w:rPr>
            <w:rStyle w:val="Hyperlink"/>
            <w:rFonts w:cs="Calibri"/>
            <w:color w:val="1155CC"/>
          </w:rPr>
          <w:t>https://doi.org/10.1080/02652030701305454</w:t>
        </w:r>
      </w:hyperlink>
    </w:p>
    <w:p w14:paraId="2C187569" w14:textId="77777777" w:rsidR="005964A5" w:rsidRDefault="005964A5" w:rsidP="005964A5"/>
    <w:p w14:paraId="211B7F7D" w14:textId="77777777" w:rsidR="005964A5" w:rsidRDefault="005964A5" w:rsidP="005964A5">
      <w:pPr>
        <w:sectPr w:rsidR="005964A5" w:rsidSect="009E0CC2">
          <w:pgSz w:w="12240" w:h="15840"/>
          <w:pgMar w:top="1440" w:right="1440" w:bottom="1440" w:left="1440" w:header="720" w:footer="720" w:gutter="0"/>
          <w:pgNumType w:chapStyle="1"/>
          <w:cols w:space="720"/>
          <w:docGrid w:linePitch="360"/>
        </w:sectPr>
      </w:pPr>
    </w:p>
    <w:p w14:paraId="2BD18D03" w14:textId="2A598D3B" w:rsidR="005964A5" w:rsidRDefault="005964A5" w:rsidP="00691E23">
      <w:pPr>
        <w:pStyle w:val="Heading1"/>
      </w:pPr>
      <w:bookmarkStart w:id="251" w:name="_Toc208503322"/>
      <w:bookmarkStart w:id="252" w:name="_Toc210042864"/>
      <w:r>
        <w:lastRenderedPageBreak/>
        <w:t>Physical Hazards</w:t>
      </w:r>
      <w:bookmarkEnd w:id="251"/>
      <w:bookmarkEnd w:id="252"/>
    </w:p>
    <w:p w14:paraId="738AD320" w14:textId="77777777" w:rsidR="005964A5" w:rsidRDefault="005964A5" w:rsidP="00441BE0">
      <w:pPr>
        <w:pStyle w:val="Heading2"/>
      </w:pPr>
      <w:bookmarkStart w:id="253" w:name="_Toc208503323"/>
      <w:r>
        <w:t>General Background: Understanding the Potential Hazard</w:t>
      </w:r>
      <w:bookmarkEnd w:id="253"/>
    </w:p>
    <w:p w14:paraId="2FD26544" w14:textId="68026992" w:rsidR="005964A5" w:rsidRDefault="005964A5" w:rsidP="00490E45">
      <w:pPr>
        <w:spacing w:before="240"/>
      </w:pPr>
      <w:r>
        <w:t>The FDA’s Health Hazard Evaluation Board identifies physical fragments between 0.3 inches (7 mm) and 1 inch (25 mm) in length to be of most concern, warranting regulatory action for all consumable products including seaweed (USFDA, 2015a). Fragments smaller than 0.3 inches, though less visible, can also pose risks—especially to vulnerable consumers such as small children. Producers/processors should consider their target consumers when developing controls for physical fragments within their facility.</w:t>
      </w:r>
    </w:p>
    <w:p w14:paraId="3583B83F" w14:textId="3F98FAED" w:rsidR="005964A5" w:rsidRDefault="005964A5" w:rsidP="005964A5">
      <w:r>
        <w:t>Physical hazards in seaweed products occur when foreign materials inadvertently enter the product during growing, harvesting, processing, packaging, or distribution. These materials can pose significant risks to consumer safety, including choking, digestive tract injuries, or dental damage. Common physical hazards identified in seaweed production include metal, glass, plastic, rope fibers, seeding twine, and other physical contaminants like stones or shells (FAO &amp; WHO, 2022; Turner et al., 2021).</w:t>
      </w:r>
    </w:p>
    <w:p w14:paraId="19401ADC" w14:textId="77777777" w:rsidR="005964A5" w:rsidRDefault="005964A5" w:rsidP="00441BE0">
      <w:pPr>
        <w:pStyle w:val="Heading2"/>
      </w:pPr>
      <w:bookmarkStart w:id="254" w:name="_Toc208503324"/>
      <w:r>
        <w:t>Metal</w:t>
      </w:r>
      <w:bookmarkEnd w:id="254"/>
    </w:p>
    <w:p w14:paraId="4B5338D2" w14:textId="77777777" w:rsidR="005964A5" w:rsidRDefault="005964A5" w:rsidP="00691E23">
      <w:pPr>
        <w:pStyle w:val="Heading3"/>
      </w:pPr>
      <w:bookmarkStart w:id="255" w:name="_Toc208503325"/>
      <w:r>
        <w:t>Sources</w:t>
      </w:r>
      <w:bookmarkEnd w:id="255"/>
    </w:p>
    <w:p w14:paraId="52B7B464" w14:textId="7FDAD7CF" w:rsidR="005964A5" w:rsidRDefault="005964A5" w:rsidP="00490E45">
      <w:pPr>
        <w:spacing w:before="240"/>
      </w:pPr>
      <w:r>
        <w:t>Metal fragments can pose significant safety risks and must be controlled when they are reasonably likely or foreseeable in a product (Codex Alimentarius, 2019; USFDA, 2015a). Metal can be unintentionally introduced into seaweed products through damaged equipment, cutting tools, or storage containers. Automated processing procedures, such as mechanical cutting for kelp stipes or noodle production, present particular risks. Small parts—e.g., screws, bolts, washers, and nuts—may fall into/find their way into seaweed products if processing machines are not properly maintained or inspected, or when these intact parts are misplaced during equipment maintenance and reassembly.</w:t>
      </w:r>
    </w:p>
    <w:p w14:paraId="6C9053F1" w14:textId="77777777" w:rsidR="005964A5" w:rsidRDefault="005964A5" w:rsidP="00691E23">
      <w:pPr>
        <w:pStyle w:val="Heading3"/>
      </w:pPr>
      <w:bookmarkStart w:id="256" w:name="_Toc208503326"/>
      <w:r>
        <w:t>Controls</w:t>
      </w:r>
      <w:bookmarkEnd w:id="256"/>
    </w:p>
    <w:p w14:paraId="77F128CD" w14:textId="26ED7CD6" w:rsidR="005964A5" w:rsidRDefault="005964A5" w:rsidP="00846B8F">
      <w:pPr>
        <w:pStyle w:val="ListParagraph"/>
        <w:numPr>
          <w:ilvl w:val="0"/>
          <w:numId w:val="98"/>
        </w:numPr>
        <w:spacing w:before="240"/>
      </w:pPr>
      <w:r w:rsidRPr="005964A5">
        <w:rPr>
          <w:b/>
          <w:bCs/>
        </w:rPr>
        <w:t>Prevention:</w:t>
      </w:r>
      <w:r>
        <w:t xml:space="preserve"> Metal contamination can be prevented by performing routine maintenance, inventory, and inspection of equipment and tools used for processing. This will help to prevent and address wear and tear. Training personnel to identify and report potential risks of metal contamination will also be crucial when relying on prevention alone (FAO &amp; WHO, 2022).</w:t>
      </w:r>
    </w:p>
    <w:p w14:paraId="79B7422C" w14:textId="7535AAFC" w:rsidR="005964A5" w:rsidRDefault="005964A5" w:rsidP="00846B8F">
      <w:pPr>
        <w:pStyle w:val="ListParagraph"/>
        <w:numPr>
          <w:ilvl w:val="0"/>
          <w:numId w:val="98"/>
        </w:numPr>
      </w:pPr>
      <w:r w:rsidRPr="005964A5">
        <w:rPr>
          <w:b/>
          <w:bCs/>
        </w:rPr>
        <w:t>Detection:</w:t>
      </w:r>
      <w:r>
        <w:t xml:space="preserve"> Detection is achieved through the use of metal detectors or X-ray systems designed to detect metal fragments in processed and packaged products.</w:t>
      </w:r>
    </w:p>
    <w:p w14:paraId="06727C03" w14:textId="77777777" w:rsidR="005964A5" w:rsidRDefault="005964A5" w:rsidP="00846B8F">
      <w:pPr>
        <w:pStyle w:val="ListParagraph"/>
        <w:numPr>
          <w:ilvl w:val="0"/>
          <w:numId w:val="98"/>
        </w:numPr>
      </w:pPr>
      <w:r w:rsidRPr="005964A5">
        <w:rPr>
          <w:b/>
          <w:bCs/>
        </w:rPr>
        <w:lastRenderedPageBreak/>
        <w:t>Removal:</w:t>
      </w:r>
      <w:r>
        <w:t xml:space="preserve"> Removal of metal fragments from seaweeds largely applies to blended products that can be passed through a sieve to remove potentially hazardous metal fragments.</w:t>
      </w:r>
    </w:p>
    <w:p w14:paraId="710C3376" w14:textId="77777777" w:rsidR="005964A5" w:rsidRDefault="005964A5" w:rsidP="00441BE0">
      <w:pPr>
        <w:pStyle w:val="Heading2"/>
      </w:pPr>
      <w:bookmarkStart w:id="257" w:name="_Toc208503327"/>
      <w:r>
        <w:t>Glass</w:t>
      </w:r>
      <w:bookmarkEnd w:id="257"/>
    </w:p>
    <w:p w14:paraId="7C1F34CB" w14:textId="77777777" w:rsidR="005964A5" w:rsidRDefault="005964A5" w:rsidP="00691E23">
      <w:pPr>
        <w:pStyle w:val="Heading3"/>
      </w:pPr>
      <w:bookmarkStart w:id="258" w:name="_Toc208503328"/>
      <w:r>
        <w:t>Sources</w:t>
      </w:r>
      <w:bookmarkEnd w:id="258"/>
    </w:p>
    <w:p w14:paraId="5439448F" w14:textId="07699E38" w:rsidR="005964A5" w:rsidRDefault="005964A5" w:rsidP="00490E45">
      <w:pPr>
        <w:spacing w:before="240"/>
      </w:pPr>
      <w:r>
        <w:t xml:space="preserve">Whenever glass is used for packaging or storage in a facility, it should be considered a significant physical hazard. In general, glass should never be used or present in a food processing facility, unless used for final product packaging. Shatterproof glass or plastic covers should be considered when glass is needed for certain fixtures and equipment. Processors manufacturing sauces, spices, and </w:t>
      </w:r>
      <w:hyperlink w:anchor="_Fermentation" w:tooltip="A process commonly used to preserve and/or enhance foods, which involves the chemical breakdown of molecules such as sugars by bacteria into acids. This rapidly reduces the pH of the product and is another form of pickling." w:history="1">
        <w:r w:rsidRPr="00BC7922">
          <w:rPr>
            <w:rStyle w:val="Hyperlink"/>
          </w:rPr>
          <w:t>fermented</w:t>
        </w:r>
      </w:hyperlink>
      <w:r>
        <w:t xml:space="preserve"> products that are typically packaged in glass containers should develop procedures to prevent breakage and glass fragment contamination.</w:t>
      </w:r>
    </w:p>
    <w:p w14:paraId="340802AF" w14:textId="77777777" w:rsidR="005964A5" w:rsidRDefault="005964A5" w:rsidP="00691E23">
      <w:pPr>
        <w:pStyle w:val="Heading3"/>
      </w:pPr>
      <w:bookmarkStart w:id="259" w:name="_Toc208503329"/>
      <w:r>
        <w:t>Controls</w:t>
      </w:r>
      <w:bookmarkEnd w:id="259"/>
    </w:p>
    <w:p w14:paraId="325BBA28" w14:textId="77777777" w:rsidR="005964A5" w:rsidRDefault="005964A5" w:rsidP="00490E45">
      <w:pPr>
        <w:spacing w:before="240"/>
        <w:contextualSpacing/>
      </w:pPr>
      <w:r>
        <w:t>Control of glass contamination within a facility requires procedures in place designed to prevent and detect potential contamination:</w:t>
      </w:r>
    </w:p>
    <w:p w14:paraId="04016E6C" w14:textId="77777777" w:rsidR="005964A5" w:rsidRDefault="005964A5" w:rsidP="00846B8F">
      <w:pPr>
        <w:pStyle w:val="ListParagraph"/>
        <w:numPr>
          <w:ilvl w:val="0"/>
          <w:numId w:val="99"/>
        </w:numPr>
      </w:pPr>
      <w:r>
        <w:t>Use shatterproof glass or protective covers on fixtures and equipment.</w:t>
      </w:r>
    </w:p>
    <w:p w14:paraId="45F5C933" w14:textId="04E3E7C4" w:rsidR="005964A5" w:rsidRDefault="005964A5" w:rsidP="00846B8F">
      <w:pPr>
        <w:pStyle w:val="ListParagraph"/>
        <w:numPr>
          <w:ilvl w:val="0"/>
          <w:numId w:val="99"/>
        </w:numPr>
      </w:pPr>
      <w:r>
        <w:t>Make it a routine practice to visually inspect glass containers, equipment, and light fixtures at receipt, before use, and regularly thereafter (Turner et al., 2021).</w:t>
      </w:r>
    </w:p>
    <w:p w14:paraId="01348A90" w14:textId="363EF13E" w:rsidR="005964A5" w:rsidRDefault="005964A5" w:rsidP="00846B8F">
      <w:pPr>
        <w:pStyle w:val="ListParagraph"/>
        <w:numPr>
          <w:ilvl w:val="0"/>
          <w:numId w:val="99"/>
        </w:numPr>
      </w:pPr>
      <w:r>
        <w:t>Routinely inspect the facility for signs of broken glass that could indicate potential contamination of the food.</w:t>
      </w:r>
    </w:p>
    <w:p w14:paraId="57B47267" w14:textId="36861E57" w:rsidR="005964A5" w:rsidRDefault="005964A5" w:rsidP="00846B8F">
      <w:pPr>
        <w:pStyle w:val="ListParagraph"/>
        <w:numPr>
          <w:ilvl w:val="0"/>
          <w:numId w:val="99"/>
        </w:numPr>
      </w:pPr>
      <w:r>
        <w:t>Establish breakage protocols, including isolating affected products, inspecting for contamination, and through cleaning of affected areas.</w:t>
      </w:r>
    </w:p>
    <w:p w14:paraId="4095CD2F" w14:textId="77777777" w:rsidR="005964A5" w:rsidRDefault="005964A5" w:rsidP="00441BE0">
      <w:pPr>
        <w:pStyle w:val="Heading2"/>
      </w:pPr>
      <w:bookmarkStart w:id="260" w:name="_Toc208503330"/>
      <w:r>
        <w:t>Plastic</w:t>
      </w:r>
      <w:bookmarkEnd w:id="260"/>
    </w:p>
    <w:p w14:paraId="4DED5B5D" w14:textId="77777777" w:rsidR="005964A5" w:rsidRDefault="005964A5" w:rsidP="00691E23">
      <w:pPr>
        <w:pStyle w:val="Heading3"/>
      </w:pPr>
      <w:bookmarkStart w:id="261" w:name="_Toc208503331"/>
      <w:r>
        <w:t>Sources</w:t>
      </w:r>
      <w:bookmarkEnd w:id="261"/>
    </w:p>
    <w:p w14:paraId="25D6F014" w14:textId="67BCEADF" w:rsidR="005964A5" w:rsidRDefault="005964A5" w:rsidP="00490E45">
      <w:pPr>
        <w:spacing w:before="240"/>
      </w:pPr>
      <w:r>
        <w:t>The use of plastic is common in most processing facilities and kitchens. When consumed, plastic fragments in foods can pose a similar risk of physical harm as glass and metal. Plastic fragments can enter products from damaged packaging materials, worn processing equipment, or debris in the seaweed harvest environment.</w:t>
      </w:r>
    </w:p>
    <w:p w14:paraId="41C4FB51" w14:textId="77777777" w:rsidR="005964A5" w:rsidRDefault="005964A5" w:rsidP="00691E23">
      <w:pPr>
        <w:pStyle w:val="Heading3"/>
      </w:pPr>
      <w:bookmarkStart w:id="262" w:name="_Toc208503332"/>
      <w:r>
        <w:t>Controls</w:t>
      </w:r>
      <w:bookmarkEnd w:id="262"/>
    </w:p>
    <w:p w14:paraId="3CEA3A47" w14:textId="558B486C" w:rsidR="005964A5" w:rsidRDefault="005964A5" w:rsidP="00490E45">
      <w:pPr>
        <w:spacing w:before="240"/>
        <w:contextualSpacing/>
      </w:pPr>
      <w:r>
        <w:t>To prevent plastic fragments from entering foods:</w:t>
      </w:r>
    </w:p>
    <w:p w14:paraId="00CA8632" w14:textId="77777777" w:rsidR="005964A5" w:rsidRDefault="005964A5" w:rsidP="00846B8F">
      <w:pPr>
        <w:pStyle w:val="ListParagraph"/>
        <w:numPr>
          <w:ilvl w:val="0"/>
          <w:numId w:val="100"/>
        </w:numPr>
      </w:pPr>
      <w:r>
        <w:t>Ensure proper maintenance of packaging and processing equipment to prevent plastic breakage.</w:t>
      </w:r>
    </w:p>
    <w:p w14:paraId="748ADBD1" w14:textId="5B664826" w:rsidR="005964A5" w:rsidRDefault="005964A5" w:rsidP="00846B8F">
      <w:pPr>
        <w:pStyle w:val="ListParagraph"/>
        <w:numPr>
          <w:ilvl w:val="0"/>
          <w:numId w:val="100"/>
        </w:numPr>
      </w:pPr>
      <w:r>
        <w:lastRenderedPageBreak/>
        <w:t>Replace plastic equipment and parts when they begin to show signs of wear or brittleness.</w:t>
      </w:r>
    </w:p>
    <w:p w14:paraId="0E1FCEDA" w14:textId="2695EB27" w:rsidR="005964A5" w:rsidRDefault="005964A5" w:rsidP="00846B8F">
      <w:pPr>
        <w:pStyle w:val="ListParagraph"/>
        <w:numPr>
          <w:ilvl w:val="0"/>
          <w:numId w:val="100"/>
        </w:numPr>
      </w:pPr>
      <w:hyperlink w:anchor="PrimaryProcessor" w:tooltip="A processor sourcing and receiving raw materials directly from the farmer or harvester." w:history="1">
        <w:r w:rsidRPr="0051253B">
          <w:rPr>
            <w:rStyle w:val="Hyperlink"/>
          </w:rPr>
          <w:t>Primary processors</w:t>
        </w:r>
      </w:hyperlink>
      <w:r>
        <w:t xml:space="preserve"> should work with producers to minimize the risk of external plastic contamination during harvest.</w:t>
      </w:r>
    </w:p>
    <w:p w14:paraId="754F2BD4" w14:textId="77777777" w:rsidR="005964A5" w:rsidRDefault="005964A5" w:rsidP="00846B8F">
      <w:pPr>
        <w:pStyle w:val="ListParagraph"/>
        <w:numPr>
          <w:ilvl w:val="0"/>
          <w:numId w:val="100"/>
        </w:numPr>
      </w:pPr>
      <w:r>
        <w:t>Conduct visual inspections and implement quality control checks for breakage of equipment and packaging materials during processing (Smith et al., 2022).</w:t>
      </w:r>
    </w:p>
    <w:p w14:paraId="79514B6A" w14:textId="77777777" w:rsidR="005964A5" w:rsidRDefault="005964A5" w:rsidP="00441BE0">
      <w:pPr>
        <w:pStyle w:val="Heading2"/>
      </w:pPr>
      <w:bookmarkStart w:id="263" w:name="_Toc208503333"/>
      <w:r>
        <w:t>Other Physical Contaminants</w:t>
      </w:r>
      <w:bookmarkEnd w:id="263"/>
    </w:p>
    <w:p w14:paraId="3EC714D3" w14:textId="77777777" w:rsidR="005964A5" w:rsidRDefault="005964A5" w:rsidP="00691E23">
      <w:pPr>
        <w:pStyle w:val="Heading3"/>
      </w:pPr>
      <w:bookmarkStart w:id="264" w:name="_Toc208503334"/>
      <w:r>
        <w:t>Sources</w:t>
      </w:r>
      <w:bookmarkEnd w:id="264"/>
    </w:p>
    <w:p w14:paraId="7676AB1B" w14:textId="7B8EAC4E" w:rsidR="005964A5" w:rsidRDefault="005964A5" w:rsidP="00490E45">
      <w:pPr>
        <w:spacing w:before="240"/>
      </w:pPr>
      <w:r>
        <w:t>Additional physical contaminants, such as stones, shells, or other debris, can enter seaweed during growing and harvesting. These contaminants are particularly relevant in wild-harvested seaweed operations (FAO &amp; WHO, 2022). In farmed seaweed, seed string is the most commonly reported physical contaminant. This material can enter the crop when seaweed is cut too close to the holdfast during harvest. Although not lethal, seed string is considered a contaminant and is generally regarded as undesirable by consumers.</w:t>
      </w:r>
    </w:p>
    <w:p w14:paraId="418F1D73" w14:textId="77777777" w:rsidR="005964A5" w:rsidRDefault="005964A5" w:rsidP="00846B8F">
      <w:pPr>
        <w:pStyle w:val="Heading3"/>
        <w:numPr>
          <w:ilvl w:val="2"/>
          <w:numId w:val="187"/>
        </w:numPr>
      </w:pPr>
      <w:bookmarkStart w:id="265" w:name="_Toc208503335"/>
      <w:r>
        <w:t>Controls</w:t>
      </w:r>
      <w:bookmarkEnd w:id="265"/>
    </w:p>
    <w:p w14:paraId="123D67E1" w14:textId="77777777" w:rsidR="004314BA" w:rsidRDefault="005964A5" w:rsidP="00490E45">
      <w:pPr>
        <w:spacing w:before="240"/>
        <w:contextualSpacing/>
      </w:pPr>
      <w:r>
        <w:t>To prevent foreign materials from entering seaweeds at harvest or processing plant</w:t>
      </w:r>
    </w:p>
    <w:p w14:paraId="2A699B52" w14:textId="4B0176F5" w:rsidR="005964A5" w:rsidRDefault="005964A5" w:rsidP="00490E45">
      <w:pPr>
        <w:spacing w:before="240"/>
        <w:contextualSpacing/>
      </w:pPr>
      <w:r>
        <w:t>s:</w:t>
      </w:r>
    </w:p>
    <w:p w14:paraId="30786AC3" w14:textId="02686F9E" w:rsidR="005964A5" w:rsidRDefault="005964A5" w:rsidP="00846B8F">
      <w:pPr>
        <w:pStyle w:val="ListParagraph"/>
        <w:numPr>
          <w:ilvl w:val="0"/>
          <w:numId w:val="101"/>
        </w:numPr>
      </w:pPr>
      <w:r>
        <w:t>Visually inspect and manually remove debris.</w:t>
      </w:r>
    </w:p>
    <w:p w14:paraId="16A489BE" w14:textId="6947CBF5" w:rsidR="005964A5" w:rsidRDefault="005964A5" w:rsidP="00846B8F">
      <w:pPr>
        <w:pStyle w:val="ListParagraph"/>
        <w:numPr>
          <w:ilvl w:val="0"/>
          <w:numId w:val="101"/>
        </w:numPr>
      </w:pPr>
      <w:r>
        <w:t>Rinse or wash the product.</w:t>
      </w:r>
    </w:p>
    <w:p w14:paraId="4144FBC4" w14:textId="77777777" w:rsidR="005964A5" w:rsidRDefault="005964A5" w:rsidP="00846B8F">
      <w:pPr>
        <w:pStyle w:val="ListParagraph"/>
        <w:numPr>
          <w:ilvl w:val="0"/>
          <w:numId w:val="101"/>
        </w:numPr>
      </w:pPr>
      <w:r>
        <w:t>Environmental assessments of harvest areas can help identify and mitigate sources of contamination. Primary processors should either conduct these assessments themselves or verify that producers have done so to ensure product safety.</w:t>
      </w:r>
    </w:p>
    <w:p w14:paraId="0E7B5B75" w14:textId="77777777" w:rsidR="005964A5" w:rsidRDefault="005964A5" w:rsidP="00846B8F">
      <w:pPr>
        <w:pStyle w:val="ListParagraph"/>
        <w:numPr>
          <w:ilvl w:val="0"/>
          <w:numId w:val="101"/>
        </w:numPr>
      </w:pPr>
      <w:r>
        <w:t>Primary processors can educate producers on the importance of maintaining harvesting equipment and implementing harvesting practices to help reduce this hazard (Codex Alimentarius, 2019).</w:t>
      </w:r>
    </w:p>
    <w:p w14:paraId="2D705565" w14:textId="77777777" w:rsidR="005964A5" w:rsidRDefault="005964A5" w:rsidP="00846B8F">
      <w:pPr>
        <w:pStyle w:val="Heading2"/>
        <w:numPr>
          <w:ilvl w:val="1"/>
          <w:numId w:val="187"/>
        </w:numPr>
      </w:pPr>
      <w:bookmarkStart w:id="266" w:name="_Toc208503336"/>
      <w:r>
        <w:t>Determining if the Hazard is Significant</w:t>
      </w:r>
      <w:bookmarkEnd w:id="266"/>
    </w:p>
    <w:p w14:paraId="4988DEE1" w14:textId="77777777" w:rsidR="005964A5" w:rsidRDefault="005964A5" w:rsidP="00490E45">
      <w:pPr>
        <w:spacing w:before="240"/>
        <w:contextualSpacing/>
      </w:pPr>
      <w:r>
        <w:t>Physical hazards, primarily metal, glass, and plastic, become significant—either “reasonably likely to occur” (HACCP) or “hazard requiring a preventive control” (PCHF)—when the likelihood of contamination is high or when the potential for injury is severe. Examples include, but are not limited to:</w:t>
      </w:r>
    </w:p>
    <w:p w14:paraId="22DB39C1" w14:textId="37082513" w:rsidR="005964A5" w:rsidRDefault="005964A5" w:rsidP="00846B8F">
      <w:pPr>
        <w:pStyle w:val="ListParagraph"/>
        <w:numPr>
          <w:ilvl w:val="0"/>
          <w:numId w:val="102"/>
        </w:numPr>
      </w:pPr>
      <w:r>
        <w:lastRenderedPageBreak/>
        <w:t xml:space="preserve">Highly automated equipment used to process and package products increases the risk of </w:t>
      </w:r>
      <w:r w:rsidRPr="005964A5">
        <w:rPr>
          <w:b/>
          <w:bCs/>
        </w:rPr>
        <w:t>metal</w:t>
      </w:r>
      <w:r>
        <w:t xml:space="preserve"> or </w:t>
      </w:r>
      <w:r w:rsidRPr="005964A5">
        <w:rPr>
          <w:b/>
          <w:bCs/>
        </w:rPr>
        <w:t>plastic</w:t>
      </w:r>
      <w:r>
        <w:t xml:space="preserve"> shards from equipment breakage or general wear. This warrants proper controls in place to prevent this significant hazard.</w:t>
      </w:r>
    </w:p>
    <w:p w14:paraId="4F4356B0" w14:textId="77777777" w:rsidR="005964A5" w:rsidRDefault="005964A5" w:rsidP="00846B8F">
      <w:pPr>
        <w:pStyle w:val="ListParagraph"/>
        <w:numPr>
          <w:ilvl w:val="0"/>
          <w:numId w:val="102"/>
        </w:numPr>
      </w:pPr>
      <w:r>
        <w:t xml:space="preserve">When </w:t>
      </w:r>
      <w:r w:rsidRPr="005964A5">
        <w:rPr>
          <w:b/>
          <w:bCs/>
        </w:rPr>
        <w:t>glass</w:t>
      </w:r>
      <w:r>
        <w:t xml:space="preserve"> jars are used as packaging material, glass should be considered a significant hazard, and controls should be implemented to prevent breakage and product contamination.</w:t>
      </w:r>
    </w:p>
    <w:p w14:paraId="656172E7" w14:textId="6DD18816" w:rsidR="005964A5" w:rsidRDefault="005964A5" w:rsidP="00846B8F">
      <w:pPr>
        <w:pStyle w:val="ListParagraph"/>
        <w:numPr>
          <w:ilvl w:val="0"/>
          <w:numId w:val="102"/>
        </w:numPr>
      </w:pPr>
      <w:r>
        <w:t xml:space="preserve">Although </w:t>
      </w:r>
      <w:r w:rsidRPr="005964A5">
        <w:rPr>
          <w:b/>
          <w:bCs/>
        </w:rPr>
        <w:t>stones</w:t>
      </w:r>
      <w:r>
        <w:t xml:space="preserve"> and </w:t>
      </w:r>
      <w:r w:rsidRPr="005964A5">
        <w:rPr>
          <w:b/>
          <w:bCs/>
        </w:rPr>
        <w:t>shells</w:t>
      </w:r>
      <w:r>
        <w:t xml:space="preserve"> may be less common, they can still pose a significant hazard due to risk of injury (Turner et al., 2021). If a harvest area has a history of physical contamination, it should be considered a significant hazard warranting controls.</w:t>
      </w:r>
    </w:p>
    <w:p w14:paraId="6682075E" w14:textId="0F552EE6" w:rsidR="005964A5" w:rsidRDefault="005964A5" w:rsidP="00490E45">
      <w:pPr>
        <w:spacing w:before="240"/>
      </w:pPr>
      <w:r w:rsidRPr="005964A5">
        <w:rPr>
          <w:b/>
          <w:bCs/>
        </w:rPr>
        <w:t>NOTE:</w:t>
      </w:r>
      <w:r>
        <w:t xml:space="preserve"> It is also important to establish standard operating procedures (SOPs) regarding employee personal belongings—such as phones, jewelry, and earbuds—to prevent these items from falling into or contaminating food products.</w:t>
      </w:r>
    </w:p>
    <w:p w14:paraId="2561A03B" w14:textId="77777777" w:rsidR="005964A5" w:rsidRDefault="005964A5" w:rsidP="00846B8F">
      <w:pPr>
        <w:pStyle w:val="Heading2"/>
        <w:numPr>
          <w:ilvl w:val="1"/>
          <w:numId w:val="187"/>
        </w:numPr>
      </w:pPr>
      <w:bookmarkStart w:id="267" w:name="_Toc208503337"/>
      <w:r>
        <w:t>Hazard Controls and Critical Control Points</w:t>
      </w:r>
      <w:bookmarkEnd w:id="267"/>
    </w:p>
    <w:p w14:paraId="359F8B0A" w14:textId="2D4CAD4F" w:rsidR="005964A5" w:rsidRDefault="005964A5" w:rsidP="005964A5">
      <w:r>
        <w:t>Three primary strategies can be used to control physical hazards in food: metal detection, visual inspection, and processing controls. While metal detectors are effective, they can be costly and may not always be necessary. Where appropriate, visual inspection can serve as a practical control measure for detecting metal hazards.</w:t>
      </w:r>
    </w:p>
    <w:p w14:paraId="6DA8FE24" w14:textId="4C253AFC" w:rsidR="00045395" w:rsidRDefault="00045395" w:rsidP="00C54E07">
      <w:pPr>
        <w:pStyle w:val="Caption"/>
      </w:pPr>
      <w:r w:rsidRPr="00D27879">
        <w:rPr>
          <w:b/>
          <w:bCs/>
        </w:rPr>
        <w:t xml:space="preserve">Table </w:t>
      </w:r>
      <w:r w:rsidR="00896F22" w:rsidRPr="00D27879">
        <w:rPr>
          <w:b/>
          <w:bCs/>
        </w:rPr>
        <w:fldChar w:fldCharType="begin"/>
      </w:r>
      <w:r w:rsidR="00896F22" w:rsidRPr="00D27879">
        <w:rPr>
          <w:b/>
          <w:bCs/>
        </w:rPr>
        <w:instrText xml:space="preserve"> STYLEREF 1 \s </w:instrText>
      </w:r>
      <w:r w:rsidR="00896F22" w:rsidRPr="00D27879">
        <w:rPr>
          <w:b/>
          <w:bCs/>
        </w:rPr>
        <w:fldChar w:fldCharType="separate"/>
      </w:r>
      <w:r w:rsidR="00A042AD">
        <w:rPr>
          <w:b/>
          <w:bCs/>
          <w:noProof/>
        </w:rPr>
        <w:t>15</w:t>
      </w:r>
      <w:r w:rsidR="00896F22" w:rsidRPr="00D27879">
        <w:rPr>
          <w:b/>
          <w:bCs/>
          <w:noProof/>
        </w:rPr>
        <w:fldChar w:fldCharType="end"/>
      </w:r>
      <w:r w:rsidR="00896F22" w:rsidRPr="00D27879">
        <w:rPr>
          <w:b/>
          <w:bCs/>
        </w:rPr>
        <w:noBreakHyphen/>
      </w:r>
      <w:r w:rsidR="00896F22" w:rsidRPr="00D27879">
        <w:rPr>
          <w:b/>
          <w:bCs/>
        </w:rPr>
        <w:fldChar w:fldCharType="begin"/>
      </w:r>
      <w:r w:rsidR="00896F22" w:rsidRPr="00D27879">
        <w:rPr>
          <w:b/>
          <w:bCs/>
        </w:rPr>
        <w:instrText xml:space="preserve"> SEQ Table \* ARABIC \s 1 </w:instrText>
      </w:r>
      <w:r w:rsidR="00896F22" w:rsidRPr="00D27879">
        <w:rPr>
          <w:b/>
          <w:bCs/>
        </w:rPr>
        <w:fldChar w:fldCharType="separate"/>
      </w:r>
      <w:r w:rsidR="00A042AD">
        <w:rPr>
          <w:b/>
          <w:bCs/>
          <w:noProof/>
        </w:rPr>
        <w:t>1</w:t>
      </w:r>
      <w:r w:rsidR="00896F22" w:rsidRPr="00D27879">
        <w:rPr>
          <w:b/>
          <w:bCs/>
          <w:noProof/>
        </w:rPr>
        <w:fldChar w:fldCharType="end"/>
      </w:r>
      <w:r w:rsidRPr="00D27879">
        <w:rPr>
          <w:b/>
          <w:bCs/>
        </w:rPr>
        <w:t>:</w:t>
      </w:r>
      <w:r>
        <w:t xml:space="preserve"> Control Strategies for Physical Hazards</w:t>
      </w:r>
    </w:p>
    <w:tbl>
      <w:tblPr>
        <w:tblStyle w:val="TableGrid"/>
        <w:tblW w:w="0" w:type="auto"/>
        <w:tblInd w:w="-5" w:type="dxa"/>
        <w:tblLook w:val="04A0" w:firstRow="1" w:lastRow="0" w:firstColumn="1" w:lastColumn="0" w:noHBand="0" w:noVBand="1"/>
      </w:tblPr>
      <w:tblGrid>
        <w:gridCol w:w="2460"/>
        <w:gridCol w:w="2460"/>
        <w:gridCol w:w="2460"/>
      </w:tblGrid>
      <w:tr w:rsidR="005964A5" w14:paraId="16FBC30D" w14:textId="77777777" w:rsidTr="00DF5603">
        <w:trPr>
          <w:trHeight w:val="467"/>
        </w:trPr>
        <w:tc>
          <w:tcPr>
            <w:tcW w:w="2460" w:type="dxa"/>
            <w:vAlign w:val="bottom"/>
          </w:tcPr>
          <w:p w14:paraId="5EA1D601" w14:textId="77777777" w:rsidR="005964A5" w:rsidRPr="00EB199E" w:rsidRDefault="005964A5" w:rsidP="00DF5603">
            <w:pPr>
              <w:jc w:val="center"/>
              <w:rPr>
                <w:b/>
                <w:bCs/>
              </w:rPr>
            </w:pPr>
            <w:r w:rsidRPr="00EB199E">
              <w:rPr>
                <w:b/>
                <w:bCs/>
              </w:rPr>
              <w:t>Control Strategy</w:t>
            </w:r>
          </w:p>
        </w:tc>
        <w:tc>
          <w:tcPr>
            <w:tcW w:w="2460" w:type="dxa"/>
            <w:vAlign w:val="bottom"/>
          </w:tcPr>
          <w:p w14:paraId="019BBEA8" w14:textId="77777777" w:rsidR="005964A5" w:rsidRPr="00EB199E" w:rsidRDefault="005964A5" w:rsidP="00DF5603">
            <w:pPr>
              <w:jc w:val="center"/>
              <w:rPr>
                <w:b/>
                <w:bCs/>
              </w:rPr>
            </w:pPr>
            <w:r w:rsidRPr="00EB199E">
              <w:rPr>
                <w:b/>
                <w:bCs/>
              </w:rPr>
              <w:t>Primary</w:t>
            </w:r>
            <w:r>
              <w:rPr>
                <w:b/>
                <w:bCs/>
              </w:rPr>
              <w:t xml:space="preserve"> Processor</w:t>
            </w:r>
          </w:p>
        </w:tc>
        <w:tc>
          <w:tcPr>
            <w:tcW w:w="2460" w:type="dxa"/>
            <w:vAlign w:val="bottom"/>
          </w:tcPr>
          <w:p w14:paraId="4EEDE1C9" w14:textId="77777777" w:rsidR="005964A5" w:rsidRPr="00EB199E" w:rsidRDefault="005964A5" w:rsidP="00DF5603">
            <w:pPr>
              <w:jc w:val="center"/>
              <w:rPr>
                <w:b/>
                <w:bCs/>
              </w:rPr>
            </w:pPr>
            <w:r w:rsidRPr="00EB199E">
              <w:rPr>
                <w:b/>
                <w:bCs/>
              </w:rPr>
              <w:t>Secondary</w:t>
            </w:r>
            <w:r>
              <w:rPr>
                <w:b/>
                <w:bCs/>
              </w:rPr>
              <w:t xml:space="preserve"> Processor</w:t>
            </w:r>
          </w:p>
        </w:tc>
      </w:tr>
      <w:tr w:rsidR="005964A5" w14:paraId="7AAF4B45" w14:textId="77777777" w:rsidTr="00DF5603">
        <w:trPr>
          <w:trHeight w:val="521"/>
        </w:trPr>
        <w:tc>
          <w:tcPr>
            <w:tcW w:w="2460" w:type="dxa"/>
            <w:vAlign w:val="center"/>
          </w:tcPr>
          <w:p w14:paraId="53767F4C" w14:textId="3F214FAD" w:rsidR="005964A5" w:rsidRDefault="005964A5" w:rsidP="00DF5603">
            <w:r>
              <w:t>Metal Detection*</w:t>
            </w:r>
          </w:p>
        </w:tc>
        <w:tc>
          <w:tcPr>
            <w:tcW w:w="2460" w:type="dxa"/>
            <w:vAlign w:val="center"/>
          </w:tcPr>
          <w:p w14:paraId="03FE5B95" w14:textId="77777777" w:rsidR="005964A5" w:rsidRDefault="005964A5" w:rsidP="00DF5603">
            <w:pPr>
              <w:jc w:val="center"/>
            </w:pPr>
            <w:r w:rsidRPr="00587FA2">
              <w:rPr>
                <w:rFonts w:ascii="Wingdings" w:hAnsi="Wingdings" w:cs="Calibri"/>
                <w:b/>
                <w:bCs/>
              </w:rPr>
              <w:t>ü</w:t>
            </w:r>
          </w:p>
        </w:tc>
        <w:tc>
          <w:tcPr>
            <w:tcW w:w="2460" w:type="dxa"/>
            <w:vAlign w:val="center"/>
          </w:tcPr>
          <w:p w14:paraId="500C15DB" w14:textId="77777777" w:rsidR="005964A5" w:rsidRDefault="005964A5" w:rsidP="00DF5603">
            <w:pPr>
              <w:jc w:val="center"/>
            </w:pPr>
            <w:r w:rsidRPr="00587FA2">
              <w:rPr>
                <w:rFonts w:ascii="Wingdings" w:hAnsi="Wingdings" w:cs="Calibri"/>
                <w:b/>
                <w:bCs/>
              </w:rPr>
              <w:t>ü</w:t>
            </w:r>
          </w:p>
        </w:tc>
      </w:tr>
      <w:tr w:rsidR="005964A5" w14:paraId="2BC88354" w14:textId="77777777" w:rsidTr="00DF5603">
        <w:trPr>
          <w:trHeight w:val="521"/>
        </w:trPr>
        <w:tc>
          <w:tcPr>
            <w:tcW w:w="2460" w:type="dxa"/>
            <w:vAlign w:val="center"/>
          </w:tcPr>
          <w:p w14:paraId="31E798AB" w14:textId="5B335F03" w:rsidR="005964A5" w:rsidRPr="00553293" w:rsidRDefault="005964A5" w:rsidP="00DF5603">
            <w:pPr>
              <w:rPr>
                <w:rFonts w:cs="Calibri"/>
              </w:rPr>
            </w:pPr>
            <w:r>
              <w:rPr>
                <w:rFonts w:cs="Calibri"/>
              </w:rPr>
              <w:t>Visual Inspection</w:t>
            </w:r>
          </w:p>
        </w:tc>
        <w:tc>
          <w:tcPr>
            <w:tcW w:w="2460" w:type="dxa"/>
            <w:vAlign w:val="center"/>
          </w:tcPr>
          <w:p w14:paraId="1CD8A2AD" w14:textId="77777777" w:rsidR="005964A5" w:rsidRPr="00553293" w:rsidRDefault="005964A5" w:rsidP="00DF5603">
            <w:pPr>
              <w:jc w:val="center"/>
              <w:rPr>
                <w:rFonts w:cs="Calibri"/>
                <w:b/>
                <w:bCs/>
              </w:rPr>
            </w:pPr>
            <w:r w:rsidRPr="00587FA2">
              <w:rPr>
                <w:rFonts w:ascii="Wingdings" w:hAnsi="Wingdings" w:cs="Calibri"/>
                <w:b/>
                <w:bCs/>
              </w:rPr>
              <w:t>ü</w:t>
            </w:r>
          </w:p>
        </w:tc>
        <w:tc>
          <w:tcPr>
            <w:tcW w:w="2460" w:type="dxa"/>
            <w:vAlign w:val="center"/>
          </w:tcPr>
          <w:p w14:paraId="3DE5966C" w14:textId="77777777" w:rsidR="005964A5" w:rsidRPr="00553293" w:rsidRDefault="005964A5" w:rsidP="00DF5603">
            <w:pPr>
              <w:jc w:val="center"/>
              <w:rPr>
                <w:rFonts w:cs="Calibri"/>
                <w:b/>
                <w:bCs/>
              </w:rPr>
            </w:pPr>
            <w:r w:rsidRPr="00587FA2">
              <w:rPr>
                <w:rFonts w:ascii="Wingdings" w:hAnsi="Wingdings" w:cs="Calibri"/>
                <w:b/>
                <w:bCs/>
              </w:rPr>
              <w:t>ü</w:t>
            </w:r>
          </w:p>
        </w:tc>
      </w:tr>
      <w:tr w:rsidR="005964A5" w14:paraId="75D929C2" w14:textId="77777777" w:rsidTr="00DF5603">
        <w:trPr>
          <w:trHeight w:val="521"/>
        </w:trPr>
        <w:tc>
          <w:tcPr>
            <w:tcW w:w="2460" w:type="dxa"/>
            <w:vAlign w:val="center"/>
          </w:tcPr>
          <w:p w14:paraId="4662FC0A" w14:textId="0F4A8ECD" w:rsidR="005964A5" w:rsidRPr="00553293" w:rsidRDefault="005964A5" w:rsidP="00DF5603">
            <w:pPr>
              <w:rPr>
                <w:rFonts w:cs="Calibri"/>
              </w:rPr>
            </w:pPr>
            <w:r>
              <w:rPr>
                <w:rFonts w:cs="Calibri"/>
              </w:rPr>
              <w:t>Processing Control</w:t>
            </w:r>
          </w:p>
        </w:tc>
        <w:tc>
          <w:tcPr>
            <w:tcW w:w="2460" w:type="dxa"/>
            <w:vAlign w:val="center"/>
          </w:tcPr>
          <w:p w14:paraId="5E6BF342" w14:textId="77777777" w:rsidR="005964A5" w:rsidRPr="00553293" w:rsidRDefault="005964A5" w:rsidP="00DF5603">
            <w:pPr>
              <w:jc w:val="center"/>
              <w:rPr>
                <w:rFonts w:cs="Calibri"/>
                <w:b/>
                <w:bCs/>
              </w:rPr>
            </w:pPr>
            <w:r w:rsidRPr="00587FA2">
              <w:rPr>
                <w:rFonts w:ascii="Wingdings" w:hAnsi="Wingdings" w:cs="Calibri"/>
                <w:b/>
                <w:bCs/>
              </w:rPr>
              <w:t>ü</w:t>
            </w:r>
          </w:p>
        </w:tc>
        <w:tc>
          <w:tcPr>
            <w:tcW w:w="2460" w:type="dxa"/>
            <w:vAlign w:val="center"/>
          </w:tcPr>
          <w:p w14:paraId="6E600CD5" w14:textId="77777777" w:rsidR="005964A5" w:rsidRPr="00553293" w:rsidRDefault="005964A5" w:rsidP="00DF5603">
            <w:pPr>
              <w:jc w:val="center"/>
              <w:rPr>
                <w:rFonts w:cs="Calibri"/>
                <w:b/>
                <w:bCs/>
              </w:rPr>
            </w:pPr>
            <w:r w:rsidRPr="00587FA2">
              <w:rPr>
                <w:rFonts w:ascii="Wingdings" w:hAnsi="Wingdings" w:cs="Calibri"/>
                <w:b/>
                <w:bCs/>
              </w:rPr>
              <w:t>ü</w:t>
            </w:r>
          </w:p>
        </w:tc>
      </w:tr>
    </w:tbl>
    <w:p w14:paraId="5606D18C" w14:textId="761C84D8" w:rsidR="005964A5" w:rsidRDefault="005964A5" w:rsidP="00616EDB">
      <w:pPr>
        <w:spacing w:before="240"/>
      </w:pPr>
      <w:r>
        <w:t>*Applies to metal hazard only</w:t>
      </w:r>
    </w:p>
    <w:p w14:paraId="505DC62A" w14:textId="0D4B6C9A" w:rsidR="005964A5" w:rsidRDefault="005964A5" w:rsidP="00846B8F">
      <w:pPr>
        <w:pStyle w:val="Heading3"/>
        <w:numPr>
          <w:ilvl w:val="2"/>
          <w:numId w:val="187"/>
        </w:numPr>
      </w:pPr>
      <w:bookmarkStart w:id="268" w:name="_Toc208503338"/>
      <w:r>
        <w:t>Control Strategy 1 – Metal Detection</w:t>
      </w:r>
      <w:bookmarkEnd w:id="268"/>
    </w:p>
    <w:p w14:paraId="723E92D2" w14:textId="77777777" w:rsidR="005964A5" w:rsidRDefault="005964A5" w:rsidP="00846B8F">
      <w:pPr>
        <w:pStyle w:val="Heading4"/>
        <w:numPr>
          <w:ilvl w:val="3"/>
          <w:numId w:val="187"/>
        </w:numPr>
      </w:pPr>
      <w:r>
        <w:t>Critical Limit(s)/Parameter(s) and Value(s)</w:t>
      </w:r>
    </w:p>
    <w:p w14:paraId="6593729B" w14:textId="77777777" w:rsidR="005964A5" w:rsidRDefault="005964A5" w:rsidP="00846B8F">
      <w:pPr>
        <w:pStyle w:val="ListParagraph"/>
        <w:numPr>
          <w:ilvl w:val="0"/>
          <w:numId w:val="105"/>
        </w:numPr>
        <w:spacing w:before="240"/>
        <w:contextualSpacing w:val="0"/>
      </w:pPr>
      <w:r>
        <w:t>All product passes through an operating metal detection device AND no metal is detected in product.</w:t>
      </w:r>
    </w:p>
    <w:p w14:paraId="64A09FDD" w14:textId="77777777" w:rsidR="005964A5" w:rsidRDefault="005964A5" w:rsidP="00846B8F">
      <w:pPr>
        <w:pStyle w:val="Heading4"/>
        <w:numPr>
          <w:ilvl w:val="3"/>
          <w:numId w:val="187"/>
        </w:numPr>
      </w:pPr>
      <w:r>
        <w:t>Monitoring – What, How, How Often, Who</w:t>
      </w:r>
    </w:p>
    <w:p w14:paraId="0121CF49" w14:textId="77777777" w:rsidR="005964A5" w:rsidRDefault="005964A5" w:rsidP="00846B8F">
      <w:pPr>
        <w:pStyle w:val="ListParagraph"/>
        <w:numPr>
          <w:ilvl w:val="0"/>
          <w:numId w:val="105"/>
        </w:numPr>
        <w:spacing w:before="240"/>
        <w:contextualSpacing w:val="0"/>
      </w:pPr>
      <w:r>
        <w:t>What will be monitored?</w:t>
      </w:r>
    </w:p>
    <w:p w14:paraId="0919C983" w14:textId="77777777" w:rsidR="005964A5" w:rsidRDefault="005964A5" w:rsidP="00846B8F">
      <w:pPr>
        <w:pStyle w:val="ListParagraph"/>
        <w:numPr>
          <w:ilvl w:val="1"/>
          <w:numId w:val="105"/>
        </w:numPr>
        <w:contextualSpacing w:val="0"/>
      </w:pPr>
      <w:r>
        <w:lastRenderedPageBreak/>
        <w:t>The presence of a metal detection device</w:t>
      </w:r>
    </w:p>
    <w:p w14:paraId="3D545D97" w14:textId="695F7D70" w:rsidR="005964A5" w:rsidRPr="005964A5" w:rsidRDefault="005964A5" w:rsidP="005964A5">
      <w:pPr>
        <w:ind w:firstLine="720"/>
        <w:rPr>
          <w:b/>
          <w:bCs/>
        </w:rPr>
      </w:pPr>
      <w:r w:rsidRPr="005964A5">
        <w:rPr>
          <w:b/>
          <w:bCs/>
        </w:rPr>
        <w:t>AND</w:t>
      </w:r>
    </w:p>
    <w:p w14:paraId="68973545" w14:textId="77777777" w:rsidR="005964A5" w:rsidRDefault="005964A5" w:rsidP="00846B8F">
      <w:pPr>
        <w:pStyle w:val="ListParagraph"/>
        <w:numPr>
          <w:ilvl w:val="1"/>
          <w:numId w:val="105"/>
        </w:numPr>
        <w:contextualSpacing w:val="0"/>
      </w:pPr>
      <w:r>
        <w:t>The presence of metal fragments.</w:t>
      </w:r>
    </w:p>
    <w:p w14:paraId="0BE37E46" w14:textId="77777777" w:rsidR="005964A5" w:rsidRDefault="005964A5" w:rsidP="00846B8F">
      <w:pPr>
        <w:pStyle w:val="ListParagraph"/>
        <w:numPr>
          <w:ilvl w:val="0"/>
          <w:numId w:val="105"/>
        </w:numPr>
        <w:contextualSpacing w:val="0"/>
      </w:pPr>
      <w:r>
        <w:t>How will monitoring be done?</w:t>
      </w:r>
    </w:p>
    <w:p w14:paraId="316FED9E" w14:textId="77777777" w:rsidR="005964A5" w:rsidRDefault="005964A5" w:rsidP="00846B8F">
      <w:pPr>
        <w:pStyle w:val="ListParagraph"/>
        <w:numPr>
          <w:ilvl w:val="1"/>
          <w:numId w:val="105"/>
        </w:numPr>
        <w:contextualSpacing w:val="0"/>
      </w:pPr>
      <w:r>
        <w:t>Visual observation</w:t>
      </w:r>
    </w:p>
    <w:p w14:paraId="2DFB83FE" w14:textId="3BF67944" w:rsidR="005964A5" w:rsidRPr="005964A5" w:rsidRDefault="005964A5" w:rsidP="005964A5">
      <w:pPr>
        <w:ind w:firstLine="720"/>
        <w:rPr>
          <w:b/>
          <w:bCs/>
        </w:rPr>
      </w:pPr>
      <w:r w:rsidRPr="005964A5">
        <w:rPr>
          <w:b/>
          <w:bCs/>
        </w:rPr>
        <w:t>AND</w:t>
      </w:r>
    </w:p>
    <w:p w14:paraId="25036697" w14:textId="77777777" w:rsidR="005964A5" w:rsidRDefault="005964A5" w:rsidP="00846B8F">
      <w:pPr>
        <w:pStyle w:val="ListParagraph"/>
        <w:numPr>
          <w:ilvl w:val="1"/>
          <w:numId w:val="105"/>
        </w:numPr>
        <w:contextualSpacing w:val="0"/>
      </w:pPr>
      <w:r>
        <w:t>Metal detector itself</w:t>
      </w:r>
    </w:p>
    <w:p w14:paraId="0E8374FE" w14:textId="77777777" w:rsidR="005964A5" w:rsidRDefault="005964A5" w:rsidP="00846B8F">
      <w:pPr>
        <w:pStyle w:val="ListParagraph"/>
        <w:numPr>
          <w:ilvl w:val="0"/>
          <w:numId w:val="105"/>
        </w:numPr>
        <w:contextualSpacing w:val="0"/>
      </w:pPr>
      <w:r>
        <w:t>How often will monitoring be done (frequency)?</w:t>
      </w:r>
    </w:p>
    <w:p w14:paraId="642BE859" w14:textId="77777777" w:rsidR="005964A5" w:rsidRDefault="005964A5" w:rsidP="00846B8F">
      <w:pPr>
        <w:pStyle w:val="ListParagraph"/>
        <w:numPr>
          <w:ilvl w:val="1"/>
          <w:numId w:val="105"/>
        </w:numPr>
        <w:contextualSpacing w:val="0"/>
      </w:pPr>
      <w:r>
        <w:t>At the start of every production shift</w:t>
      </w:r>
    </w:p>
    <w:p w14:paraId="037D8164" w14:textId="77777777" w:rsidR="005964A5" w:rsidRPr="005964A5" w:rsidRDefault="005964A5" w:rsidP="005964A5">
      <w:pPr>
        <w:ind w:firstLine="720"/>
        <w:rPr>
          <w:b/>
          <w:bCs/>
        </w:rPr>
      </w:pPr>
      <w:r w:rsidRPr="005964A5">
        <w:rPr>
          <w:b/>
          <w:bCs/>
        </w:rPr>
        <w:t>AND</w:t>
      </w:r>
    </w:p>
    <w:p w14:paraId="00D991C1" w14:textId="77777777" w:rsidR="005964A5" w:rsidRDefault="005964A5" w:rsidP="00846B8F">
      <w:pPr>
        <w:pStyle w:val="ListParagraph"/>
        <w:numPr>
          <w:ilvl w:val="1"/>
          <w:numId w:val="105"/>
        </w:numPr>
        <w:contextualSpacing w:val="0"/>
      </w:pPr>
      <w:r>
        <w:t>Continuously by the metal detection device itself</w:t>
      </w:r>
    </w:p>
    <w:p w14:paraId="35B943F9" w14:textId="77777777" w:rsidR="005964A5" w:rsidRDefault="005964A5" w:rsidP="00846B8F">
      <w:pPr>
        <w:pStyle w:val="ListParagraph"/>
        <w:numPr>
          <w:ilvl w:val="0"/>
          <w:numId w:val="105"/>
        </w:numPr>
        <w:contextualSpacing w:val="0"/>
      </w:pPr>
      <w:r>
        <w:t>Who will do the monitoring?</w:t>
      </w:r>
    </w:p>
    <w:p w14:paraId="1F717D67" w14:textId="77777777" w:rsidR="005964A5" w:rsidRDefault="005964A5" w:rsidP="00846B8F">
      <w:pPr>
        <w:pStyle w:val="ListParagraph"/>
        <w:numPr>
          <w:ilvl w:val="1"/>
          <w:numId w:val="105"/>
        </w:numPr>
        <w:contextualSpacing w:val="0"/>
      </w:pPr>
      <w:r>
        <w:t>The metal detection device and an individual with an understanding of the control and trained to carry out the required monitoring procedures.</w:t>
      </w:r>
    </w:p>
    <w:p w14:paraId="5FE4A478" w14:textId="77777777" w:rsidR="005964A5" w:rsidRDefault="005964A5" w:rsidP="00846B8F">
      <w:pPr>
        <w:pStyle w:val="Heading4"/>
        <w:numPr>
          <w:ilvl w:val="3"/>
          <w:numId w:val="187"/>
        </w:numPr>
      </w:pPr>
      <w:r>
        <w:t>Corrective Action/Corrections</w:t>
      </w:r>
    </w:p>
    <w:p w14:paraId="61867771" w14:textId="77777777" w:rsidR="005964A5" w:rsidRDefault="005964A5" w:rsidP="00846B8F">
      <w:pPr>
        <w:pStyle w:val="ListParagraph"/>
        <w:numPr>
          <w:ilvl w:val="0"/>
          <w:numId w:val="106"/>
        </w:numPr>
        <w:spacing w:before="240"/>
        <w:contextualSpacing w:val="0"/>
      </w:pPr>
      <w:r>
        <w:t xml:space="preserve">If a metal detection device is not operating or present upon inspection, then halt production (if applicable) </w:t>
      </w:r>
      <w:r w:rsidRPr="005964A5">
        <w:rPr>
          <w:b/>
          <w:bCs/>
        </w:rPr>
        <w:t>AND</w:t>
      </w:r>
      <w:r>
        <w:t xml:space="preserve"> hold all product produced since last acceptable check and rerun through the working metal detection device </w:t>
      </w:r>
      <w:r w:rsidRPr="005964A5">
        <w:rPr>
          <w:b/>
          <w:bCs/>
        </w:rPr>
        <w:t>OR</w:t>
      </w:r>
      <w:r>
        <w:t xml:space="preserve"> divert all product to a non-food use </w:t>
      </w:r>
      <w:r w:rsidRPr="005964A5">
        <w:rPr>
          <w:b/>
          <w:bCs/>
        </w:rPr>
        <w:t>OR</w:t>
      </w:r>
      <w:r>
        <w:t xml:space="preserve"> discard all product since last acceptable inspection.</w:t>
      </w:r>
    </w:p>
    <w:p w14:paraId="7EA120CF" w14:textId="77777777" w:rsidR="005964A5" w:rsidRDefault="005964A5" w:rsidP="00846B8F">
      <w:pPr>
        <w:pStyle w:val="ListParagraph"/>
        <w:numPr>
          <w:ilvl w:val="0"/>
          <w:numId w:val="106"/>
        </w:numPr>
        <w:contextualSpacing w:val="0"/>
      </w:pPr>
      <w:r>
        <w:t xml:space="preserve">If metal is detected, then rework the product to remove metal fragments </w:t>
      </w:r>
      <w:r w:rsidRPr="005964A5">
        <w:rPr>
          <w:b/>
          <w:bCs/>
        </w:rPr>
        <w:t>OR</w:t>
      </w:r>
      <w:r>
        <w:t xml:space="preserve"> divert to non-food use </w:t>
      </w:r>
      <w:r w:rsidRPr="005964A5">
        <w:rPr>
          <w:b/>
          <w:bCs/>
        </w:rPr>
        <w:t>OR</w:t>
      </w:r>
      <w:r>
        <w:t xml:space="preserve"> discard product.</w:t>
      </w:r>
    </w:p>
    <w:p w14:paraId="0674A196" w14:textId="5FDD666D" w:rsidR="005964A5" w:rsidRDefault="005964A5" w:rsidP="005964A5">
      <w:r w:rsidRPr="005964A5">
        <w:rPr>
          <w:b/>
          <w:bCs/>
        </w:rPr>
        <w:t>AND</w:t>
      </w:r>
      <w:r>
        <w:t xml:space="preserve"> address the root cause to prevent future occurrence.</w:t>
      </w:r>
    </w:p>
    <w:p w14:paraId="436798AF" w14:textId="77777777" w:rsidR="005964A5" w:rsidRDefault="005964A5" w:rsidP="00846B8F">
      <w:pPr>
        <w:pStyle w:val="ListParagraph"/>
        <w:numPr>
          <w:ilvl w:val="0"/>
          <w:numId w:val="106"/>
        </w:numPr>
        <w:contextualSpacing w:val="0"/>
      </w:pPr>
      <w:r>
        <w:t xml:space="preserve">Repair or replace metal detection device(s) </w:t>
      </w:r>
      <w:r w:rsidRPr="005964A5">
        <w:rPr>
          <w:b/>
          <w:bCs/>
        </w:rPr>
        <w:t>OR</w:t>
      </w:r>
      <w:r>
        <w:t xml:space="preserve"> investigate and resolve the source of contamination to prevent future occurrences.</w:t>
      </w:r>
    </w:p>
    <w:p w14:paraId="78595D51" w14:textId="77777777" w:rsidR="005964A5" w:rsidRDefault="005964A5" w:rsidP="00846B8F">
      <w:pPr>
        <w:pStyle w:val="Heading4"/>
        <w:numPr>
          <w:ilvl w:val="3"/>
          <w:numId w:val="187"/>
        </w:numPr>
      </w:pPr>
      <w:r>
        <w:t>Verification</w:t>
      </w:r>
    </w:p>
    <w:p w14:paraId="175DF446" w14:textId="77777777" w:rsidR="005964A5" w:rsidRDefault="005964A5" w:rsidP="00846B8F">
      <w:pPr>
        <w:pStyle w:val="ListParagraph"/>
        <w:numPr>
          <w:ilvl w:val="0"/>
          <w:numId w:val="104"/>
        </w:numPr>
        <w:spacing w:before="240"/>
        <w:contextualSpacing w:val="0"/>
      </w:pPr>
      <w:r>
        <w:t>Review or monitoring and corrective action records within one week of preparation to ensure they were completed appropriately.</w:t>
      </w:r>
    </w:p>
    <w:p w14:paraId="0A70E10C" w14:textId="77777777" w:rsidR="005964A5" w:rsidRDefault="005964A5" w:rsidP="00846B8F">
      <w:pPr>
        <w:pStyle w:val="ListParagraph"/>
        <w:numPr>
          <w:ilvl w:val="0"/>
          <w:numId w:val="104"/>
        </w:numPr>
        <w:contextualSpacing w:val="0"/>
      </w:pPr>
      <w:r>
        <w:lastRenderedPageBreak/>
        <w:t>Conduct a validation study to determine appropriate settings and sensitivity for the metal detection device and the product(s) being tested.</w:t>
      </w:r>
    </w:p>
    <w:p w14:paraId="27764501" w14:textId="77777777" w:rsidR="005964A5" w:rsidRDefault="005964A5" w:rsidP="00846B8F">
      <w:pPr>
        <w:pStyle w:val="ListParagraph"/>
        <w:numPr>
          <w:ilvl w:val="0"/>
          <w:numId w:val="104"/>
        </w:numPr>
        <w:contextualSpacing w:val="0"/>
      </w:pPr>
      <w:r>
        <w:t>Develop sensitivity standards for the metal detection device and test device against these standards daily before use and throughout production. See Chapter 20: Metal Inclusion of the FDA hazards guide for more details (USFDA, 2015a).</w:t>
      </w:r>
    </w:p>
    <w:p w14:paraId="7F420150" w14:textId="6224CB75" w:rsidR="005964A5" w:rsidRDefault="005964A5" w:rsidP="00846B8F">
      <w:pPr>
        <w:pStyle w:val="ListParagraph"/>
        <w:numPr>
          <w:ilvl w:val="0"/>
          <w:numId w:val="104"/>
        </w:numPr>
        <w:contextualSpacing w:val="0"/>
      </w:pPr>
      <w:r>
        <w:t>Conduct a periodic review—at least annually—of consumer complaints to identify any evidence of physical hazards.</w:t>
      </w:r>
    </w:p>
    <w:p w14:paraId="223964FB" w14:textId="77777777" w:rsidR="005964A5" w:rsidRDefault="005964A5" w:rsidP="00846B8F">
      <w:pPr>
        <w:pStyle w:val="Heading4"/>
        <w:numPr>
          <w:ilvl w:val="3"/>
          <w:numId w:val="187"/>
        </w:numPr>
      </w:pPr>
      <w:r>
        <w:t>Records</w:t>
      </w:r>
    </w:p>
    <w:p w14:paraId="0EE3C209" w14:textId="77777777" w:rsidR="005964A5" w:rsidRDefault="005964A5" w:rsidP="00846B8F">
      <w:pPr>
        <w:pStyle w:val="ListParagraph"/>
        <w:numPr>
          <w:ilvl w:val="0"/>
          <w:numId w:val="103"/>
        </w:numPr>
        <w:spacing w:before="240"/>
        <w:contextualSpacing w:val="0"/>
      </w:pPr>
      <w:r w:rsidRPr="005964A5">
        <w:rPr>
          <w:b/>
          <w:bCs/>
        </w:rPr>
        <w:t>Monitoring Records:</w:t>
      </w:r>
      <w:r>
        <w:t xml:space="preserve"> Including metal detection logs confirming visual inspection for the functioning device.</w:t>
      </w:r>
    </w:p>
    <w:p w14:paraId="5297865F" w14:textId="77777777" w:rsidR="005964A5" w:rsidRDefault="005964A5" w:rsidP="00846B8F">
      <w:pPr>
        <w:pStyle w:val="ListParagraph"/>
        <w:numPr>
          <w:ilvl w:val="0"/>
          <w:numId w:val="103"/>
        </w:numPr>
        <w:contextualSpacing w:val="0"/>
      </w:pPr>
      <w:r w:rsidRPr="005964A5">
        <w:rPr>
          <w:b/>
          <w:bCs/>
        </w:rPr>
        <w:t>Corrective Action Records:</w:t>
      </w:r>
      <w:r>
        <w:t xml:space="preserve"> When corrective actions are taken, document the issue, the steps implemented to ensure product safety, and the measures put in place to prevent recurrence.</w:t>
      </w:r>
    </w:p>
    <w:p w14:paraId="1A0ABFB5" w14:textId="1FE5A1E5" w:rsidR="005964A5" w:rsidRDefault="005964A5" w:rsidP="00846B8F">
      <w:pPr>
        <w:pStyle w:val="ListParagraph"/>
        <w:numPr>
          <w:ilvl w:val="0"/>
          <w:numId w:val="103"/>
        </w:numPr>
        <w:contextualSpacing w:val="0"/>
      </w:pPr>
      <w:r w:rsidRPr="005964A5">
        <w:rPr>
          <w:b/>
          <w:bCs/>
        </w:rPr>
        <w:t>Verification Records:</w:t>
      </w:r>
      <w:r>
        <w:t xml:space="preserve"> Monitoring records indicating review within one week, records of metal detector sensitivity checks and consumer complaint report(s).</w:t>
      </w:r>
    </w:p>
    <w:p w14:paraId="29694A63" w14:textId="77777777" w:rsidR="005964A5" w:rsidRDefault="005964A5" w:rsidP="00846B8F">
      <w:pPr>
        <w:pStyle w:val="ListParagraph"/>
        <w:numPr>
          <w:ilvl w:val="0"/>
          <w:numId w:val="103"/>
        </w:numPr>
        <w:contextualSpacing w:val="0"/>
      </w:pPr>
      <w:r w:rsidRPr="005964A5">
        <w:rPr>
          <w:b/>
          <w:bCs/>
        </w:rPr>
        <w:t>Recall Plan:</w:t>
      </w:r>
      <w:r>
        <w:t xml:space="preserve"> A written recall plan is required for any product with significant hazards when regulated under Preventive Controls for Human Foods (PCHF).</w:t>
      </w:r>
    </w:p>
    <w:p w14:paraId="47578451" w14:textId="77777777" w:rsidR="005964A5" w:rsidRDefault="005964A5" w:rsidP="00846B8F">
      <w:pPr>
        <w:pStyle w:val="ListParagraph"/>
        <w:numPr>
          <w:ilvl w:val="0"/>
          <w:numId w:val="103"/>
        </w:numPr>
        <w:contextualSpacing w:val="0"/>
      </w:pPr>
      <w:r w:rsidRPr="005964A5">
        <w:rPr>
          <w:b/>
          <w:bCs/>
        </w:rPr>
        <w:t>Training Records:</w:t>
      </w:r>
      <w:r>
        <w:t xml:space="preserve"> Training records for the preventive controls qualified individual (PCQI) must be maintained if regulated under preventive controls for human foods. While the Seafood HACCP regulation requires a HACCP trained individual to conduct certain activities, training records are not explicitly mandated under the regulation.</w:t>
      </w:r>
    </w:p>
    <w:p w14:paraId="0324BBF6" w14:textId="77777777" w:rsidR="00B66BBD" w:rsidRDefault="005964A5" w:rsidP="00616EDB">
      <w:pPr>
        <w:spacing w:before="240"/>
        <w:sectPr w:rsidR="00B66BBD" w:rsidSect="005964A5">
          <w:pgSz w:w="12240" w:h="15840"/>
          <w:pgMar w:top="1440" w:right="1440" w:bottom="1440" w:left="1440" w:header="720" w:footer="720" w:gutter="0"/>
          <w:pgNumType w:start="1" w:chapStyle="1"/>
          <w:cols w:space="720"/>
          <w:docGrid w:linePitch="360"/>
        </w:sectPr>
      </w:pPr>
      <w:r w:rsidRPr="005964A5">
        <w:rPr>
          <w:b/>
          <w:bCs/>
        </w:rPr>
        <w:t>NOTE:</w:t>
      </w:r>
      <w:r>
        <w:t xml:space="preserve"> X-ray detection systems can also be used to detect both metallic and non-metallic contaminants, such systems are referred to as "separation systems” (USFDA, 2022). For this chapter, we focused on metal detection systems, but the user is encouraged to consider other appropriate separation systems as they see fit for their operation.</w:t>
      </w:r>
    </w:p>
    <w:p w14:paraId="1F8E09A5" w14:textId="036B2870" w:rsidR="00B66BBD" w:rsidRDefault="00B66BBD" w:rsidP="00846B8F">
      <w:pPr>
        <w:pStyle w:val="Heading4"/>
        <w:numPr>
          <w:ilvl w:val="3"/>
          <w:numId w:val="188"/>
        </w:numPr>
      </w:pPr>
      <w:r>
        <w:lastRenderedPageBreak/>
        <w:t xml:space="preserve">Example HACCP/Food Safety Plan for </w:t>
      </w:r>
      <w:r w:rsidR="007603F4">
        <w:t>Metal Detection</w:t>
      </w:r>
    </w:p>
    <w:p w14:paraId="2714B737" w14:textId="3CF768A1" w:rsidR="00F9694B" w:rsidRDefault="00B66BBD" w:rsidP="00F9694B">
      <w:pPr>
        <w:ind w:left="-1080" w:right="-900"/>
        <w:rPr>
          <w:b/>
          <w:bCs/>
        </w:rPr>
      </w:pPr>
      <w:r w:rsidRPr="00AC2821">
        <w:t xml:space="preserve">Below is an example showing what a food safety plan could look like. It is intended for illustrative purposes only. Each producer must develop a plan tailored to their unique products, production and processing methods, and regulatory requirements. </w:t>
      </w:r>
      <w:r w:rsidRPr="00AC2821">
        <w:rPr>
          <w:b/>
          <w:bCs/>
        </w:rPr>
        <w:t>This example should not be copied and used without modification to fit your specific operation.</w:t>
      </w:r>
    </w:p>
    <w:p w14:paraId="60C57C44" w14:textId="6A0C9FAF" w:rsidR="00B66BBD" w:rsidRDefault="00B66BBD" w:rsidP="00F9694B">
      <w:pPr>
        <w:spacing w:before="240"/>
        <w:ind w:left="-1080"/>
        <w:contextualSpacing/>
      </w:pPr>
      <w:r w:rsidRPr="00E579E8">
        <w:rPr>
          <w:b/>
          <w:bCs/>
        </w:rPr>
        <w:t>Control Strategy:</w:t>
      </w:r>
      <w:r>
        <w:t xml:space="preserve"> Metal Detection</w:t>
      </w:r>
    </w:p>
    <w:p w14:paraId="133D1AE4" w14:textId="06432529" w:rsidR="00B66BBD" w:rsidRDefault="00B66BBD" w:rsidP="00F9694B">
      <w:pPr>
        <w:spacing w:before="240"/>
        <w:ind w:left="-1080"/>
        <w:contextualSpacing/>
      </w:pPr>
      <w:r w:rsidRPr="007235FC">
        <w:rPr>
          <w:b/>
          <w:bCs/>
        </w:rPr>
        <w:t>Critical Control Point</w:t>
      </w:r>
      <w:r>
        <w:rPr>
          <w:b/>
          <w:bCs/>
        </w:rPr>
        <w:t xml:space="preserve"> (HACCP) /</w:t>
      </w:r>
      <w:r w:rsidRPr="00BA5895">
        <w:t xml:space="preserve"> </w:t>
      </w:r>
      <w:r w:rsidRPr="00BA5895">
        <w:rPr>
          <w:b/>
          <w:bCs/>
        </w:rPr>
        <w:t>Allergen Preventive Control (PCHF)</w:t>
      </w:r>
      <w:r w:rsidRPr="007235FC">
        <w:rPr>
          <w:b/>
          <w:bCs/>
        </w:rPr>
        <w:t xml:space="preserve">: </w:t>
      </w:r>
      <w:r>
        <w:t>Metal Detection</w:t>
      </w:r>
    </w:p>
    <w:p w14:paraId="2A3D5CAB" w14:textId="233F7E48" w:rsidR="00F9694B" w:rsidRDefault="00B66BBD" w:rsidP="00F9694B">
      <w:pPr>
        <w:spacing w:before="240"/>
        <w:ind w:left="-1080"/>
        <w:contextualSpacing/>
      </w:pPr>
      <w:r w:rsidRPr="00E579E8">
        <w:rPr>
          <w:b/>
          <w:bCs/>
        </w:rPr>
        <w:t>Hazard:</w:t>
      </w:r>
      <w:r>
        <w:t xml:space="preserve"> Metal Fragments</w:t>
      </w:r>
    </w:p>
    <w:p w14:paraId="22401166" w14:textId="701102D2" w:rsidR="00EF43EE" w:rsidRPr="00B47DD8" w:rsidRDefault="00EF43EE" w:rsidP="00EF43EE">
      <w:pPr>
        <w:spacing w:before="240"/>
        <w:ind w:left="-1080"/>
        <w:contextualSpacing/>
        <w:jc w:val="center"/>
        <w:rPr>
          <w:b/>
          <w:bCs/>
        </w:rPr>
        <w:sectPr w:rsidR="00EF43EE" w:rsidRPr="00B47DD8" w:rsidSect="00B66BBD">
          <w:pgSz w:w="15840" w:h="12240" w:orient="landscape"/>
          <w:pgMar w:top="1440" w:right="1440" w:bottom="1440" w:left="1440" w:header="720" w:footer="720" w:gutter="0"/>
          <w:pgNumType w:chapStyle="1"/>
          <w:cols w:space="720"/>
          <w:docGrid w:linePitch="360"/>
        </w:sectPr>
      </w:pPr>
      <w:r w:rsidRPr="00B47DD8">
        <w:rPr>
          <w:b/>
          <w:bCs/>
        </w:rPr>
        <w:t>This example is continued on the next page.</w:t>
      </w:r>
    </w:p>
    <w:p w14:paraId="2F9FDF1F" w14:textId="5D79BC77" w:rsidR="00B66BBD" w:rsidRPr="00AD559E" w:rsidRDefault="00B66BBD" w:rsidP="00EF43EE">
      <w:pPr>
        <w:spacing w:before="240"/>
        <w:contextualSpacing/>
        <w:jc w:val="both"/>
      </w:pPr>
    </w:p>
    <w:tbl>
      <w:tblPr>
        <w:tblStyle w:val="TableGrid"/>
        <w:tblW w:w="15210" w:type="dxa"/>
        <w:tblInd w:w="-108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43" w:type="dxa"/>
          <w:left w:w="43" w:type="dxa"/>
          <w:bottom w:w="43" w:type="dxa"/>
          <w:right w:w="43" w:type="dxa"/>
        </w:tblCellMar>
        <w:tblLook w:val="04A0" w:firstRow="1" w:lastRow="0" w:firstColumn="1" w:lastColumn="0" w:noHBand="0" w:noVBand="1"/>
        <w:tblCaption w:val="Example HACCP/Food Safety Plan for Metal Detection: Metal Fragments "/>
        <w:tblDescription w:val="Column Headers: Parameters/Values/Critical Limits, Monitoring (What/How/When/Who as subheader columns within), Corrective Action, Verification, Records."/>
      </w:tblPr>
      <w:tblGrid>
        <w:gridCol w:w="1890"/>
        <w:gridCol w:w="1530"/>
        <w:gridCol w:w="1170"/>
        <w:gridCol w:w="1260"/>
        <w:gridCol w:w="1080"/>
        <w:gridCol w:w="4025"/>
        <w:gridCol w:w="2365"/>
        <w:gridCol w:w="1890"/>
      </w:tblGrid>
      <w:tr w:rsidR="00B66BBD" w14:paraId="51F51959" w14:textId="77777777" w:rsidTr="00A61B74">
        <w:trPr>
          <w:trHeight w:val="390"/>
        </w:trPr>
        <w:tc>
          <w:tcPr>
            <w:tcW w:w="1890" w:type="dxa"/>
            <w:vMerge w:val="restart"/>
            <w:shd w:val="clear" w:color="auto" w:fill="D1D1D1" w:themeFill="background2" w:themeFillShade="E6"/>
          </w:tcPr>
          <w:p w14:paraId="0F18DCAC" w14:textId="77777777" w:rsidR="00B66BBD" w:rsidRPr="0001662C" w:rsidRDefault="00B66BBD" w:rsidP="00DF5603">
            <w:pPr>
              <w:jc w:val="center"/>
              <w:rPr>
                <w:b/>
                <w:bCs/>
              </w:rPr>
            </w:pPr>
            <w:r w:rsidRPr="0001662C">
              <w:rPr>
                <w:b/>
                <w:bCs/>
              </w:rPr>
              <w:t>Parameters, Values, Critical Limits</w:t>
            </w:r>
          </w:p>
        </w:tc>
        <w:tc>
          <w:tcPr>
            <w:tcW w:w="5040" w:type="dxa"/>
            <w:gridSpan w:val="4"/>
            <w:shd w:val="clear" w:color="auto" w:fill="D1D1D1" w:themeFill="background2" w:themeFillShade="E6"/>
          </w:tcPr>
          <w:p w14:paraId="47D67013" w14:textId="77777777" w:rsidR="00B66BBD" w:rsidRPr="0001662C" w:rsidRDefault="00B66BBD" w:rsidP="00DF5603">
            <w:pPr>
              <w:jc w:val="center"/>
              <w:rPr>
                <w:b/>
                <w:bCs/>
              </w:rPr>
            </w:pPr>
            <w:r w:rsidRPr="0001662C">
              <w:rPr>
                <w:b/>
                <w:bCs/>
              </w:rPr>
              <w:t>Monitoring</w:t>
            </w:r>
          </w:p>
        </w:tc>
        <w:tc>
          <w:tcPr>
            <w:tcW w:w="4025" w:type="dxa"/>
            <w:vMerge w:val="restart"/>
            <w:shd w:val="clear" w:color="auto" w:fill="D1D1D1" w:themeFill="background2" w:themeFillShade="E6"/>
          </w:tcPr>
          <w:p w14:paraId="08966E95" w14:textId="77777777" w:rsidR="00B66BBD" w:rsidRPr="0001662C" w:rsidRDefault="00B66BBD" w:rsidP="00DF5603">
            <w:pPr>
              <w:jc w:val="center"/>
              <w:rPr>
                <w:b/>
                <w:bCs/>
              </w:rPr>
            </w:pPr>
            <w:r w:rsidRPr="0001662C">
              <w:rPr>
                <w:b/>
                <w:bCs/>
              </w:rPr>
              <w:t>Corrective Action</w:t>
            </w:r>
          </w:p>
        </w:tc>
        <w:tc>
          <w:tcPr>
            <w:tcW w:w="2365" w:type="dxa"/>
            <w:vMerge w:val="restart"/>
            <w:shd w:val="clear" w:color="auto" w:fill="D1D1D1" w:themeFill="background2" w:themeFillShade="E6"/>
          </w:tcPr>
          <w:p w14:paraId="0E1D1044" w14:textId="77777777" w:rsidR="00B66BBD" w:rsidRPr="0001662C" w:rsidRDefault="00B66BBD" w:rsidP="00DF5603">
            <w:pPr>
              <w:jc w:val="center"/>
              <w:rPr>
                <w:b/>
                <w:bCs/>
              </w:rPr>
            </w:pPr>
            <w:r w:rsidRPr="0001662C">
              <w:rPr>
                <w:b/>
                <w:bCs/>
              </w:rPr>
              <w:t>Verification</w:t>
            </w:r>
          </w:p>
        </w:tc>
        <w:tc>
          <w:tcPr>
            <w:tcW w:w="1890" w:type="dxa"/>
            <w:vMerge w:val="restart"/>
            <w:shd w:val="clear" w:color="auto" w:fill="D1D1D1" w:themeFill="background2" w:themeFillShade="E6"/>
          </w:tcPr>
          <w:p w14:paraId="0C05B4C8" w14:textId="77777777" w:rsidR="00B66BBD" w:rsidRPr="0001662C" w:rsidRDefault="00B66BBD" w:rsidP="00DF5603">
            <w:pPr>
              <w:jc w:val="center"/>
              <w:rPr>
                <w:b/>
                <w:bCs/>
              </w:rPr>
            </w:pPr>
            <w:r w:rsidRPr="0001662C">
              <w:rPr>
                <w:b/>
                <w:bCs/>
              </w:rPr>
              <w:t>Records</w:t>
            </w:r>
          </w:p>
        </w:tc>
      </w:tr>
      <w:tr w:rsidR="00B66BBD" w14:paraId="4BECA3C1" w14:textId="77777777" w:rsidTr="00A61B74">
        <w:trPr>
          <w:trHeight w:val="20"/>
        </w:trPr>
        <w:tc>
          <w:tcPr>
            <w:tcW w:w="1890" w:type="dxa"/>
            <w:vMerge/>
          </w:tcPr>
          <w:p w14:paraId="42DA4A1E" w14:textId="77777777" w:rsidR="00B66BBD" w:rsidRPr="0001662C" w:rsidRDefault="00B66BBD" w:rsidP="00DF5603">
            <w:pPr>
              <w:rPr>
                <w:b/>
                <w:bCs/>
              </w:rPr>
            </w:pPr>
          </w:p>
        </w:tc>
        <w:tc>
          <w:tcPr>
            <w:tcW w:w="1530" w:type="dxa"/>
            <w:shd w:val="clear" w:color="auto" w:fill="D1D1D1" w:themeFill="background2" w:themeFillShade="E6"/>
          </w:tcPr>
          <w:p w14:paraId="4B5A321F" w14:textId="77777777" w:rsidR="00B66BBD" w:rsidRPr="0001662C" w:rsidRDefault="00B66BBD" w:rsidP="00DF5603">
            <w:pPr>
              <w:jc w:val="center"/>
              <w:rPr>
                <w:b/>
                <w:bCs/>
              </w:rPr>
            </w:pPr>
            <w:r w:rsidRPr="0001662C">
              <w:rPr>
                <w:b/>
                <w:bCs/>
              </w:rPr>
              <w:t>What</w:t>
            </w:r>
          </w:p>
        </w:tc>
        <w:tc>
          <w:tcPr>
            <w:tcW w:w="1170" w:type="dxa"/>
            <w:shd w:val="clear" w:color="auto" w:fill="D1D1D1" w:themeFill="background2" w:themeFillShade="E6"/>
          </w:tcPr>
          <w:p w14:paraId="5E41A534" w14:textId="77777777" w:rsidR="00B66BBD" w:rsidRPr="0001662C" w:rsidRDefault="00B66BBD" w:rsidP="00DF5603">
            <w:pPr>
              <w:jc w:val="center"/>
              <w:rPr>
                <w:b/>
                <w:bCs/>
              </w:rPr>
            </w:pPr>
            <w:r w:rsidRPr="0001662C">
              <w:rPr>
                <w:b/>
                <w:bCs/>
              </w:rPr>
              <w:t>How</w:t>
            </w:r>
          </w:p>
        </w:tc>
        <w:tc>
          <w:tcPr>
            <w:tcW w:w="1260" w:type="dxa"/>
            <w:shd w:val="clear" w:color="auto" w:fill="D1D1D1" w:themeFill="background2" w:themeFillShade="E6"/>
          </w:tcPr>
          <w:p w14:paraId="176BA2D8" w14:textId="77777777" w:rsidR="00B66BBD" w:rsidRPr="0001662C" w:rsidRDefault="00B66BBD" w:rsidP="00DF5603">
            <w:pPr>
              <w:jc w:val="center"/>
              <w:rPr>
                <w:b/>
                <w:bCs/>
              </w:rPr>
            </w:pPr>
            <w:r w:rsidRPr="0001662C">
              <w:rPr>
                <w:b/>
                <w:bCs/>
              </w:rPr>
              <w:t>When</w:t>
            </w:r>
          </w:p>
        </w:tc>
        <w:tc>
          <w:tcPr>
            <w:tcW w:w="1080" w:type="dxa"/>
            <w:shd w:val="clear" w:color="auto" w:fill="D1D1D1" w:themeFill="background2" w:themeFillShade="E6"/>
          </w:tcPr>
          <w:p w14:paraId="175301FA" w14:textId="77777777" w:rsidR="00B66BBD" w:rsidRPr="0001662C" w:rsidRDefault="00B66BBD" w:rsidP="00DF5603">
            <w:pPr>
              <w:jc w:val="center"/>
              <w:rPr>
                <w:b/>
                <w:bCs/>
              </w:rPr>
            </w:pPr>
            <w:r w:rsidRPr="0001662C">
              <w:rPr>
                <w:b/>
                <w:bCs/>
              </w:rPr>
              <w:t>Who</w:t>
            </w:r>
          </w:p>
        </w:tc>
        <w:tc>
          <w:tcPr>
            <w:tcW w:w="4025" w:type="dxa"/>
            <w:vMerge/>
          </w:tcPr>
          <w:p w14:paraId="667F8E90" w14:textId="77777777" w:rsidR="00B66BBD" w:rsidRDefault="00B66BBD" w:rsidP="00DF5603"/>
        </w:tc>
        <w:tc>
          <w:tcPr>
            <w:tcW w:w="2365" w:type="dxa"/>
            <w:vMerge/>
          </w:tcPr>
          <w:p w14:paraId="468D13BD" w14:textId="77777777" w:rsidR="00B66BBD" w:rsidRDefault="00B66BBD" w:rsidP="00DF5603"/>
        </w:tc>
        <w:tc>
          <w:tcPr>
            <w:tcW w:w="1890" w:type="dxa"/>
            <w:vMerge/>
          </w:tcPr>
          <w:p w14:paraId="2D3B02F1" w14:textId="77777777" w:rsidR="00B66BBD" w:rsidRDefault="00B66BBD" w:rsidP="00DF5603"/>
        </w:tc>
      </w:tr>
      <w:tr w:rsidR="00B66BBD" w14:paraId="2347D203" w14:textId="77777777" w:rsidTr="00A61B74">
        <w:trPr>
          <w:trHeight w:val="7894"/>
        </w:trPr>
        <w:tc>
          <w:tcPr>
            <w:tcW w:w="1890" w:type="dxa"/>
          </w:tcPr>
          <w:p w14:paraId="5052F289" w14:textId="2450CFFE" w:rsidR="00B66BBD" w:rsidRPr="00677CAA" w:rsidRDefault="00B66BBD" w:rsidP="00DF5603">
            <w:pPr>
              <w:spacing w:before="240"/>
              <w:rPr>
                <w:sz w:val="22"/>
                <w:szCs w:val="22"/>
              </w:rPr>
            </w:pPr>
            <w:r w:rsidRPr="00B66BBD">
              <w:rPr>
                <w:sz w:val="22"/>
                <w:szCs w:val="22"/>
              </w:rPr>
              <w:t xml:space="preserve">All product passes through an operating metal detection device </w:t>
            </w:r>
            <w:r w:rsidRPr="00F9694B">
              <w:rPr>
                <w:b/>
                <w:bCs/>
                <w:sz w:val="22"/>
                <w:szCs w:val="22"/>
              </w:rPr>
              <w:t>AND</w:t>
            </w:r>
            <w:r w:rsidRPr="00B66BBD">
              <w:rPr>
                <w:sz w:val="22"/>
                <w:szCs w:val="22"/>
              </w:rPr>
              <w:t xml:space="preserve"> no metal is detected in product</w:t>
            </w:r>
          </w:p>
        </w:tc>
        <w:tc>
          <w:tcPr>
            <w:tcW w:w="1530" w:type="dxa"/>
          </w:tcPr>
          <w:p w14:paraId="192F604B" w14:textId="782AD116" w:rsidR="00B66BBD" w:rsidRPr="00677CAA" w:rsidRDefault="00B66BBD" w:rsidP="00DF5603">
            <w:pPr>
              <w:spacing w:before="240"/>
              <w:rPr>
                <w:sz w:val="22"/>
                <w:szCs w:val="22"/>
              </w:rPr>
            </w:pPr>
            <w:r w:rsidRPr="00B66BBD">
              <w:rPr>
                <w:sz w:val="22"/>
                <w:szCs w:val="22"/>
              </w:rPr>
              <w:t>The presence of a metal detection device and the presence of metal fragments</w:t>
            </w:r>
          </w:p>
        </w:tc>
        <w:tc>
          <w:tcPr>
            <w:tcW w:w="1170" w:type="dxa"/>
          </w:tcPr>
          <w:p w14:paraId="498DCDA6" w14:textId="59D53B51" w:rsidR="00B66BBD" w:rsidRPr="00677CAA" w:rsidRDefault="00B66BBD" w:rsidP="00DF5603">
            <w:pPr>
              <w:spacing w:before="240"/>
              <w:rPr>
                <w:sz w:val="22"/>
                <w:szCs w:val="22"/>
              </w:rPr>
            </w:pPr>
            <w:r w:rsidRPr="00B66BBD">
              <w:rPr>
                <w:sz w:val="22"/>
                <w:szCs w:val="22"/>
              </w:rPr>
              <w:t>Visual observation and the device itself</w:t>
            </w:r>
          </w:p>
        </w:tc>
        <w:tc>
          <w:tcPr>
            <w:tcW w:w="1260" w:type="dxa"/>
          </w:tcPr>
          <w:p w14:paraId="6017402E" w14:textId="6D98CB29" w:rsidR="00B66BBD" w:rsidRPr="00677CAA" w:rsidRDefault="00B66BBD" w:rsidP="00DF5603">
            <w:pPr>
              <w:spacing w:before="240"/>
              <w:rPr>
                <w:sz w:val="22"/>
                <w:szCs w:val="22"/>
              </w:rPr>
            </w:pPr>
            <w:r w:rsidRPr="00B66BBD">
              <w:rPr>
                <w:sz w:val="22"/>
                <w:szCs w:val="22"/>
              </w:rPr>
              <w:t>At start of production and continuously by the device</w:t>
            </w:r>
          </w:p>
        </w:tc>
        <w:tc>
          <w:tcPr>
            <w:tcW w:w="1080" w:type="dxa"/>
          </w:tcPr>
          <w:p w14:paraId="77060D9C" w14:textId="55AD7288" w:rsidR="00B66BBD" w:rsidRPr="00677CAA" w:rsidRDefault="00B66BBD" w:rsidP="00DF5603">
            <w:pPr>
              <w:spacing w:before="240"/>
              <w:rPr>
                <w:sz w:val="22"/>
                <w:szCs w:val="22"/>
              </w:rPr>
            </w:pPr>
            <w:r w:rsidRPr="00B66BBD">
              <w:rPr>
                <w:sz w:val="22"/>
                <w:szCs w:val="22"/>
              </w:rPr>
              <w:t>QA Staff and the device itself</w:t>
            </w:r>
          </w:p>
        </w:tc>
        <w:tc>
          <w:tcPr>
            <w:tcW w:w="4025" w:type="dxa"/>
          </w:tcPr>
          <w:p w14:paraId="6AF9E91C" w14:textId="29F64228" w:rsidR="00B66BBD" w:rsidRDefault="00B66BBD" w:rsidP="00B66BBD">
            <w:pPr>
              <w:spacing w:before="240"/>
              <w:rPr>
                <w:sz w:val="22"/>
                <w:szCs w:val="22"/>
              </w:rPr>
            </w:pPr>
            <w:r w:rsidRPr="00B66BBD">
              <w:rPr>
                <w:sz w:val="22"/>
                <w:szCs w:val="22"/>
              </w:rPr>
              <w:t>If a metal detection device is not operating or present upon inspection, then, halt production (if applicable)</w:t>
            </w:r>
          </w:p>
          <w:p w14:paraId="521AA59B" w14:textId="2B990F8C" w:rsidR="00B66BBD" w:rsidRPr="00B66BBD" w:rsidRDefault="00B66BBD" w:rsidP="00B66BBD">
            <w:pPr>
              <w:spacing w:before="240"/>
              <w:rPr>
                <w:b/>
                <w:bCs/>
                <w:sz w:val="22"/>
                <w:szCs w:val="22"/>
              </w:rPr>
            </w:pPr>
            <w:r w:rsidRPr="00B66BBD">
              <w:rPr>
                <w:b/>
                <w:bCs/>
                <w:sz w:val="22"/>
                <w:szCs w:val="22"/>
              </w:rPr>
              <w:t>AND</w:t>
            </w:r>
          </w:p>
          <w:p w14:paraId="38546382" w14:textId="77777777" w:rsidR="00B66BBD" w:rsidRDefault="00B66BBD" w:rsidP="00B66BBD">
            <w:pPr>
              <w:spacing w:before="240"/>
              <w:rPr>
                <w:sz w:val="22"/>
                <w:szCs w:val="22"/>
              </w:rPr>
            </w:pPr>
            <w:r>
              <w:rPr>
                <w:sz w:val="22"/>
                <w:szCs w:val="22"/>
              </w:rPr>
              <w:t>H</w:t>
            </w:r>
            <w:r w:rsidRPr="00B66BBD">
              <w:rPr>
                <w:sz w:val="22"/>
                <w:szCs w:val="22"/>
              </w:rPr>
              <w:t xml:space="preserve">old all product produced since last acceptable inspection to rerun through the working metal detection device </w:t>
            </w:r>
            <w:r w:rsidRPr="00B66BBD">
              <w:rPr>
                <w:b/>
                <w:bCs/>
                <w:sz w:val="22"/>
                <w:szCs w:val="22"/>
              </w:rPr>
              <w:t>OR</w:t>
            </w:r>
            <w:r w:rsidRPr="00B66BBD">
              <w:rPr>
                <w:sz w:val="22"/>
                <w:szCs w:val="22"/>
              </w:rPr>
              <w:t xml:space="preserve"> divert all product to a non-food use </w:t>
            </w:r>
            <w:r w:rsidRPr="00B66BBD">
              <w:rPr>
                <w:b/>
                <w:bCs/>
                <w:sz w:val="22"/>
                <w:szCs w:val="22"/>
              </w:rPr>
              <w:t>OR</w:t>
            </w:r>
            <w:r w:rsidRPr="00B66BBD">
              <w:rPr>
                <w:sz w:val="22"/>
                <w:szCs w:val="22"/>
              </w:rPr>
              <w:t xml:space="preserve"> discard all product since last acceptable inspection </w:t>
            </w:r>
          </w:p>
          <w:p w14:paraId="269F9B88" w14:textId="541E72A4" w:rsidR="00B66BBD" w:rsidRPr="00B66BBD" w:rsidRDefault="00B66BBD" w:rsidP="00B66BBD">
            <w:pPr>
              <w:spacing w:before="240"/>
              <w:rPr>
                <w:b/>
                <w:bCs/>
                <w:sz w:val="22"/>
                <w:szCs w:val="22"/>
              </w:rPr>
            </w:pPr>
            <w:r w:rsidRPr="00B66BBD">
              <w:rPr>
                <w:b/>
                <w:bCs/>
                <w:sz w:val="22"/>
                <w:szCs w:val="22"/>
              </w:rPr>
              <w:t>AND</w:t>
            </w:r>
          </w:p>
          <w:p w14:paraId="4C69E5D5" w14:textId="1D3C4FC8" w:rsidR="00B66BBD" w:rsidRPr="00B66BBD" w:rsidRDefault="00B66BBD" w:rsidP="00B66BBD">
            <w:pPr>
              <w:spacing w:before="240"/>
              <w:rPr>
                <w:sz w:val="22"/>
                <w:szCs w:val="22"/>
              </w:rPr>
            </w:pPr>
            <w:r>
              <w:rPr>
                <w:sz w:val="22"/>
                <w:szCs w:val="22"/>
              </w:rPr>
              <w:t>F</w:t>
            </w:r>
            <w:r w:rsidRPr="00B66BBD">
              <w:rPr>
                <w:sz w:val="22"/>
                <w:szCs w:val="22"/>
              </w:rPr>
              <w:t>ix or replace the metal detection device before restarting production.</w:t>
            </w:r>
          </w:p>
          <w:p w14:paraId="3E5983E6" w14:textId="0B25E1CE" w:rsidR="00B66BBD" w:rsidRDefault="00B66BBD" w:rsidP="00B66BBD">
            <w:pPr>
              <w:spacing w:before="240"/>
              <w:rPr>
                <w:sz w:val="22"/>
                <w:szCs w:val="22"/>
              </w:rPr>
            </w:pPr>
            <w:r w:rsidRPr="00B66BBD">
              <w:rPr>
                <w:sz w:val="22"/>
                <w:szCs w:val="22"/>
              </w:rPr>
              <w:t xml:space="preserve">If metal is detected, then, isolate product produced since last acceptable inspection to evaluate for safety </w:t>
            </w:r>
            <w:r w:rsidRPr="00B66BBD">
              <w:rPr>
                <w:b/>
                <w:bCs/>
                <w:sz w:val="22"/>
                <w:szCs w:val="22"/>
              </w:rPr>
              <w:t>OR</w:t>
            </w:r>
            <w:r w:rsidRPr="00B66BBD">
              <w:rPr>
                <w:sz w:val="22"/>
                <w:szCs w:val="22"/>
              </w:rPr>
              <w:t xml:space="preserve"> rework the product to remove metal fragments </w:t>
            </w:r>
            <w:r w:rsidRPr="00B66BBD">
              <w:rPr>
                <w:b/>
                <w:bCs/>
                <w:sz w:val="22"/>
                <w:szCs w:val="22"/>
              </w:rPr>
              <w:t>OR</w:t>
            </w:r>
            <w:r w:rsidRPr="00B66BBD">
              <w:rPr>
                <w:sz w:val="22"/>
                <w:szCs w:val="22"/>
              </w:rPr>
              <w:t xml:space="preserve"> divert to non-food use </w:t>
            </w:r>
            <w:r w:rsidRPr="00B66BBD">
              <w:rPr>
                <w:b/>
                <w:bCs/>
                <w:sz w:val="22"/>
                <w:szCs w:val="22"/>
              </w:rPr>
              <w:t>OR</w:t>
            </w:r>
            <w:r w:rsidRPr="00B66BBD">
              <w:rPr>
                <w:sz w:val="22"/>
                <w:szCs w:val="22"/>
              </w:rPr>
              <w:t xml:space="preserve"> discard product</w:t>
            </w:r>
          </w:p>
          <w:p w14:paraId="507D1BBB" w14:textId="77777777" w:rsidR="00B66BBD" w:rsidRPr="00B66BBD" w:rsidRDefault="00B66BBD" w:rsidP="00B66BBD">
            <w:pPr>
              <w:spacing w:before="240"/>
              <w:rPr>
                <w:b/>
                <w:bCs/>
                <w:sz w:val="22"/>
                <w:szCs w:val="22"/>
              </w:rPr>
            </w:pPr>
            <w:r w:rsidRPr="00B66BBD">
              <w:rPr>
                <w:b/>
                <w:bCs/>
                <w:sz w:val="22"/>
                <w:szCs w:val="22"/>
              </w:rPr>
              <w:t>AND</w:t>
            </w:r>
          </w:p>
          <w:p w14:paraId="594E34FB" w14:textId="3C9D46BE" w:rsidR="00B66BBD" w:rsidRPr="00677CAA" w:rsidRDefault="00B66BBD" w:rsidP="00B66BBD">
            <w:pPr>
              <w:spacing w:before="240"/>
              <w:rPr>
                <w:sz w:val="22"/>
                <w:szCs w:val="22"/>
              </w:rPr>
            </w:pPr>
            <w:r>
              <w:rPr>
                <w:sz w:val="22"/>
                <w:szCs w:val="22"/>
              </w:rPr>
              <w:t>I</w:t>
            </w:r>
            <w:r w:rsidRPr="00B66BBD">
              <w:rPr>
                <w:sz w:val="22"/>
                <w:szCs w:val="22"/>
              </w:rPr>
              <w:t xml:space="preserve">nvestigate and resolve the source of contamination to prevent future occurrences </w:t>
            </w:r>
            <w:r w:rsidRPr="00B66BBD">
              <w:rPr>
                <w:b/>
                <w:bCs/>
                <w:sz w:val="22"/>
                <w:szCs w:val="22"/>
              </w:rPr>
              <w:t>OR</w:t>
            </w:r>
            <w:r w:rsidRPr="00B66BBD">
              <w:rPr>
                <w:sz w:val="22"/>
                <w:szCs w:val="22"/>
              </w:rPr>
              <w:t xml:space="preserve"> repair or replace the metal detection device, if applicable.</w:t>
            </w:r>
          </w:p>
        </w:tc>
        <w:tc>
          <w:tcPr>
            <w:tcW w:w="2365" w:type="dxa"/>
          </w:tcPr>
          <w:p w14:paraId="7D44352D" w14:textId="77777777" w:rsidR="00B66BBD" w:rsidRPr="00B66BBD" w:rsidRDefault="00B66BBD" w:rsidP="00B66BBD">
            <w:pPr>
              <w:spacing w:before="240"/>
              <w:rPr>
                <w:sz w:val="22"/>
                <w:szCs w:val="22"/>
              </w:rPr>
            </w:pPr>
            <w:r w:rsidRPr="00B66BBD">
              <w:rPr>
                <w:sz w:val="22"/>
                <w:szCs w:val="22"/>
              </w:rPr>
              <w:t>Review of monitoring and corrective action records within one week.</w:t>
            </w:r>
          </w:p>
          <w:p w14:paraId="3CB8F3C9" w14:textId="77777777" w:rsidR="00B66BBD" w:rsidRPr="00B66BBD" w:rsidRDefault="00B66BBD" w:rsidP="00B66BBD">
            <w:pPr>
              <w:spacing w:before="240"/>
              <w:rPr>
                <w:sz w:val="22"/>
                <w:szCs w:val="22"/>
              </w:rPr>
            </w:pPr>
            <w:r w:rsidRPr="00B66BBD">
              <w:rPr>
                <w:sz w:val="22"/>
                <w:szCs w:val="22"/>
              </w:rPr>
              <w:t>Conduct a validation study to determine settings for the metal detection device.</w:t>
            </w:r>
          </w:p>
          <w:p w14:paraId="1E6D4A5A" w14:textId="77777777" w:rsidR="00B66BBD" w:rsidRPr="00B66BBD" w:rsidRDefault="00B66BBD" w:rsidP="00B66BBD">
            <w:pPr>
              <w:spacing w:before="240"/>
              <w:rPr>
                <w:sz w:val="22"/>
                <w:szCs w:val="22"/>
              </w:rPr>
            </w:pPr>
            <w:r w:rsidRPr="00B66BBD">
              <w:rPr>
                <w:sz w:val="22"/>
                <w:szCs w:val="22"/>
              </w:rPr>
              <w:t>Develop sensitivity standards and test the device at the start of production and at least every four hours during production and wherever changes occur in the process.</w:t>
            </w:r>
          </w:p>
          <w:p w14:paraId="214AC1AE" w14:textId="61CA1A7D" w:rsidR="00B66BBD" w:rsidRPr="00677CAA" w:rsidRDefault="00B66BBD" w:rsidP="00B66BBD">
            <w:pPr>
              <w:spacing w:before="240"/>
              <w:rPr>
                <w:sz w:val="22"/>
                <w:szCs w:val="22"/>
              </w:rPr>
            </w:pPr>
            <w:r w:rsidRPr="00B66BBD">
              <w:rPr>
                <w:sz w:val="22"/>
                <w:szCs w:val="22"/>
              </w:rPr>
              <w:t>Conduct a periodic review—at least annually—of consumer complaints to identify any evidence of physical hazards.</w:t>
            </w:r>
          </w:p>
        </w:tc>
        <w:tc>
          <w:tcPr>
            <w:tcW w:w="1890" w:type="dxa"/>
          </w:tcPr>
          <w:p w14:paraId="2098F5BF" w14:textId="77777777" w:rsidR="00B66BBD" w:rsidRPr="00B66BBD" w:rsidRDefault="00B66BBD" w:rsidP="00B66BBD">
            <w:pPr>
              <w:spacing w:before="240"/>
              <w:rPr>
                <w:sz w:val="22"/>
                <w:szCs w:val="22"/>
              </w:rPr>
            </w:pPr>
            <w:r w:rsidRPr="00B66BBD">
              <w:rPr>
                <w:sz w:val="22"/>
                <w:szCs w:val="22"/>
              </w:rPr>
              <w:t>Monitoring Records including metal detection logs confirming the visual inspection for the metal detector and that it is functioning.</w:t>
            </w:r>
          </w:p>
          <w:p w14:paraId="27186373" w14:textId="4B0D8AE7" w:rsidR="00B66BBD" w:rsidRPr="00B66BBD" w:rsidRDefault="00B66BBD" w:rsidP="00B66BBD">
            <w:pPr>
              <w:spacing w:before="240"/>
              <w:rPr>
                <w:sz w:val="22"/>
                <w:szCs w:val="22"/>
              </w:rPr>
            </w:pPr>
            <w:r w:rsidRPr="00B66BBD">
              <w:rPr>
                <w:sz w:val="22"/>
                <w:szCs w:val="22"/>
              </w:rPr>
              <w:t>Corrective Action Records, if needed</w:t>
            </w:r>
          </w:p>
          <w:p w14:paraId="6DABFC0E" w14:textId="132525BD" w:rsidR="00B66BBD" w:rsidRPr="00B66BBD" w:rsidRDefault="00B66BBD" w:rsidP="00B66BBD">
            <w:pPr>
              <w:spacing w:before="240"/>
              <w:rPr>
                <w:sz w:val="22"/>
                <w:szCs w:val="22"/>
              </w:rPr>
            </w:pPr>
            <w:r w:rsidRPr="00B66BBD">
              <w:rPr>
                <w:sz w:val="22"/>
                <w:szCs w:val="22"/>
              </w:rPr>
              <w:t>Verification records including sensitivity testing, functionality of metal detection devices and consumer complaint report(s)</w:t>
            </w:r>
          </w:p>
          <w:p w14:paraId="1D6E15D2" w14:textId="79F197A6" w:rsidR="00B66BBD" w:rsidRPr="00677CAA" w:rsidRDefault="00B66BBD" w:rsidP="00B66BBD">
            <w:pPr>
              <w:spacing w:before="240"/>
              <w:rPr>
                <w:sz w:val="22"/>
                <w:szCs w:val="22"/>
              </w:rPr>
            </w:pPr>
            <w:r w:rsidRPr="00B66BBD">
              <w:rPr>
                <w:sz w:val="22"/>
                <w:szCs w:val="22"/>
              </w:rPr>
              <w:t>PCQI training records (PCHF only)</w:t>
            </w:r>
          </w:p>
        </w:tc>
      </w:tr>
    </w:tbl>
    <w:p w14:paraId="2251F770" w14:textId="77777777" w:rsidR="00B66BBD" w:rsidRDefault="00B66BBD" w:rsidP="005964A5">
      <w:pPr>
        <w:sectPr w:rsidR="00B66BBD" w:rsidSect="00B66BBD">
          <w:pgSz w:w="15840" w:h="12240" w:orient="landscape"/>
          <w:pgMar w:top="1440" w:right="1440" w:bottom="1440" w:left="1440" w:header="720" w:footer="720" w:gutter="0"/>
          <w:pgNumType w:chapStyle="1"/>
          <w:cols w:space="720"/>
          <w:docGrid w:linePitch="360"/>
        </w:sectPr>
      </w:pPr>
    </w:p>
    <w:p w14:paraId="454FD2AC" w14:textId="130EDD33" w:rsidR="00B66BBD" w:rsidRDefault="00B66BBD" w:rsidP="00846B8F">
      <w:pPr>
        <w:pStyle w:val="Heading3"/>
        <w:numPr>
          <w:ilvl w:val="2"/>
          <w:numId w:val="189"/>
        </w:numPr>
      </w:pPr>
      <w:bookmarkStart w:id="269" w:name="_Toc208503339"/>
      <w:r>
        <w:lastRenderedPageBreak/>
        <w:t>Control Strategy 2 – Visual Inspection</w:t>
      </w:r>
      <w:bookmarkEnd w:id="269"/>
    </w:p>
    <w:p w14:paraId="20E5BF36" w14:textId="77777777" w:rsidR="00B66BBD" w:rsidRDefault="00B66BBD" w:rsidP="00846B8F">
      <w:pPr>
        <w:pStyle w:val="Heading4"/>
        <w:numPr>
          <w:ilvl w:val="3"/>
          <w:numId w:val="189"/>
        </w:numPr>
      </w:pPr>
      <w:r>
        <w:t>Critical Limit(s)/Parameter(s) and Value(s)</w:t>
      </w:r>
    </w:p>
    <w:p w14:paraId="28E52DF2" w14:textId="1ECAE9A5" w:rsidR="00B66BBD" w:rsidRDefault="00B66BBD" w:rsidP="00846B8F">
      <w:pPr>
        <w:pStyle w:val="ListParagraph"/>
        <w:numPr>
          <w:ilvl w:val="0"/>
          <w:numId w:val="111"/>
        </w:numPr>
        <w:spacing w:before="240"/>
        <w:contextualSpacing w:val="0"/>
      </w:pPr>
      <w:r>
        <w:t>For metal or plastic, equipment is in good working order with limited wear and no visible damage or breakage.</w:t>
      </w:r>
    </w:p>
    <w:p w14:paraId="7B2060A5" w14:textId="77777777" w:rsidR="00B66BBD" w:rsidRDefault="00B66BBD" w:rsidP="00846B8F">
      <w:pPr>
        <w:pStyle w:val="ListParagraph"/>
        <w:numPr>
          <w:ilvl w:val="0"/>
          <w:numId w:val="111"/>
        </w:numPr>
        <w:contextualSpacing w:val="0"/>
      </w:pPr>
      <w:r>
        <w:t>For glass, there are no visible signs of broken glass in, on, or around production lines and equipment.</w:t>
      </w:r>
    </w:p>
    <w:p w14:paraId="2428A1F0" w14:textId="77777777" w:rsidR="00B66BBD" w:rsidRDefault="00B66BBD" w:rsidP="00846B8F">
      <w:pPr>
        <w:pStyle w:val="Heading4"/>
        <w:numPr>
          <w:ilvl w:val="3"/>
          <w:numId w:val="189"/>
        </w:numPr>
      </w:pPr>
      <w:r>
        <w:t>Monitoring – What, How, How Often, Who</w:t>
      </w:r>
    </w:p>
    <w:p w14:paraId="45D941BD" w14:textId="77777777" w:rsidR="00B66BBD" w:rsidRDefault="00B66BBD" w:rsidP="00846B8F">
      <w:pPr>
        <w:pStyle w:val="ListParagraph"/>
        <w:numPr>
          <w:ilvl w:val="0"/>
          <w:numId w:val="110"/>
        </w:numPr>
        <w:spacing w:before="240"/>
        <w:contextualSpacing w:val="0"/>
      </w:pPr>
      <w:r>
        <w:t>What will be monitored?</w:t>
      </w:r>
    </w:p>
    <w:p w14:paraId="3ABBC96D" w14:textId="77777777" w:rsidR="00B66BBD" w:rsidRDefault="00B66BBD" w:rsidP="00846B8F">
      <w:pPr>
        <w:pStyle w:val="ListParagraph"/>
        <w:numPr>
          <w:ilvl w:val="1"/>
          <w:numId w:val="110"/>
        </w:numPr>
        <w:contextualSpacing w:val="0"/>
      </w:pPr>
      <w:r>
        <w:t>The condition of processing and packaging equipment.</w:t>
      </w:r>
    </w:p>
    <w:p w14:paraId="512B254D" w14:textId="243EF85E" w:rsidR="00B66BBD" w:rsidRDefault="00B66BBD" w:rsidP="00846B8F">
      <w:pPr>
        <w:pStyle w:val="ListParagraph"/>
        <w:numPr>
          <w:ilvl w:val="1"/>
          <w:numId w:val="110"/>
        </w:numPr>
        <w:contextualSpacing w:val="0"/>
      </w:pPr>
      <w:r>
        <w:t>The presence of or evidence of broken glass.</w:t>
      </w:r>
    </w:p>
    <w:p w14:paraId="7F42D87B" w14:textId="77777777" w:rsidR="00B66BBD" w:rsidRDefault="00B66BBD" w:rsidP="00846B8F">
      <w:pPr>
        <w:pStyle w:val="ListParagraph"/>
        <w:numPr>
          <w:ilvl w:val="0"/>
          <w:numId w:val="110"/>
        </w:numPr>
        <w:contextualSpacing w:val="0"/>
      </w:pPr>
      <w:r>
        <w:t>How will monitoring be done?</w:t>
      </w:r>
    </w:p>
    <w:p w14:paraId="4277DAE6" w14:textId="77777777" w:rsidR="00B66BBD" w:rsidRDefault="00B66BBD" w:rsidP="00846B8F">
      <w:pPr>
        <w:pStyle w:val="ListParagraph"/>
        <w:numPr>
          <w:ilvl w:val="1"/>
          <w:numId w:val="110"/>
        </w:numPr>
        <w:contextualSpacing w:val="0"/>
      </w:pPr>
      <w:r>
        <w:t>Visual inspection</w:t>
      </w:r>
    </w:p>
    <w:p w14:paraId="0B1578E8" w14:textId="77777777" w:rsidR="00B66BBD" w:rsidRDefault="00B66BBD" w:rsidP="00846B8F">
      <w:pPr>
        <w:pStyle w:val="ListParagraph"/>
        <w:numPr>
          <w:ilvl w:val="0"/>
          <w:numId w:val="110"/>
        </w:numPr>
        <w:contextualSpacing w:val="0"/>
      </w:pPr>
      <w:r>
        <w:t>How often will monitoring be done (frequency)?</w:t>
      </w:r>
    </w:p>
    <w:p w14:paraId="51CC1D78" w14:textId="77777777" w:rsidR="00B66BBD" w:rsidRDefault="00B66BBD" w:rsidP="00846B8F">
      <w:pPr>
        <w:pStyle w:val="ListParagraph"/>
        <w:numPr>
          <w:ilvl w:val="1"/>
          <w:numId w:val="110"/>
        </w:numPr>
        <w:contextualSpacing w:val="0"/>
      </w:pPr>
      <w:r>
        <w:t>Before and after each production run and at least every four hours during production.</w:t>
      </w:r>
    </w:p>
    <w:p w14:paraId="1E935F7C" w14:textId="77777777" w:rsidR="00B66BBD" w:rsidRDefault="00B66BBD" w:rsidP="00846B8F">
      <w:pPr>
        <w:pStyle w:val="ListParagraph"/>
        <w:numPr>
          <w:ilvl w:val="0"/>
          <w:numId w:val="110"/>
        </w:numPr>
        <w:contextualSpacing w:val="0"/>
      </w:pPr>
      <w:r>
        <w:t>Who will do the monitoring?</w:t>
      </w:r>
    </w:p>
    <w:p w14:paraId="16C2D830" w14:textId="34DA0732" w:rsidR="00B66BBD" w:rsidRDefault="00B66BBD" w:rsidP="00846B8F">
      <w:pPr>
        <w:pStyle w:val="ListParagraph"/>
        <w:numPr>
          <w:ilvl w:val="1"/>
          <w:numId w:val="110"/>
        </w:numPr>
        <w:contextualSpacing w:val="0"/>
      </w:pPr>
      <w:r>
        <w:t>An individual with an understanding of the control and trained to carry out the required monitoring procedures.</w:t>
      </w:r>
    </w:p>
    <w:p w14:paraId="4BEC6F7F" w14:textId="77777777" w:rsidR="00B66BBD" w:rsidRDefault="00B66BBD" w:rsidP="00846B8F">
      <w:pPr>
        <w:pStyle w:val="Heading4"/>
        <w:numPr>
          <w:ilvl w:val="3"/>
          <w:numId w:val="189"/>
        </w:numPr>
      </w:pPr>
      <w:r>
        <w:t>Corrective Action/Corrections</w:t>
      </w:r>
    </w:p>
    <w:p w14:paraId="487E2E9B" w14:textId="77777777" w:rsidR="00B66BBD" w:rsidRDefault="00B66BBD" w:rsidP="00846B8F">
      <w:pPr>
        <w:pStyle w:val="ListParagraph"/>
        <w:numPr>
          <w:ilvl w:val="0"/>
          <w:numId w:val="109"/>
        </w:numPr>
        <w:spacing w:before="240"/>
        <w:contextualSpacing w:val="0"/>
      </w:pPr>
      <w:r>
        <w:t xml:space="preserve">If visible signs of damage or missing pieces are observed during equipment inspection, then stop production (if applicable) inspect all product processed since the last acceptable check for missing components or contamination </w:t>
      </w:r>
      <w:r w:rsidRPr="00B66BBD">
        <w:rPr>
          <w:b/>
          <w:bCs/>
        </w:rPr>
        <w:t>OR</w:t>
      </w:r>
      <w:r>
        <w:t xml:space="preserve"> discard all product processed since the last acceptable check </w:t>
      </w:r>
      <w:r w:rsidRPr="00B66BBD">
        <w:rPr>
          <w:b/>
          <w:bCs/>
        </w:rPr>
        <w:t>OR</w:t>
      </w:r>
      <w:r>
        <w:t xml:space="preserve"> divert all product processed since the last acceptable check to non-food use.</w:t>
      </w:r>
    </w:p>
    <w:p w14:paraId="2BCED77D" w14:textId="77777777" w:rsidR="00B66BBD" w:rsidRDefault="00B66BBD" w:rsidP="00846B8F">
      <w:pPr>
        <w:pStyle w:val="ListParagraph"/>
        <w:numPr>
          <w:ilvl w:val="0"/>
          <w:numId w:val="109"/>
        </w:numPr>
        <w:contextualSpacing w:val="0"/>
      </w:pPr>
      <w:r>
        <w:t xml:space="preserve">If visible damage or broken glass is observed during inspection, then stop production (if applicable) and check all product processed since last acceptable check for glass contamination </w:t>
      </w:r>
      <w:r w:rsidRPr="00B66BBD">
        <w:rPr>
          <w:b/>
          <w:bCs/>
        </w:rPr>
        <w:t>OR</w:t>
      </w:r>
      <w:r>
        <w:t xml:space="preserve"> discard product since last acceptable check </w:t>
      </w:r>
      <w:r w:rsidRPr="00B66BBD">
        <w:rPr>
          <w:b/>
          <w:bCs/>
        </w:rPr>
        <w:t>OR</w:t>
      </w:r>
      <w:r>
        <w:t xml:space="preserve"> divert all product produced since last acceptable check to non-food use </w:t>
      </w:r>
      <w:r w:rsidRPr="00B66BBD">
        <w:rPr>
          <w:b/>
          <w:bCs/>
        </w:rPr>
        <w:t>AND</w:t>
      </w:r>
      <w:r>
        <w:t xml:space="preserve"> thoroughly clean affected equipment and area to ensure all glass fragments are removed.</w:t>
      </w:r>
    </w:p>
    <w:p w14:paraId="392D8E75" w14:textId="4AA797C1" w:rsidR="00B66BBD" w:rsidRDefault="00B66BBD" w:rsidP="00B66BBD">
      <w:r w:rsidRPr="00B66BBD">
        <w:rPr>
          <w:b/>
          <w:bCs/>
        </w:rPr>
        <w:lastRenderedPageBreak/>
        <w:t>AND</w:t>
      </w:r>
      <w:r>
        <w:t xml:space="preserve"> address the root cause to prevent future occurrence.</w:t>
      </w:r>
    </w:p>
    <w:p w14:paraId="23BEF340" w14:textId="12AC12B9" w:rsidR="00B66BBD" w:rsidRDefault="00B66BBD" w:rsidP="00846B8F">
      <w:pPr>
        <w:pStyle w:val="ListParagraph"/>
        <w:numPr>
          <w:ilvl w:val="0"/>
          <w:numId w:val="109"/>
        </w:numPr>
        <w:contextualSpacing w:val="0"/>
      </w:pPr>
      <w:r>
        <w:t xml:space="preserve">Identify the source and cause of the breakage or </w:t>
      </w:r>
      <w:r w:rsidR="006D17D6">
        <w:t>contamination and</w:t>
      </w:r>
      <w:r>
        <w:t xml:space="preserve"> implement corrective measures to prevent recurrence before resuming production </w:t>
      </w:r>
      <w:r w:rsidRPr="00B66BBD">
        <w:rPr>
          <w:b/>
          <w:bCs/>
        </w:rPr>
        <w:t>OR</w:t>
      </w:r>
      <w:r>
        <w:t xml:space="preserve"> repair or replace the defective equipment prior to restarting operations.</w:t>
      </w:r>
    </w:p>
    <w:p w14:paraId="6F86A26F" w14:textId="77777777" w:rsidR="00B66BBD" w:rsidRDefault="00B66BBD" w:rsidP="00846B8F">
      <w:pPr>
        <w:pStyle w:val="Heading4"/>
        <w:numPr>
          <w:ilvl w:val="3"/>
          <w:numId w:val="190"/>
        </w:numPr>
      </w:pPr>
      <w:r>
        <w:t>Verification</w:t>
      </w:r>
    </w:p>
    <w:p w14:paraId="1B126168" w14:textId="77777777" w:rsidR="00B66BBD" w:rsidRDefault="00B66BBD" w:rsidP="00846B8F">
      <w:pPr>
        <w:pStyle w:val="ListParagraph"/>
        <w:numPr>
          <w:ilvl w:val="0"/>
          <w:numId w:val="108"/>
        </w:numPr>
        <w:spacing w:before="240"/>
        <w:contextualSpacing w:val="0"/>
      </w:pPr>
      <w:r>
        <w:t>Review of monitoring and corrective action records within one week of preparation to ensure they were completed appropriately.</w:t>
      </w:r>
    </w:p>
    <w:p w14:paraId="2B2F879B" w14:textId="049E3D42" w:rsidR="00B66BBD" w:rsidRDefault="00B66BBD" w:rsidP="00846B8F">
      <w:pPr>
        <w:pStyle w:val="ListParagraph"/>
        <w:numPr>
          <w:ilvl w:val="0"/>
          <w:numId w:val="108"/>
        </w:numPr>
        <w:contextualSpacing w:val="0"/>
      </w:pPr>
      <w:r>
        <w:t>Conduct a periodic review—at least annually—of consumer complaints to identify any evidence of physical hazards.</w:t>
      </w:r>
    </w:p>
    <w:p w14:paraId="59722152" w14:textId="77777777" w:rsidR="00B66BBD" w:rsidRDefault="00B66BBD" w:rsidP="00846B8F">
      <w:pPr>
        <w:pStyle w:val="Heading4"/>
        <w:numPr>
          <w:ilvl w:val="3"/>
          <w:numId w:val="190"/>
        </w:numPr>
      </w:pPr>
      <w:r>
        <w:t>Records</w:t>
      </w:r>
    </w:p>
    <w:p w14:paraId="0A7522BB" w14:textId="77777777" w:rsidR="00B66BBD" w:rsidRDefault="00B66BBD" w:rsidP="00846B8F">
      <w:pPr>
        <w:pStyle w:val="ListParagraph"/>
        <w:numPr>
          <w:ilvl w:val="0"/>
          <w:numId w:val="107"/>
        </w:numPr>
        <w:spacing w:before="240"/>
        <w:contextualSpacing w:val="0"/>
      </w:pPr>
      <w:r w:rsidRPr="00B66BBD">
        <w:rPr>
          <w:b/>
          <w:bCs/>
        </w:rPr>
        <w:t>Monitoring Records:</w:t>
      </w:r>
      <w:r>
        <w:t xml:space="preserve"> Including inspection logs and maintenance logs, the date and time they were conducted, the result of the inspection, and who completed the inspection. Include space for weekly review and initials.</w:t>
      </w:r>
    </w:p>
    <w:p w14:paraId="4AC20E8A" w14:textId="77777777" w:rsidR="00B66BBD" w:rsidRDefault="00B66BBD" w:rsidP="00846B8F">
      <w:pPr>
        <w:pStyle w:val="ListParagraph"/>
        <w:numPr>
          <w:ilvl w:val="0"/>
          <w:numId w:val="107"/>
        </w:numPr>
        <w:contextualSpacing w:val="0"/>
      </w:pPr>
      <w:r w:rsidRPr="00B66BBD">
        <w:rPr>
          <w:b/>
          <w:bCs/>
        </w:rPr>
        <w:t>Corrective Action Records:</w:t>
      </w:r>
      <w:r>
        <w:t xml:space="preserve"> When corrective actions are taken, document the issue, the steps implemented to ensure product safety, and the measures put in place to prevent recurrence.</w:t>
      </w:r>
    </w:p>
    <w:p w14:paraId="11B49D3A" w14:textId="77777777" w:rsidR="00B66BBD" w:rsidRDefault="00B66BBD" w:rsidP="00846B8F">
      <w:pPr>
        <w:pStyle w:val="ListParagraph"/>
        <w:numPr>
          <w:ilvl w:val="0"/>
          <w:numId w:val="107"/>
        </w:numPr>
        <w:contextualSpacing w:val="0"/>
      </w:pPr>
      <w:r w:rsidRPr="00B66BBD">
        <w:rPr>
          <w:b/>
          <w:bCs/>
        </w:rPr>
        <w:t>Verification Records:</w:t>
      </w:r>
      <w:r>
        <w:t xml:space="preserve"> Monitoring records indicating review within one week and periodic consumer complaint report(s).</w:t>
      </w:r>
    </w:p>
    <w:p w14:paraId="59006C6C" w14:textId="77777777" w:rsidR="00B66BBD" w:rsidRDefault="00B66BBD" w:rsidP="00846B8F">
      <w:pPr>
        <w:pStyle w:val="ListParagraph"/>
        <w:numPr>
          <w:ilvl w:val="0"/>
          <w:numId w:val="107"/>
        </w:numPr>
        <w:contextualSpacing w:val="0"/>
      </w:pPr>
      <w:r w:rsidRPr="00B66BBD">
        <w:rPr>
          <w:b/>
          <w:bCs/>
        </w:rPr>
        <w:t>Recall Plan:</w:t>
      </w:r>
      <w:r>
        <w:t xml:space="preserve"> A written recall plan is required for any product with significant hazards when regulated under Preventive Controls for Human Foods (PCHF).</w:t>
      </w:r>
    </w:p>
    <w:p w14:paraId="613F4EE8" w14:textId="77777777" w:rsidR="00B66BBD" w:rsidRDefault="00B66BBD" w:rsidP="00846B8F">
      <w:pPr>
        <w:pStyle w:val="ListParagraph"/>
        <w:numPr>
          <w:ilvl w:val="0"/>
          <w:numId w:val="107"/>
        </w:numPr>
        <w:contextualSpacing w:val="0"/>
        <w:sectPr w:rsidR="00B66BBD" w:rsidSect="00351FDE">
          <w:pgSz w:w="12240" w:h="15840"/>
          <w:pgMar w:top="1440" w:right="1440" w:bottom="1440" w:left="1440" w:header="720" w:footer="720" w:gutter="0"/>
          <w:pgNumType w:chapStyle="1"/>
          <w:cols w:space="720"/>
          <w:docGrid w:linePitch="360"/>
        </w:sectPr>
      </w:pPr>
      <w:r w:rsidRPr="00B66BBD">
        <w:rPr>
          <w:b/>
          <w:bCs/>
        </w:rPr>
        <w:t>Training Records:</w:t>
      </w:r>
      <w:r>
        <w:t xml:space="preserve"> Training records for the preventive controls qualified individual (PCQI) must be maintained if regulated under preventive controls for human foods. While the Seafood HACCP regulation requires a HACCP trained individual to conduct certain activities, training records are not explicitly mandated under the regulation.</w:t>
      </w:r>
    </w:p>
    <w:p w14:paraId="01880F0D" w14:textId="234FF770" w:rsidR="00B66BBD" w:rsidRDefault="00B66BBD" w:rsidP="00846B8F">
      <w:pPr>
        <w:pStyle w:val="Heading4"/>
        <w:numPr>
          <w:ilvl w:val="3"/>
          <w:numId w:val="191"/>
        </w:numPr>
      </w:pPr>
      <w:r>
        <w:lastRenderedPageBreak/>
        <w:t>Example HACCP/Food Safety Plan for Equipment Check</w:t>
      </w:r>
      <w:r w:rsidR="00154BDD">
        <w:t>s</w:t>
      </w:r>
    </w:p>
    <w:p w14:paraId="5BB6118E" w14:textId="77777777" w:rsidR="00B66BBD" w:rsidRDefault="00B66BBD" w:rsidP="00F9694B">
      <w:pPr>
        <w:ind w:left="-1080" w:right="-1080"/>
      </w:pPr>
      <w:r w:rsidRPr="00AC2821">
        <w:t xml:space="preserve">Below is an example showing what a food safety plan could look like. It is intended for illustrative purposes only. Each producer must develop a plan tailored to their unique products, production and processing methods, and regulatory requirements. </w:t>
      </w:r>
      <w:r w:rsidRPr="00AC2821">
        <w:rPr>
          <w:b/>
          <w:bCs/>
        </w:rPr>
        <w:t>This example should not be copied and used without modification to fit your specific operation.</w:t>
      </w:r>
    </w:p>
    <w:p w14:paraId="72CC5864" w14:textId="73B8D190" w:rsidR="00B66BBD" w:rsidRDefault="00B66BBD" w:rsidP="00F9694B">
      <w:pPr>
        <w:spacing w:before="240"/>
        <w:ind w:left="-1080" w:right="-1080"/>
        <w:contextualSpacing/>
      </w:pPr>
      <w:r w:rsidRPr="00E579E8">
        <w:rPr>
          <w:b/>
          <w:bCs/>
        </w:rPr>
        <w:t>Control Strategy:</w:t>
      </w:r>
      <w:r>
        <w:t xml:space="preserve"> Equipment Checks</w:t>
      </w:r>
    </w:p>
    <w:p w14:paraId="2467D789" w14:textId="5C52CF7D" w:rsidR="00B66BBD" w:rsidRDefault="00B66BBD" w:rsidP="00F9694B">
      <w:pPr>
        <w:spacing w:before="240"/>
        <w:ind w:left="-1080" w:right="-1080"/>
        <w:contextualSpacing/>
      </w:pPr>
      <w:r w:rsidRPr="007235FC">
        <w:rPr>
          <w:b/>
          <w:bCs/>
        </w:rPr>
        <w:t>Critical Control Point</w:t>
      </w:r>
      <w:r>
        <w:rPr>
          <w:b/>
          <w:bCs/>
        </w:rPr>
        <w:t xml:space="preserve"> (HACCP) /</w:t>
      </w:r>
      <w:r w:rsidRPr="00BA5895">
        <w:t xml:space="preserve"> </w:t>
      </w:r>
      <w:r w:rsidRPr="00BA5895">
        <w:rPr>
          <w:b/>
          <w:bCs/>
        </w:rPr>
        <w:t>Allergen Preventive Control (PCHF)</w:t>
      </w:r>
      <w:r w:rsidRPr="007235FC">
        <w:rPr>
          <w:b/>
          <w:bCs/>
        </w:rPr>
        <w:t xml:space="preserve">: </w:t>
      </w:r>
      <w:r>
        <w:t>Processing Line</w:t>
      </w:r>
    </w:p>
    <w:p w14:paraId="3EC46921" w14:textId="52ADD39A" w:rsidR="00B66BBD" w:rsidRPr="00AD559E" w:rsidRDefault="00B66BBD" w:rsidP="00F9694B">
      <w:pPr>
        <w:spacing w:before="240"/>
        <w:ind w:left="-1080" w:right="-1080"/>
        <w:contextualSpacing/>
      </w:pPr>
      <w:r w:rsidRPr="00E579E8">
        <w:rPr>
          <w:b/>
          <w:bCs/>
        </w:rPr>
        <w:t>Hazard:</w:t>
      </w:r>
      <w:r>
        <w:t xml:space="preserve"> </w:t>
      </w:r>
      <w:r w:rsidRPr="00B66BBD">
        <w:t>Physical Hazards (Metal and Plastic, Glass)</w:t>
      </w:r>
    </w:p>
    <w:tbl>
      <w:tblPr>
        <w:tblStyle w:val="TableGrid"/>
        <w:tblW w:w="15210" w:type="dxa"/>
        <w:tblInd w:w="-108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tblCellMar>
        <w:tblLook w:val="04A0" w:firstRow="1" w:lastRow="0" w:firstColumn="1" w:lastColumn="0" w:noHBand="0" w:noVBand="1"/>
        <w:tblCaption w:val="Example HACCP/Food Safety Plan for Equipment Checks: Processing Control"/>
        <w:tblDescription w:val="Column Headers: Parameters/Values/Critical Limits, Monitoring (What/How/When/Who as subheader columns within), Corrective Action, Verification, Records."/>
      </w:tblPr>
      <w:tblGrid>
        <w:gridCol w:w="1980"/>
        <w:gridCol w:w="1260"/>
        <w:gridCol w:w="1170"/>
        <w:gridCol w:w="1260"/>
        <w:gridCol w:w="1260"/>
        <w:gridCol w:w="3690"/>
        <w:gridCol w:w="2250"/>
        <w:gridCol w:w="2340"/>
      </w:tblGrid>
      <w:tr w:rsidR="00B66BBD" w14:paraId="7E3ACB51" w14:textId="77777777" w:rsidTr="00A61B74">
        <w:trPr>
          <w:trHeight w:val="390"/>
        </w:trPr>
        <w:tc>
          <w:tcPr>
            <w:tcW w:w="1980" w:type="dxa"/>
            <w:vMerge w:val="restart"/>
            <w:shd w:val="clear" w:color="auto" w:fill="D1D1D1" w:themeFill="background2" w:themeFillShade="E6"/>
          </w:tcPr>
          <w:p w14:paraId="1001DFF9" w14:textId="77777777" w:rsidR="00B66BBD" w:rsidRPr="0001662C" w:rsidRDefault="00B66BBD" w:rsidP="00DF5603">
            <w:pPr>
              <w:jc w:val="center"/>
              <w:rPr>
                <w:b/>
                <w:bCs/>
              </w:rPr>
            </w:pPr>
            <w:r w:rsidRPr="0001662C">
              <w:rPr>
                <w:b/>
                <w:bCs/>
              </w:rPr>
              <w:t>Parameters, Values, Critical Limits</w:t>
            </w:r>
          </w:p>
        </w:tc>
        <w:tc>
          <w:tcPr>
            <w:tcW w:w="4950" w:type="dxa"/>
            <w:gridSpan w:val="4"/>
            <w:shd w:val="clear" w:color="auto" w:fill="D1D1D1" w:themeFill="background2" w:themeFillShade="E6"/>
          </w:tcPr>
          <w:p w14:paraId="32FA03C9" w14:textId="77777777" w:rsidR="00B66BBD" w:rsidRPr="0001662C" w:rsidRDefault="00B66BBD" w:rsidP="00DF5603">
            <w:pPr>
              <w:jc w:val="center"/>
              <w:rPr>
                <w:b/>
                <w:bCs/>
              </w:rPr>
            </w:pPr>
            <w:r w:rsidRPr="0001662C">
              <w:rPr>
                <w:b/>
                <w:bCs/>
              </w:rPr>
              <w:t>Monitoring</w:t>
            </w:r>
          </w:p>
        </w:tc>
        <w:tc>
          <w:tcPr>
            <w:tcW w:w="3690" w:type="dxa"/>
            <w:vMerge w:val="restart"/>
            <w:shd w:val="clear" w:color="auto" w:fill="D1D1D1" w:themeFill="background2" w:themeFillShade="E6"/>
          </w:tcPr>
          <w:p w14:paraId="3C7015EE" w14:textId="77777777" w:rsidR="00B66BBD" w:rsidRPr="0001662C" w:rsidRDefault="00B66BBD" w:rsidP="00DF5603">
            <w:pPr>
              <w:jc w:val="center"/>
              <w:rPr>
                <w:b/>
                <w:bCs/>
              </w:rPr>
            </w:pPr>
            <w:r w:rsidRPr="0001662C">
              <w:rPr>
                <w:b/>
                <w:bCs/>
              </w:rPr>
              <w:t>Corrective Action</w:t>
            </w:r>
          </w:p>
        </w:tc>
        <w:tc>
          <w:tcPr>
            <w:tcW w:w="2250" w:type="dxa"/>
            <w:vMerge w:val="restart"/>
            <w:shd w:val="clear" w:color="auto" w:fill="D1D1D1" w:themeFill="background2" w:themeFillShade="E6"/>
          </w:tcPr>
          <w:p w14:paraId="3306121F" w14:textId="77777777" w:rsidR="00B66BBD" w:rsidRPr="0001662C" w:rsidRDefault="00B66BBD" w:rsidP="00DF5603">
            <w:pPr>
              <w:jc w:val="center"/>
              <w:rPr>
                <w:b/>
                <w:bCs/>
              </w:rPr>
            </w:pPr>
            <w:r w:rsidRPr="0001662C">
              <w:rPr>
                <w:b/>
                <w:bCs/>
              </w:rPr>
              <w:t>Verification</w:t>
            </w:r>
          </w:p>
        </w:tc>
        <w:tc>
          <w:tcPr>
            <w:tcW w:w="2340" w:type="dxa"/>
            <w:vMerge w:val="restart"/>
            <w:shd w:val="clear" w:color="auto" w:fill="D1D1D1" w:themeFill="background2" w:themeFillShade="E6"/>
          </w:tcPr>
          <w:p w14:paraId="0AF1EDC1" w14:textId="77777777" w:rsidR="00B66BBD" w:rsidRPr="0001662C" w:rsidRDefault="00B66BBD" w:rsidP="00DF5603">
            <w:pPr>
              <w:jc w:val="center"/>
              <w:rPr>
                <w:b/>
                <w:bCs/>
              </w:rPr>
            </w:pPr>
            <w:r w:rsidRPr="0001662C">
              <w:rPr>
                <w:b/>
                <w:bCs/>
              </w:rPr>
              <w:t>Records</w:t>
            </w:r>
          </w:p>
        </w:tc>
      </w:tr>
      <w:tr w:rsidR="00BB3043" w14:paraId="31C6CD43" w14:textId="77777777" w:rsidTr="00A61B74">
        <w:trPr>
          <w:trHeight w:val="20"/>
        </w:trPr>
        <w:tc>
          <w:tcPr>
            <w:tcW w:w="1980" w:type="dxa"/>
            <w:vMerge/>
          </w:tcPr>
          <w:p w14:paraId="3096EA32" w14:textId="77777777" w:rsidR="00B66BBD" w:rsidRPr="0001662C" w:rsidRDefault="00B66BBD" w:rsidP="00DF5603">
            <w:pPr>
              <w:rPr>
                <w:b/>
                <w:bCs/>
              </w:rPr>
            </w:pPr>
          </w:p>
        </w:tc>
        <w:tc>
          <w:tcPr>
            <w:tcW w:w="1260" w:type="dxa"/>
            <w:shd w:val="clear" w:color="auto" w:fill="D1D1D1" w:themeFill="background2" w:themeFillShade="E6"/>
          </w:tcPr>
          <w:p w14:paraId="28A35F1A" w14:textId="77777777" w:rsidR="00B66BBD" w:rsidRPr="0001662C" w:rsidRDefault="00B66BBD" w:rsidP="00DF5603">
            <w:pPr>
              <w:jc w:val="center"/>
              <w:rPr>
                <w:b/>
                <w:bCs/>
              </w:rPr>
            </w:pPr>
            <w:r w:rsidRPr="0001662C">
              <w:rPr>
                <w:b/>
                <w:bCs/>
              </w:rPr>
              <w:t>What</w:t>
            </w:r>
          </w:p>
        </w:tc>
        <w:tc>
          <w:tcPr>
            <w:tcW w:w="1170" w:type="dxa"/>
            <w:shd w:val="clear" w:color="auto" w:fill="D1D1D1" w:themeFill="background2" w:themeFillShade="E6"/>
          </w:tcPr>
          <w:p w14:paraId="1E84213E" w14:textId="77777777" w:rsidR="00B66BBD" w:rsidRPr="0001662C" w:rsidRDefault="00B66BBD" w:rsidP="00DF5603">
            <w:pPr>
              <w:jc w:val="center"/>
              <w:rPr>
                <w:b/>
                <w:bCs/>
              </w:rPr>
            </w:pPr>
            <w:r w:rsidRPr="0001662C">
              <w:rPr>
                <w:b/>
                <w:bCs/>
              </w:rPr>
              <w:t>How</w:t>
            </w:r>
          </w:p>
        </w:tc>
        <w:tc>
          <w:tcPr>
            <w:tcW w:w="1260" w:type="dxa"/>
            <w:shd w:val="clear" w:color="auto" w:fill="D1D1D1" w:themeFill="background2" w:themeFillShade="E6"/>
          </w:tcPr>
          <w:p w14:paraId="4DFC1539" w14:textId="77777777" w:rsidR="00B66BBD" w:rsidRPr="0001662C" w:rsidRDefault="00B66BBD" w:rsidP="00DF5603">
            <w:pPr>
              <w:jc w:val="center"/>
              <w:rPr>
                <w:b/>
                <w:bCs/>
              </w:rPr>
            </w:pPr>
            <w:r w:rsidRPr="0001662C">
              <w:rPr>
                <w:b/>
                <w:bCs/>
              </w:rPr>
              <w:t>When</w:t>
            </w:r>
          </w:p>
        </w:tc>
        <w:tc>
          <w:tcPr>
            <w:tcW w:w="1260" w:type="dxa"/>
            <w:shd w:val="clear" w:color="auto" w:fill="D1D1D1" w:themeFill="background2" w:themeFillShade="E6"/>
          </w:tcPr>
          <w:p w14:paraId="5AC71368" w14:textId="77777777" w:rsidR="00B66BBD" w:rsidRPr="0001662C" w:rsidRDefault="00B66BBD" w:rsidP="00DF5603">
            <w:pPr>
              <w:jc w:val="center"/>
              <w:rPr>
                <w:b/>
                <w:bCs/>
              </w:rPr>
            </w:pPr>
            <w:r w:rsidRPr="0001662C">
              <w:rPr>
                <w:b/>
                <w:bCs/>
              </w:rPr>
              <w:t>Who</w:t>
            </w:r>
          </w:p>
        </w:tc>
        <w:tc>
          <w:tcPr>
            <w:tcW w:w="3690" w:type="dxa"/>
            <w:vMerge/>
          </w:tcPr>
          <w:p w14:paraId="2240659C" w14:textId="77777777" w:rsidR="00B66BBD" w:rsidRDefault="00B66BBD" w:rsidP="00DF5603"/>
        </w:tc>
        <w:tc>
          <w:tcPr>
            <w:tcW w:w="2250" w:type="dxa"/>
            <w:vMerge/>
          </w:tcPr>
          <w:p w14:paraId="1B86C992" w14:textId="77777777" w:rsidR="00B66BBD" w:rsidRDefault="00B66BBD" w:rsidP="00DF5603"/>
        </w:tc>
        <w:tc>
          <w:tcPr>
            <w:tcW w:w="2340" w:type="dxa"/>
            <w:vMerge/>
          </w:tcPr>
          <w:p w14:paraId="1CEFACD9" w14:textId="77777777" w:rsidR="00B66BBD" w:rsidRDefault="00B66BBD" w:rsidP="00DF5603"/>
        </w:tc>
      </w:tr>
      <w:tr w:rsidR="00B66BBD" w14:paraId="46A02C80" w14:textId="77777777" w:rsidTr="00A61B74">
        <w:trPr>
          <w:trHeight w:val="5331"/>
        </w:trPr>
        <w:tc>
          <w:tcPr>
            <w:tcW w:w="1980" w:type="dxa"/>
          </w:tcPr>
          <w:p w14:paraId="32BD414F" w14:textId="31D6C70C" w:rsidR="00B66BBD" w:rsidRPr="00677CAA" w:rsidRDefault="00B66BBD" w:rsidP="00DF5603">
            <w:pPr>
              <w:spacing w:before="240"/>
              <w:rPr>
                <w:sz w:val="22"/>
                <w:szCs w:val="22"/>
              </w:rPr>
            </w:pPr>
            <w:r w:rsidRPr="00B66BBD">
              <w:rPr>
                <w:sz w:val="22"/>
                <w:szCs w:val="22"/>
              </w:rPr>
              <w:t>Equipment is in good working order with limited wear and no visible damage or breakage.</w:t>
            </w:r>
          </w:p>
        </w:tc>
        <w:tc>
          <w:tcPr>
            <w:tcW w:w="1260" w:type="dxa"/>
          </w:tcPr>
          <w:p w14:paraId="217F2F7F" w14:textId="00BFFA53" w:rsidR="00B66BBD" w:rsidRPr="00677CAA" w:rsidRDefault="00B66BBD" w:rsidP="00DF5603">
            <w:pPr>
              <w:spacing w:before="240"/>
              <w:rPr>
                <w:sz w:val="22"/>
                <w:szCs w:val="22"/>
              </w:rPr>
            </w:pPr>
            <w:r w:rsidRPr="00B66BBD">
              <w:rPr>
                <w:sz w:val="22"/>
                <w:szCs w:val="22"/>
              </w:rPr>
              <w:t>Condition of processing and packaging equipment.</w:t>
            </w:r>
          </w:p>
        </w:tc>
        <w:tc>
          <w:tcPr>
            <w:tcW w:w="1170" w:type="dxa"/>
          </w:tcPr>
          <w:p w14:paraId="274DCCAB" w14:textId="290F03E9" w:rsidR="00B66BBD" w:rsidRPr="00677CAA" w:rsidRDefault="00B66BBD" w:rsidP="00DF5603">
            <w:pPr>
              <w:spacing w:before="240"/>
              <w:rPr>
                <w:sz w:val="22"/>
                <w:szCs w:val="22"/>
              </w:rPr>
            </w:pPr>
            <w:r w:rsidRPr="00B66BBD">
              <w:rPr>
                <w:sz w:val="22"/>
                <w:szCs w:val="22"/>
              </w:rPr>
              <w:t>Visual Inspection</w:t>
            </w:r>
          </w:p>
        </w:tc>
        <w:tc>
          <w:tcPr>
            <w:tcW w:w="1260" w:type="dxa"/>
          </w:tcPr>
          <w:p w14:paraId="6EB17211" w14:textId="6E6A0433" w:rsidR="00B66BBD" w:rsidRPr="00677CAA" w:rsidRDefault="00B66BBD" w:rsidP="00DF5603">
            <w:pPr>
              <w:spacing w:before="240"/>
              <w:rPr>
                <w:sz w:val="22"/>
                <w:szCs w:val="22"/>
              </w:rPr>
            </w:pPr>
            <w:r w:rsidRPr="00B66BBD">
              <w:rPr>
                <w:sz w:val="22"/>
                <w:szCs w:val="22"/>
              </w:rPr>
              <w:t>Before and after each production run and at least every four hours during production.</w:t>
            </w:r>
          </w:p>
        </w:tc>
        <w:tc>
          <w:tcPr>
            <w:tcW w:w="1260" w:type="dxa"/>
          </w:tcPr>
          <w:p w14:paraId="2871EDFD" w14:textId="0981439A" w:rsidR="00B66BBD" w:rsidRPr="00677CAA" w:rsidRDefault="00B66BBD" w:rsidP="00DF5603">
            <w:pPr>
              <w:spacing w:before="240"/>
              <w:rPr>
                <w:sz w:val="22"/>
                <w:szCs w:val="22"/>
              </w:rPr>
            </w:pPr>
            <w:r w:rsidRPr="00B66BBD">
              <w:rPr>
                <w:sz w:val="22"/>
                <w:szCs w:val="22"/>
              </w:rPr>
              <w:t xml:space="preserve">Production </w:t>
            </w:r>
            <w:r>
              <w:rPr>
                <w:sz w:val="22"/>
                <w:szCs w:val="22"/>
              </w:rPr>
              <w:t>L</w:t>
            </w:r>
            <w:r w:rsidRPr="00B66BBD">
              <w:rPr>
                <w:sz w:val="22"/>
                <w:szCs w:val="22"/>
              </w:rPr>
              <w:t xml:space="preserve">ine </w:t>
            </w:r>
            <w:r>
              <w:rPr>
                <w:sz w:val="22"/>
                <w:szCs w:val="22"/>
              </w:rPr>
              <w:t>S</w:t>
            </w:r>
            <w:r w:rsidRPr="00B66BBD">
              <w:rPr>
                <w:sz w:val="22"/>
                <w:szCs w:val="22"/>
              </w:rPr>
              <w:t>taff</w:t>
            </w:r>
          </w:p>
        </w:tc>
        <w:tc>
          <w:tcPr>
            <w:tcW w:w="3690" w:type="dxa"/>
          </w:tcPr>
          <w:p w14:paraId="4F11DC52" w14:textId="2C6B19B6" w:rsidR="00B66BBD" w:rsidRPr="00B66BBD" w:rsidRDefault="00B66BBD" w:rsidP="00B66BBD">
            <w:pPr>
              <w:spacing w:before="240"/>
              <w:rPr>
                <w:sz w:val="22"/>
                <w:szCs w:val="22"/>
              </w:rPr>
            </w:pPr>
            <w:r w:rsidRPr="00B66BBD">
              <w:rPr>
                <w:sz w:val="22"/>
                <w:szCs w:val="22"/>
              </w:rPr>
              <w:t xml:space="preserve">If visible signs of damage or missing pieces are observed during equipment inspection, then stop production (if applicable) and inspect all product processed since the last acceptable check for missing components or contamination </w:t>
            </w:r>
            <w:r w:rsidRPr="00B66BBD">
              <w:rPr>
                <w:b/>
                <w:bCs/>
                <w:sz w:val="22"/>
                <w:szCs w:val="22"/>
              </w:rPr>
              <w:t>OR</w:t>
            </w:r>
            <w:r w:rsidRPr="00B66BBD">
              <w:rPr>
                <w:sz w:val="22"/>
                <w:szCs w:val="22"/>
              </w:rPr>
              <w:t xml:space="preserve"> discard all product processed since the last acceptable check </w:t>
            </w:r>
            <w:r w:rsidRPr="00B66BBD">
              <w:rPr>
                <w:b/>
                <w:bCs/>
                <w:sz w:val="22"/>
                <w:szCs w:val="22"/>
              </w:rPr>
              <w:t>OR</w:t>
            </w:r>
            <w:r w:rsidRPr="00B66BBD">
              <w:rPr>
                <w:sz w:val="22"/>
                <w:szCs w:val="22"/>
              </w:rPr>
              <w:t xml:space="preserve"> divert all product processed since the last acceptable check to non-food use.</w:t>
            </w:r>
          </w:p>
          <w:p w14:paraId="1B92F00D" w14:textId="77777777" w:rsidR="00B66BBD" w:rsidRDefault="00B66BBD" w:rsidP="00B66BBD">
            <w:pPr>
              <w:spacing w:before="240"/>
              <w:rPr>
                <w:sz w:val="22"/>
                <w:szCs w:val="22"/>
              </w:rPr>
            </w:pPr>
            <w:r w:rsidRPr="00B66BBD">
              <w:rPr>
                <w:b/>
                <w:bCs/>
                <w:sz w:val="22"/>
                <w:szCs w:val="22"/>
              </w:rPr>
              <w:t>AND</w:t>
            </w:r>
          </w:p>
          <w:p w14:paraId="0EC272D0" w14:textId="01B02995" w:rsidR="00B66BBD" w:rsidRPr="00677CAA" w:rsidRDefault="00B66BBD" w:rsidP="00B66BBD">
            <w:pPr>
              <w:spacing w:before="240"/>
              <w:rPr>
                <w:sz w:val="22"/>
                <w:szCs w:val="22"/>
              </w:rPr>
            </w:pPr>
            <w:r>
              <w:rPr>
                <w:sz w:val="22"/>
                <w:szCs w:val="22"/>
              </w:rPr>
              <w:t>I</w:t>
            </w:r>
            <w:r w:rsidRPr="00B66BBD">
              <w:rPr>
                <w:sz w:val="22"/>
                <w:szCs w:val="22"/>
              </w:rPr>
              <w:t xml:space="preserve">dentify the source and cause of the breakage or </w:t>
            </w:r>
            <w:r w:rsidR="00BB3043" w:rsidRPr="00B66BBD">
              <w:rPr>
                <w:sz w:val="22"/>
                <w:szCs w:val="22"/>
              </w:rPr>
              <w:t>contamination and</w:t>
            </w:r>
            <w:r w:rsidRPr="00B66BBD">
              <w:rPr>
                <w:sz w:val="22"/>
                <w:szCs w:val="22"/>
              </w:rPr>
              <w:t xml:space="preserve"> implement corrective measures to prevent recurrence before resuming production.</w:t>
            </w:r>
          </w:p>
        </w:tc>
        <w:tc>
          <w:tcPr>
            <w:tcW w:w="2250" w:type="dxa"/>
          </w:tcPr>
          <w:p w14:paraId="5E781E99" w14:textId="77777777" w:rsidR="00B66BBD" w:rsidRPr="00B66BBD" w:rsidRDefault="00B66BBD" w:rsidP="00B66BBD">
            <w:pPr>
              <w:spacing w:before="240"/>
              <w:rPr>
                <w:sz w:val="22"/>
                <w:szCs w:val="22"/>
              </w:rPr>
            </w:pPr>
            <w:r w:rsidRPr="00B66BBD">
              <w:rPr>
                <w:sz w:val="22"/>
                <w:szCs w:val="22"/>
              </w:rPr>
              <w:t>Weekly review of monitoring and corrective action records</w:t>
            </w:r>
          </w:p>
          <w:p w14:paraId="1F80222E" w14:textId="413AB5AA" w:rsidR="00B66BBD" w:rsidRPr="00677CAA" w:rsidRDefault="00B66BBD" w:rsidP="00B66BBD">
            <w:pPr>
              <w:spacing w:before="240"/>
              <w:rPr>
                <w:sz w:val="22"/>
                <w:szCs w:val="22"/>
              </w:rPr>
            </w:pPr>
            <w:r w:rsidRPr="00B66BBD">
              <w:rPr>
                <w:sz w:val="22"/>
                <w:szCs w:val="22"/>
              </w:rPr>
              <w:t>Conduct a periodic review—at least annually—of consumer complaints to identify any evidence of physical hazards.</w:t>
            </w:r>
          </w:p>
        </w:tc>
        <w:tc>
          <w:tcPr>
            <w:tcW w:w="2340" w:type="dxa"/>
          </w:tcPr>
          <w:p w14:paraId="45C1A6AD" w14:textId="77777777" w:rsidR="00B66BBD" w:rsidRPr="00B66BBD" w:rsidRDefault="00B66BBD" w:rsidP="00B66BBD">
            <w:pPr>
              <w:spacing w:before="240"/>
              <w:rPr>
                <w:sz w:val="22"/>
                <w:szCs w:val="22"/>
              </w:rPr>
            </w:pPr>
            <w:r w:rsidRPr="00B66BBD">
              <w:rPr>
                <w:sz w:val="22"/>
                <w:szCs w:val="22"/>
              </w:rPr>
              <w:t>Processing log indicating time and status of facilities and equipment during visual inspection</w:t>
            </w:r>
          </w:p>
          <w:p w14:paraId="31240F25" w14:textId="77777777" w:rsidR="00B66BBD" w:rsidRPr="00B66BBD" w:rsidRDefault="00B66BBD" w:rsidP="00B66BBD">
            <w:pPr>
              <w:spacing w:before="240"/>
              <w:rPr>
                <w:sz w:val="22"/>
                <w:szCs w:val="22"/>
              </w:rPr>
            </w:pPr>
            <w:r w:rsidRPr="00B66BBD">
              <w:rPr>
                <w:sz w:val="22"/>
                <w:szCs w:val="22"/>
              </w:rPr>
              <w:t>Verification Records including equipment inspection log and consumer complaint report(s)</w:t>
            </w:r>
          </w:p>
          <w:p w14:paraId="322B6A77" w14:textId="4F65BF2E" w:rsidR="00B66BBD" w:rsidRPr="00677CAA" w:rsidRDefault="00B66BBD" w:rsidP="00B66BBD">
            <w:pPr>
              <w:spacing w:before="240"/>
              <w:rPr>
                <w:sz w:val="22"/>
                <w:szCs w:val="22"/>
              </w:rPr>
            </w:pPr>
            <w:r w:rsidRPr="00B66BBD">
              <w:rPr>
                <w:sz w:val="22"/>
                <w:szCs w:val="22"/>
              </w:rPr>
              <w:t>PCQI training records (PCHF only)</w:t>
            </w:r>
          </w:p>
        </w:tc>
      </w:tr>
    </w:tbl>
    <w:p w14:paraId="59934342" w14:textId="77777777" w:rsidR="00B66BBD" w:rsidRDefault="00B66BBD" w:rsidP="00B66BBD">
      <w:pPr>
        <w:sectPr w:rsidR="00B66BBD" w:rsidSect="00351FDE">
          <w:pgSz w:w="15840" w:h="12240" w:orient="landscape"/>
          <w:pgMar w:top="1440" w:right="1440" w:bottom="1440" w:left="1440" w:header="720" w:footer="720" w:gutter="0"/>
          <w:pgNumType w:chapStyle="1"/>
          <w:cols w:space="720"/>
          <w:docGrid w:linePitch="360"/>
        </w:sectPr>
      </w:pPr>
    </w:p>
    <w:p w14:paraId="1CED6047" w14:textId="6F99C237" w:rsidR="00B66BBD" w:rsidRDefault="004A7BDB" w:rsidP="00846B8F">
      <w:pPr>
        <w:pStyle w:val="Heading3"/>
        <w:numPr>
          <w:ilvl w:val="2"/>
          <w:numId w:val="192"/>
        </w:numPr>
      </w:pPr>
      <w:bookmarkStart w:id="270" w:name="_Toc208503340"/>
      <w:r>
        <w:lastRenderedPageBreak/>
        <w:t>Control Strategy 3 – Processing Control</w:t>
      </w:r>
      <w:bookmarkEnd w:id="270"/>
    </w:p>
    <w:p w14:paraId="3C591BB5" w14:textId="77777777" w:rsidR="004A7BDB" w:rsidRDefault="004A7BDB" w:rsidP="00846B8F">
      <w:pPr>
        <w:pStyle w:val="Heading4"/>
        <w:numPr>
          <w:ilvl w:val="3"/>
          <w:numId w:val="192"/>
        </w:numPr>
      </w:pPr>
      <w:r>
        <w:t>Critical Limit(s)/Parameter(s) and Value(s)</w:t>
      </w:r>
    </w:p>
    <w:p w14:paraId="4188B4D0" w14:textId="77777777" w:rsidR="004A7BDB" w:rsidRDefault="004A7BDB" w:rsidP="00846B8F">
      <w:pPr>
        <w:pStyle w:val="ListParagraph"/>
        <w:numPr>
          <w:ilvl w:val="0"/>
          <w:numId w:val="116"/>
        </w:numPr>
        <w:spacing w:before="240"/>
        <w:contextualSpacing w:val="0"/>
      </w:pPr>
      <w:r>
        <w:t>Product passes through a filter excluding all foreign material greater than 0.3 inches (7mm).</w:t>
      </w:r>
    </w:p>
    <w:p w14:paraId="348D6309" w14:textId="77777777" w:rsidR="004A7BDB" w:rsidRDefault="004A7BDB" w:rsidP="00846B8F">
      <w:pPr>
        <w:pStyle w:val="Heading4"/>
        <w:numPr>
          <w:ilvl w:val="3"/>
          <w:numId w:val="192"/>
        </w:numPr>
      </w:pPr>
      <w:r>
        <w:t>Monitoring – What, How, How Often, Who</w:t>
      </w:r>
    </w:p>
    <w:p w14:paraId="2F1D1115" w14:textId="77777777" w:rsidR="004A7BDB" w:rsidRDefault="004A7BDB" w:rsidP="00846B8F">
      <w:pPr>
        <w:pStyle w:val="ListParagraph"/>
        <w:numPr>
          <w:ilvl w:val="0"/>
          <w:numId w:val="115"/>
        </w:numPr>
        <w:spacing w:before="240"/>
        <w:contextualSpacing w:val="0"/>
      </w:pPr>
      <w:r>
        <w:t>What will be monitored?</w:t>
      </w:r>
    </w:p>
    <w:p w14:paraId="0925310B" w14:textId="77777777" w:rsidR="004A7BDB" w:rsidRDefault="004A7BDB" w:rsidP="00846B8F">
      <w:pPr>
        <w:pStyle w:val="ListParagraph"/>
        <w:numPr>
          <w:ilvl w:val="1"/>
          <w:numId w:val="115"/>
        </w:numPr>
        <w:contextualSpacing w:val="0"/>
      </w:pPr>
      <w:r>
        <w:t>Functionality of the filtering device, including screen integrity or sieve clogging.</w:t>
      </w:r>
    </w:p>
    <w:p w14:paraId="72D72160" w14:textId="77777777" w:rsidR="004A7BDB" w:rsidRDefault="004A7BDB" w:rsidP="00846B8F">
      <w:pPr>
        <w:pStyle w:val="ListParagraph"/>
        <w:numPr>
          <w:ilvl w:val="0"/>
          <w:numId w:val="115"/>
        </w:numPr>
        <w:contextualSpacing w:val="0"/>
      </w:pPr>
      <w:r>
        <w:t>How will monitoring be done?</w:t>
      </w:r>
    </w:p>
    <w:p w14:paraId="42284A6C" w14:textId="77777777" w:rsidR="004A7BDB" w:rsidRDefault="004A7BDB" w:rsidP="00846B8F">
      <w:pPr>
        <w:pStyle w:val="ListParagraph"/>
        <w:numPr>
          <w:ilvl w:val="1"/>
          <w:numId w:val="115"/>
        </w:numPr>
        <w:contextualSpacing w:val="0"/>
      </w:pPr>
      <w:r>
        <w:t>Visual inspection of the product filtration process</w:t>
      </w:r>
    </w:p>
    <w:p w14:paraId="1EBBF677" w14:textId="77777777" w:rsidR="004A7BDB" w:rsidRDefault="004A7BDB" w:rsidP="00846B8F">
      <w:pPr>
        <w:pStyle w:val="ListParagraph"/>
        <w:numPr>
          <w:ilvl w:val="0"/>
          <w:numId w:val="115"/>
        </w:numPr>
        <w:contextualSpacing w:val="0"/>
      </w:pPr>
      <w:r>
        <w:t>How often will monitoring be done (frequency)?</w:t>
      </w:r>
    </w:p>
    <w:p w14:paraId="2BEAF5EB" w14:textId="77777777" w:rsidR="004A7BDB" w:rsidRDefault="004A7BDB" w:rsidP="00846B8F">
      <w:pPr>
        <w:pStyle w:val="ListParagraph"/>
        <w:numPr>
          <w:ilvl w:val="1"/>
          <w:numId w:val="115"/>
        </w:numPr>
        <w:contextualSpacing w:val="0"/>
      </w:pPr>
      <w:r>
        <w:t>At the start of production, at least every two hours during production and at the end of production.</w:t>
      </w:r>
    </w:p>
    <w:p w14:paraId="6FE9052C" w14:textId="77777777" w:rsidR="004A7BDB" w:rsidRDefault="004A7BDB" w:rsidP="00846B8F">
      <w:pPr>
        <w:pStyle w:val="ListParagraph"/>
        <w:numPr>
          <w:ilvl w:val="0"/>
          <w:numId w:val="115"/>
        </w:numPr>
        <w:contextualSpacing w:val="0"/>
      </w:pPr>
      <w:r>
        <w:t>Who will do the monitoring?</w:t>
      </w:r>
    </w:p>
    <w:p w14:paraId="597849CA" w14:textId="264D1A14" w:rsidR="004A7BDB" w:rsidRDefault="004A7BDB" w:rsidP="00846B8F">
      <w:pPr>
        <w:pStyle w:val="ListParagraph"/>
        <w:numPr>
          <w:ilvl w:val="1"/>
          <w:numId w:val="115"/>
        </w:numPr>
        <w:contextualSpacing w:val="0"/>
      </w:pPr>
      <w:r>
        <w:t>An individual with an understanding of the control and trained to carry out the required monitoring procedures.</w:t>
      </w:r>
    </w:p>
    <w:p w14:paraId="76B3BE4B" w14:textId="77777777" w:rsidR="004A7BDB" w:rsidRDefault="004A7BDB" w:rsidP="00846B8F">
      <w:pPr>
        <w:pStyle w:val="Heading4"/>
        <w:numPr>
          <w:ilvl w:val="3"/>
          <w:numId w:val="192"/>
        </w:numPr>
      </w:pPr>
      <w:r>
        <w:t>Corrective Action/Corrections</w:t>
      </w:r>
    </w:p>
    <w:p w14:paraId="6898435F" w14:textId="77777777" w:rsidR="004A7BDB" w:rsidRDefault="004A7BDB" w:rsidP="00846B8F">
      <w:pPr>
        <w:pStyle w:val="ListParagraph"/>
        <w:numPr>
          <w:ilvl w:val="0"/>
          <w:numId w:val="114"/>
        </w:numPr>
        <w:spacing w:before="240"/>
        <w:contextualSpacing w:val="0"/>
      </w:pPr>
      <w:r>
        <w:t xml:space="preserve">If any product fails to pass through the filtration system, or if the filter is found to be clogged or broken, then rework the product through a properly functioning filter </w:t>
      </w:r>
      <w:r w:rsidRPr="004A7BDB">
        <w:rPr>
          <w:b/>
          <w:bCs/>
        </w:rPr>
        <w:t>OR</w:t>
      </w:r>
      <w:r>
        <w:t xml:space="preserve"> discard the affected product </w:t>
      </w:r>
      <w:r w:rsidRPr="004A7BDB">
        <w:rPr>
          <w:b/>
          <w:bCs/>
        </w:rPr>
        <w:t>OR</w:t>
      </w:r>
      <w:r>
        <w:t xml:space="preserve"> divert the product to a non-food use.</w:t>
      </w:r>
    </w:p>
    <w:p w14:paraId="345D84BB" w14:textId="0421F8A9" w:rsidR="004A7BDB" w:rsidRDefault="004A7BDB" w:rsidP="004A7BDB">
      <w:r w:rsidRPr="004A7BDB">
        <w:rPr>
          <w:b/>
          <w:bCs/>
        </w:rPr>
        <w:t>AND</w:t>
      </w:r>
      <w:r>
        <w:t xml:space="preserve"> address the root cause to prevent future occurrence.</w:t>
      </w:r>
    </w:p>
    <w:p w14:paraId="02B9BF06" w14:textId="53E14507" w:rsidR="004A7BDB" w:rsidRDefault="004A7BDB" w:rsidP="00846B8F">
      <w:pPr>
        <w:pStyle w:val="ListParagraph"/>
        <w:numPr>
          <w:ilvl w:val="0"/>
          <w:numId w:val="114"/>
        </w:numPr>
        <w:contextualSpacing w:val="0"/>
      </w:pPr>
      <w:r>
        <w:t xml:space="preserve">Retrain staff to ensure proper understanding and execution of filtration procedures </w:t>
      </w:r>
      <w:r w:rsidRPr="004A7BDB">
        <w:rPr>
          <w:b/>
          <w:bCs/>
        </w:rPr>
        <w:t>OR</w:t>
      </w:r>
      <w:r>
        <w:t xml:space="preserve"> correct the production line to ensure all product consistently passes through the filtration system </w:t>
      </w:r>
      <w:r w:rsidRPr="004A7BDB">
        <w:rPr>
          <w:b/>
          <w:bCs/>
        </w:rPr>
        <w:t>OR</w:t>
      </w:r>
      <w:r>
        <w:t xml:space="preserve"> repair or replace the filter to restore functionality and prevent future failures.</w:t>
      </w:r>
    </w:p>
    <w:p w14:paraId="2AE1E86D" w14:textId="77777777" w:rsidR="004A7BDB" w:rsidRDefault="004A7BDB" w:rsidP="00846B8F">
      <w:pPr>
        <w:pStyle w:val="Heading4"/>
        <w:numPr>
          <w:ilvl w:val="3"/>
          <w:numId w:val="192"/>
        </w:numPr>
      </w:pPr>
      <w:r>
        <w:t>Verification</w:t>
      </w:r>
    </w:p>
    <w:p w14:paraId="379E6DA0" w14:textId="77777777" w:rsidR="004A7BDB" w:rsidRDefault="004A7BDB" w:rsidP="00846B8F">
      <w:pPr>
        <w:pStyle w:val="ListParagraph"/>
        <w:numPr>
          <w:ilvl w:val="0"/>
          <w:numId w:val="113"/>
        </w:numPr>
        <w:spacing w:before="240"/>
        <w:contextualSpacing w:val="0"/>
      </w:pPr>
      <w:r>
        <w:t>Review of monitoring and corrective action records within one week of preparation to ensure they were completed appropriately.</w:t>
      </w:r>
    </w:p>
    <w:p w14:paraId="53E05D4E" w14:textId="4164AA31" w:rsidR="004A7BDB" w:rsidRDefault="004A7BDB" w:rsidP="00846B8F">
      <w:pPr>
        <w:pStyle w:val="ListParagraph"/>
        <w:numPr>
          <w:ilvl w:val="0"/>
          <w:numId w:val="113"/>
        </w:numPr>
        <w:contextualSpacing w:val="0"/>
      </w:pPr>
      <w:r>
        <w:lastRenderedPageBreak/>
        <w:t>Regular inspection of filtration equipment for signs of wear and damage that may result in contamination of products.</w:t>
      </w:r>
    </w:p>
    <w:p w14:paraId="61684C6E" w14:textId="6722E97F" w:rsidR="004A7BDB" w:rsidRDefault="004A7BDB" w:rsidP="00846B8F">
      <w:pPr>
        <w:pStyle w:val="ListParagraph"/>
        <w:numPr>
          <w:ilvl w:val="0"/>
          <w:numId w:val="113"/>
        </w:numPr>
        <w:contextualSpacing w:val="0"/>
      </w:pPr>
      <w:r>
        <w:t>Conduct a periodic review—at least annually—of consumer complaints to identify any evidence of physical hazards.</w:t>
      </w:r>
    </w:p>
    <w:p w14:paraId="794902A8" w14:textId="77777777" w:rsidR="004A7BDB" w:rsidRDefault="004A7BDB" w:rsidP="00846B8F">
      <w:pPr>
        <w:pStyle w:val="Heading4"/>
        <w:numPr>
          <w:ilvl w:val="3"/>
          <w:numId w:val="192"/>
        </w:numPr>
      </w:pPr>
      <w:r>
        <w:t>Records</w:t>
      </w:r>
    </w:p>
    <w:p w14:paraId="00F7DA0D" w14:textId="4DE1F9B5" w:rsidR="004A7BDB" w:rsidRDefault="004A7BDB" w:rsidP="00846B8F">
      <w:pPr>
        <w:pStyle w:val="ListParagraph"/>
        <w:numPr>
          <w:ilvl w:val="0"/>
          <w:numId w:val="112"/>
        </w:numPr>
        <w:spacing w:before="240"/>
        <w:contextualSpacing w:val="0"/>
      </w:pPr>
      <w:r w:rsidRPr="004A7BDB">
        <w:rPr>
          <w:b/>
          <w:bCs/>
        </w:rPr>
        <w:t>Monitoring Records:</w:t>
      </w:r>
      <w:r>
        <w:t xml:space="preserve"> Demonstrating that filtration is being observed and enforced and equipment is properly maintained.</w:t>
      </w:r>
    </w:p>
    <w:p w14:paraId="3F74D14E" w14:textId="77777777" w:rsidR="004A7BDB" w:rsidRDefault="004A7BDB" w:rsidP="00846B8F">
      <w:pPr>
        <w:pStyle w:val="ListParagraph"/>
        <w:numPr>
          <w:ilvl w:val="0"/>
          <w:numId w:val="112"/>
        </w:numPr>
        <w:contextualSpacing w:val="0"/>
      </w:pPr>
      <w:r w:rsidRPr="004A7BDB">
        <w:rPr>
          <w:b/>
          <w:bCs/>
        </w:rPr>
        <w:t>Corrective Action Records:</w:t>
      </w:r>
      <w:r>
        <w:t xml:space="preserve"> When corrective actions are taken, document the issue, the steps implemented to ensure product safety, and the measures put in place to prevent reoccurrence.</w:t>
      </w:r>
    </w:p>
    <w:p w14:paraId="7F8E7A18" w14:textId="77777777" w:rsidR="004A7BDB" w:rsidRDefault="004A7BDB" w:rsidP="00846B8F">
      <w:pPr>
        <w:pStyle w:val="ListParagraph"/>
        <w:numPr>
          <w:ilvl w:val="0"/>
          <w:numId w:val="112"/>
        </w:numPr>
        <w:contextualSpacing w:val="0"/>
      </w:pPr>
      <w:r w:rsidRPr="004A7BDB">
        <w:rPr>
          <w:b/>
          <w:bCs/>
        </w:rPr>
        <w:t>Verification Records:</w:t>
      </w:r>
      <w:r>
        <w:t xml:space="preserve"> Monitoring records indicating review within one week and periodic consumer complaint report(s).</w:t>
      </w:r>
    </w:p>
    <w:p w14:paraId="17EEF171" w14:textId="77777777" w:rsidR="004A7BDB" w:rsidRDefault="004A7BDB" w:rsidP="00846B8F">
      <w:pPr>
        <w:pStyle w:val="ListParagraph"/>
        <w:numPr>
          <w:ilvl w:val="0"/>
          <w:numId w:val="112"/>
        </w:numPr>
        <w:contextualSpacing w:val="0"/>
      </w:pPr>
      <w:r w:rsidRPr="004A7BDB">
        <w:rPr>
          <w:b/>
          <w:bCs/>
        </w:rPr>
        <w:t>Recall Plan:</w:t>
      </w:r>
      <w:r>
        <w:t xml:space="preserve"> A written recall plan is required for any product with significant hazards when regulated under Preventive Controls for Human Foods (PCHF).</w:t>
      </w:r>
    </w:p>
    <w:p w14:paraId="2B5A3859" w14:textId="77777777" w:rsidR="004A7BDB" w:rsidRDefault="004A7BDB" w:rsidP="00846B8F">
      <w:pPr>
        <w:pStyle w:val="ListParagraph"/>
        <w:numPr>
          <w:ilvl w:val="0"/>
          <w:numId w:val="112"/>
        </w:numPr>
        <w:contextualSpacing w:val="0"/>
        <w:sectPr w:rsidR="004A7BDB" w:rsidSect="00351FDE">
          <w:pgSz w:w="12240" w:h="15840"/>
          <w:pgMar w:top="1440" w:right="1440" w:bottom="1440" w:left="1440" w:header="720" w:footer="720" w:gutter="0"/>
          <w:pgNumType w:chapStyle="1"/>
          <w:cols w:space="720"/>
          <w:docGrid w:linePitch="360"/>
        </w:sectPr>
      </w:pPr>
      <w:r w:rsidRPr="004A7BDB">
        <w:rPr>
          <w:b/>
          <w:bCs/>
        </w:rPr>
        <w:t>Training Records:</w:t>
      </w:r>
      <w:r>
        <w:t xml:space="preserve"> Training records for the preventive controls qualified individual (PCQI) must be maintained if regulated under preventive controls for human foods. While the Seafood HACCP regulation requires a HACCP trained individual to conduct certain activities, training records are not explicitly mandated under the regulation.</w:t>
      </w:r>
    </w:p>
    <w:p w14:paraId="20FD0C5D" w14:textId="283276C2" w:rsidR="004A7BDB" w:rsidRDefault="004A7BDB" w:rsidP="00846B8F">
      <w:pPr>
        <w:pStyle w:val="Heading4"/>
        <w:numPr>
          <w:ilvl w:val="3"/>
          <w:numId w:val="193"/>
        </w:numPr>
      </w:pPr>
      <w:r>
        <w:lastRenderedPageBreak/>
        <w:t>Example HACCP/Food Safety Plan for Processing Control</w:t>
      </w:r>
    </w:p>
    <w:p w14:paraId="26D01EF5" w14:textId="77777777" w:rsidR="004A7BDB" w:rsidRDefault="004A7BDB" w:rsidP="004A7BDB">
      <w:pPr>
        <w:ind w:left="-810" w:right="-900"/>
      </w:pPr>
      <w:r w:rsidRPr="00AC2821">
        <w:t xml:space="preserve">Below is an example showing what a food safety plan could look like. It is intended for illustrative purposes only. Each producer must develop a plan tailored to their unique products, production and processing methods, and regulatory requirements. </w:t>
      </w:r>
      <w:r w:rsidRPr="00AC2821">
        <w:rPr>
          <w:b/>
          <w:bCs/>
        </w:rPr>
        <w:t>This example should not be copied and used without modification to fit your specific operation.</w:t>
      </w:r>
    </w:p>
    <w:p w14:paraId="1940684F" w14:textId="16E1A175" w:rsidR="004A7BDB" w:rsidRDefault="004A7BDB" w:rsidP="004A7BDB">
      <w:pPr>
        <w:spacing w:before="240"/>
        <w:ind w:left="-806"/>
        <w:contextualSpacing/>
      </w:pPr>
      <w:r w:rsidRPr="00E579E8">
        <w:rPr>
          <w:b/>
          <w:bCs/>
        </w:rPr>
        <w:t>Control Strategy:</w:t>
      </w:r>
      <w:r>
        <w:t xml:space="preserve"> Processing Control</w:t>
      </w:r>
    </w:p>
    <w:p w14:paraId="56EE673B" w14:textId="2FE60BEE" w:rsidR="004A7BDB" w:rsidRDefault="004A7BDB" w:rsidP="004A7BDB">
      <w:pPr>
        <w:spacing w:before="240"/>
        <w:ind w:left="-806"/>
        <w:contextualSpacing/>
      </w:pPr>
      <w:r w:rsidRPr="007235FC">
        <w:rPr>
          <w:b/>
          <w:bCs/>
        </w:rPr>
        <w:t>Critical Control Point</w:t>
      </w:r>
      <w:r>
        <w:rPr>
          <w:b/>
          <w:bCs/>
        </w:rPr>
        <w:t xml:space="preserve"> (HACCP) /</w:t>
      </w:r>
      <w:r w:rsidRPr="00BA5895">
        <w:t xml:space="preserve"> </w:t>
      </w:r>
      <w:r w:rsidRPr="00BA5895">
        <w:rPr>
          <w:b/>
          <w:bCs/>
        </w:rPr>
        <w:t>Allergen Preventive Control (PCHF)</w:t>
      </w:r>
      <w:r w:rsidRPr="007235FC">
        <w:rPr>
          <w:b/>
          <w:bCs/>
        </w:rPr>
        <w:t xml:space="preserve">: </w:t>
      </w:r>
      <w:r>
        <w:t>Filtration Step</w:t>
      </w:r>
    </w:p>
    <w:p w14:paraId="12FB15AF" w14:textId="77777777" w:rsidR="004A7BDB" w:rsidRPr="00AD559E" w:rsidRDefault="004A7BDB" w:rsidP="009B73BE">
      <w:pPr>
        <w:spacing w:before="240"/>
        <w:ind w:left="-806"/>
        <w:contextualSpacing/>
      </w:pPr>
      <w:r w:rsidRPr="00E579E8">
        <w:rPr>
          <w:b/>
          <w:bCs/>
        </w:rPr>
        <w:t>Hazard:</w:t>
      </w:r>
      <w:r>
        <w:t xml:space="preserve"> </w:t>
      </w:r>
      <w:r w:rsidRPr="00B66BBD">
        <w:t>Physical Hazards (Metal and Plastic, Glass)</w:t>
      </w:r>
    </w:p>
    <w:tbl>
      <w:tblPr>
        <w:tblStyle w:val="TableGrid"/>
        <w:tblW w:w="14670" w:type="dxa"/>
        <w:tblInd w:w="-815" w:type="dxa"/>
        <w:tbl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insideH w:val="single" w:sz="6" w:space="0" w:color="0D0D0D" w:themeColor="text1" w:themeTint="F2"/>
          <w:insideV w:val="single" w:sz="6" w:space="0" w:color="0D0D0D" w:themeColor="text1" w:themeTint="F2"/>
        </w:tblBorders>
        <w:tblLayout w:type="fixed"/>
        <w:tblCellMar>
          <w:top w:w="86" w:type="dxa"/>
        </w:tblCellMar>
        <w:tblLook w:val="04A0" w:firstRow="1" w:lastRow="0" w:firstColumn="1" w:lastColumn="0" w:noHBand="0" w:noVBand="1"/>
        <w:tblCaption w:val="Example HACCP/Food Safety Plan for Processing Control: Physical Hazards"/>
        <w:tblDescription w:val="Column Headers: Parameters/Values/Critical Limits, Monitoring (What/How/When/Who as subheader columns within), Corrective Action, Verification, Records."/>
      </w:tblPr>
      <w:tblGrid>
        <w:gridCol w:w="2340"/>
        <w:gridCol w:w="1260"/>
        <w:gridCol w:w="1170"/>
        <w:gridCol w:w="1440"/>
        <w:gridCol w:w="1260"/>
        <w:gridCol w:w="2790"/>
        <w:gridCol w:w="2340"/>
        <w:gridCol w:w="2070"/>
      </w:tblGrid>
      <w:tr w:rsidR="004A7BDB" w14:paraId="368D9D7D" w14:textId="77777777" w:rsidTr="00A61B74">
        <w:trPr>
          <w:trHeight w:val="390"/>
        </w:trPr>
        <w:tc>
          <w:tcPr>
            <w:tcW w:w="2340" w:type="dxa"/>
            <w:vMerge w:val="restart"/>
            <w:shd w:val="clear" w:color="auto" w:fill="D1D1D1" w:themeFill="background2" w:themeFillShade="E6"/>
          </w:tcPr>
          <w:p w14:paraId="457B867B" w14:textId="77777777" w:rsidR="004A7BDB" w:rsidRPr="0001662C" w:rsidRDefault="004A7BDB" w:rsidP="00DF5603">
            <w:pPr>
              <w:jc w:val="center"/>
              <w:rPr>
                <w:b/>
                <w:bCs/>
              </w:rPr>
            </w:pPr>
            <w:r w:rsidRPr="0001662C">
              <w:rPr>
                <w:b/>
                <w:bCs/>
              </w:rPr>
              <w:t>Parameters, Values, Critical Limits</w:t>
            </w:r>
          </w:p>
        </w:tc>
        <w:tc>
          <w:tcPr>
            <w:tcW w:w="5130" w:type="dxa"/>
            <w:gridSpan w:val="4"/>
            <w:shd w:val="clear" w:color="auto" w:fill="D1D1D1" w:themeFill="background2" w:themeFillShade="E6"/>
          </w:tcPr>
          <w:p w14:paraId="2EE30775" w14:textId="77777777" w:rsidR="004A7BDB" w:rsidRPr="0001662C" w:rsidRDefault="004A7BDB" w:rsidP="00DF5603">
            <w:pPr>
              <w:jc w:val="center"/>
              <w:rPr>
                <w:b/>
                <w:bCs/>
              </w:rPr>
            </w:pPr>
            <w:r w:rsidRPr="0001662C">
              <w:rPr>
                <w:b/>
                <w:bCs/>
              </w:rPr>
              <w:t>Monitoring</w:t>
            </w:r>
          </w:p>
        </w:tc>
        <w:tc>
          <w:tcPr>
            <w:tcW w:w="2790" w:type="dxa"/>
            <w:vMerge w:val="restart"/>
            <w:shd w:val="clear" w:color="auto" w:fill="D1D1D1" w:themeFill="background2" w:themeFillShade="E6"/>
          </w:tcPr>
          <w:p w14:paraId="56A1E71F" w14:textId="77777777" w:rsidR="004A7BDB" w:rsidRPr="0001662C" w:rsidRDefault="004A7BDB" w:rsidP="00DF5603">
            <w:pPr>
              <w:jc w:val="center"/>
              <w:rPr>
                <w:b/>
                <w:bCs/>
              </w:rPr>
            </w:pPr>
            <w:r w:rsidRPr="0001662C">
              <w:rPr>
                <w:b/>
                <w:bCs/>
              </w:rPr>
              <w:t>Corrective Action</w:t>
            </w:r>
          </w:p>
        </w:tc>
        <w:tc>
          <w:tcPr>
            <w:tcW w:w="2340" w:type="dxa"/>
            <w:vMerge w:val="restart"/>
            <w:shd w:val="clear" w:color="auto" w:fill="D1D1D1" w:themeFill="background2" w:themeFillShade="E6"/>
          </w:tcPr>
          <w:p w14:paraId="1C2C8561" w14:textId="77777777" w:rsidR="004A7BDB" w:rsidRPr="0001662C" w:rsidRDefault="004A7BDB" w:rsidP="00DF5603">
            <w:pPr>
              <w:jc w:val="center"/>
              <w:rPr>
                <w:b/>
                <w:bCs/>
              </w:rPr>
            </w:pPr>
            <w:r w:rsidRPr="0001662C">
              <w:rPr>
                <w:b/>
                <w:bCs/>
              </w:rPr>
              <w:t>Verification</w:t>
            </w:r>
          </w:p>
        </w:tc>
        <w:tc>
          <w:tcPr>
            <w:tcW w:w="2070" w:type="dxa"/>
            <w:vMerge w:val="restart"/>
            <w:shd w:val="clear" w:color="auto" w:fill="D1D1D1" w:themeFill="background2" w:themeFillShade="E6"/>
          </w:tcPr>
          <w:p w14:paraId="73058A0A" w14:textId="77777777" w:rsidR="004A7BDB" w:rsidRPr="0001662C" w:rsidRDefault="004A7BDB" w:rsidP="00DF5603">
            <w:pPr>
              <w:jc w:val="center"/>
              <w:rPr>
                <w:b/>
                <w:bCs/>
              </w:rPr>
            </w:pPr>
            <w:r w:rsidRPr="0001662C">
              <w:rPr>
                <w:b/>
                <w:bCs/>
              </w:rPr>
              <w:t>Records</w:t>
            </w:r>
          </w:p>
        </w:tc>
      </w:tr>
      <w:tr w:rsidR="004A7BDB" w14:paraId="5C9FFC64" w14:textId="77777777" w:rsidTr="00A61B74">
        <w:trPr>
          <w:trHeight w:val="20"/>
        </w:trPr>
        <w:tc>
          <w:tcPr>
            <w:tcW w:w="2340" w:type="dxa"/>
            <w:vMerge/>
          </w:tcPr>
          <w:p w14:paraId="71DFA7FD" w14:textId="77777777" w:rsidR="004A7BDB" w:rsidRPr="0001662C" w:rsidRDefault="004A7BDB" w:rsidP="00DF5603">
            <w:pPr>
              <w:rPr>
                <w:b/>
                <w:bCs/>
              </w:rPr>
            </w:pPr>
          </w:p>
        </w:tc>
        <w:tc>
          <w:tcPr>
            <w:tcW w:w="1260" w:type="dxa"/>
            <w:shd w:val="clear" w:color="auto" w:fill="D1D1D1" w:themeFill="background2" w:themeFillShade="E6"/>
          </w:tcPr>
          <w:p w14:paraId="2C3C7E1C" w14:textId="77777777" w:rsidR="004A7BDB" w:rsidRPr="0001662C" w:rsidRDefault="004A7BDB" w:rsidP="00DF5603">
            <w:pPr>
              <w:jc w:val="center"/>
              <w:rPr>
                <w:b/>
                <w:bCs/>
              </w:rPr>
            </w:pPr>
            <w:r w:rsidRPr="0001662C">
              <w:rPr>
                <w:b/>
                <w:bCs/>
              </w:rPr>
              <w:t>What</w:t>
            </w:r>
          </w:p>
        </w:tc>
        <w:tc>
          <w:tcPr>
            <w:tcW w:w="1170" w:type="dxa"/>
            <w:shd w:val="clear" w:color="auto" w:fill="D1D1D1" w:themeFill="background2" w:themeFillShade="E6"/>
          </w:tcPr>
          <w:p w14:paraId="27BED2E9" w14:textId="77777777" w:rsidR="004A7BDB" w:rsidRPr="0001662C" w:rsidRDefault="004A7BDB" w:rsidP="00DF5603">
            <w:pPr>
              <w:jc w:val="center"/>
              <w:rPr>
                <w:b/>
                <w:bCs/>
              </w:rPr>
            </w:pPr>
            <w:r w:rsidRPr="0001662C">
              <w:rPr>
                <w:b/>
                <w:bCs/>
              </w:rPr>
              <w:t>How</w:t>
            </w:r>
          </w:p>
        </w:tc>
        <w:tc>
          <w:tcPr>
            <w:tcW w:w="1440" w:type="dxa"/>
            <w:shd w:val="clear" w:color="auto" w:fill="D1D1D1" w:themeFill="background2" w:themeFillShade="E6"/>
          </w:tcPr>
          <w:p w14:paraId="5EAE0D35" w14:textId="77777777" w:rsidR="004A7BDB" w:rsidRPr="0001662C" w:rsidRDefault="004A7BDB" w:rsidP="00DF5603">
            <w:pPr>
              <w:jc w:val="center"/>
              <w:rPr>
                <w:b/>
                <w:bCs/>
              </w:rPr>
            </w:pPr>
            <w:r w:rsidRPr="0001662C">
              <w:rPr>
                <w:b/>
                <w:bCs/>
              </w:rPr>
              <w:t>When</w:t>
            </w:r>
          </w:p>
        </w:tc>
        <w:tc>
          <w:tcPr>
            <w:tcW w:w="1260" w:type="dxa"/>
            <w:shd w:val="clear" w:color="auto" w:fill="D1D1D1" w:themeFill="background2" w:themeFillShade="E6"/>
          </w:tcPr>
          <w:p w14:paraId="563D9EEB" w14:textId="77777777" w:rsidR="004A7BDB" w:rsidRPr="0001662C" w:rsidRDefault="004A7BDB" w:rsidP="00DF5603">
            <w:pPr>
              <w:jc w:val="center"/>
              <w:rPr>
                <w:b/>
                <w:bCs/>
              </w:rPr>
            </w:pPr>
            <w:r w:rsidRPr="0001662C">
              <w:rPr>
                <w:b/>
                <w:bCs/>
              </w:rPr>
              <w:t>Who</w:t>
            </w:r>
          </w:p>
        </w:tc>
        <w:tc>
          <w:tcPr>
            <w:tcW w:w="2790" w:type="dxa"/>
            <w:vMerge/>
          </w:tcPr>
          <w:p w14:paraId="15067018" w14:textId="77777777" w:rsidR="004A7BDB" w:rsidRDefault="004A7BDB" w:rsidP="00DF5603"/>
        </w:tc>
        <w:tc>
          <w:tcPr>
            <w:tcW w:w="2340" w:type="dxa"/>
            <w:vMerge/>
          </w:tcPr>
          <w:p w14:paraId="33071093" w14:textId="77777777" w:rsidR="004A7BDB" w:rsidRDefault="004A7BDB" w:rsidP="00DF5603"/>
        </w:tc>
        <w:tc>
          <w:tcPr>
            <w:tcW w:w="2070" w:type="dxa"/>
            <w:vMerge/>
          </w:tcPr>
          <w:p w14:paraId="3113B8A9" w14:textId="77777777" w:rsidR="004A7BDB" w:rsidRDefault="004A7BDB" w:rsidP="00DF5603"/>
        </w:tc>
      </w:tr>
      <w:tr w:rsidR="004A7BDB" w14:paraId="2EC18A26" w14:textId="77777777" w:rsidTr="00A61B74">
        <w:trPr>
          <w:trHeight w:val="5097"/>
        </w:trPr>
        <w:tc>
          <w:tcPr>
            <w:tcW w:w="2340" w:type="dxa"/>
          </w:tcPr>
          <w:p w14:paraId="00A26FBC" w14:textId="55A5703D" w:rsidR="004A7BDB" w:rsidRPr="00677CAA" w:rsidRDefault="004A7BDB" w:rsidP="00DF5603">
            <w:pPr>
              <w:spacing w:before="240"/>
              <w:rPr>
                <w:sz w:val="22"/>
                <w:szCs w:val="22"/>
              </w:rPr>
            </w:pPr>
            <w:r w:rsidRPr="004A7BDB">
              <w:rPr>
                <w:sz w:val="22"/>
                <w:szCs w:val="22"/>
              </w:rPr>
              <w:t>Product passes through a filter excluding all foreign material greater than 0.3 inches (7mm).</w:t>
            </w:r>
          </w:p>
        </w:tc>
        <w:tc>
          <w:tcPr>
            <w:tcW w:w="1260" w:type="dxa"/>
          </w:tcPr>
          <w:p w14:paraId="72A525E2" w14:textId="1891F236" w:rsidR="004A7BDB" w:rsidRPr="00677CAA" w:rsidRDefault="004A7BDB" w:rsidP="00DF5603">
            <w:pPr>
              <w:spacing w:before="240"/>
              <w:rPr>
                <w:sz w:val="22"/>
                <w:szCs w:val="22"/>
              </w:rPr>
            </w:pPr>
            <w:r w:rsidRPr="004A7BDB">
              <w:rPr>
                <w:sz w:val="22"/>
                <w:szCs w:val="22"/>
              </w:rPr>
              <w:t>Filtration</w:t>
            </w:r>
          </w:p>
        </w:tc>
        <w:tc>
          <w:tcPr>
            <w:tcW w:w="1170" w:type="dxa"/>
          </w:tcPr>
          <w:p w14:paraId="44AB3DD9" w14:textId="77777777" w:rsidR="004A7BDB" w:rsidRPr="00677CAA" w:rsidRDefault="004A7BDB" w:rsidP="00DF5603">
            <w:pPr>
              <w:spacing w:before="240"/>
              <w:rPr>
                <w:sz w:val="22"/>
                <w:szCs w:val="22"/>
              </w:rPr>
            </w:pPr>
            <w:r w:rsidRPr="00B66BBD">
              <w:rPr>
                <w:sz w:val="22"/>
                <w:szCs w:val="22"/>
              </w:rPr>
              <w:t>Visual Inspection</w:t>
            </w:r>
          </w:p>
        </w:tc>
        <w:tc>
          <w:tcPr>
            <w:tcW w:w="1440" w:type="dxa"/>
          </w:tcPr>
          <w:p w14:paraId="78707EAD" w14:textId="7C9B0B1A" w:rsidR="004A7BDB" w:rsidRPr="00677CAA" w:rsidRDefault="004A7BDB" w:rsidP="00DF5603">
            <w:pPr>
              <w:spacing w:before="240"/>
              <w:rPr>
                <w:sz w:val="22"/>
                <w:szCs w:val="22"/>
              </w:rPr>
            </w:pPr>
            <w:r w:rsidRPr="004A7BDB">
              <w:rPr>
                <w:sz w:val="22"/>
                <w:szCs w:val="22"/>
              </w:rPr>
              <w:t>At the start of production, at least every two hours during production</w:t>
            </w:r>
            <w:r w:rsidR="00C9575E">
              <w:rPr>
                <w:sz w:val="22"/>
                <w:szCs w:val="22"/>
              </w:rPr>
              <w:t>,</w:t>
            </w:r>
            <w:r w:rsidRPr="004A7BDB">
              <w:rPr>
                <w:sz w:val="22"/>
                <w:szCs w:val="22"/>
              </w:rPr>
              <w:t xml:space="preserve"> and at the end of production.</w:t>
            </w:r>
          </w:p>
        </w:tc>
        <w:tc>
          <w:tcPr>
            <w:tcW w:w="1260" w:type="dxa"/>
          </w:tcPr>
          <w:p w14:paraId="0EB8B2AE" w14:textId="70A3E71E" w:rsidR="004A7BDB" w:rsidRPr="00677CAA" w:rsidRDefault="004A7BDB" w:rsidP="00DF5603">
            <w:pPr>
              <w:spacing w:before="240"/>
              <w:rPr>
                <w:sz w:val="22"/>
                <w:szCs w:val="22"/>
              </w:rPr>
            </w:pPr>
            <w:r>
              <w:rPr>
                <w:sz w:val="22"/>
                <w:szCs w:val="22"/>
              </w:rPr>
              <w:t>Q</w:t>
            </w:r>
            <w:r w:rsidRPr="004A7BDB">
              <w:rPr>
                <w:sz w:val="22"/>
                <w:szCs w:val="22"/>
              </w:rPr>
              <w:t>A Manager</w:t>
            </w:r>
          </w:p>
        </w:tc>
        <w:tc>
          <w:tcPr>
            <w:tcW w:w="2790" w:type="dxa"/>
          </w:tcPr>
          <w:p w14:paraId="751D569B" w14:textId="7CA8889E" w:rsidR="004A7BDB" w:rsidRPr="004A7BDB" w:rsidRDefault="004A7BDB" w:rsidP="004A7BDB">
            <w:pPr>
              <w:spacing w:before="240"/>
              <w:rPr>
                <w:sz w:val="22"/>
                <w:szCs w:val="22"/>
              </w:rPr>
            </w:pPr>
            <w:r w:rsidRPr="004A7BDB">
              <w:rPr>
                <w:sz w:val="22"/>
                <w:szCs w:val="22"/>
              </w:rPr>
              <w:t xml:space="preserve">If any product does not pass through filtration, then, rework product through the filter </w:t>
            </w:r>
            <w:r w:rsidRPr="00A61B74">
              <w:rPr>
                <w:b/>
                <w:bCs/>
                <w:sz w:val="22"/>
                <w:szCs w:val="22"/>
              </w:rPr>
              <w:t>OR</w:t>
            </w:r>
            <w:r w:rsidRPr="004A7BDB">
              <w:rPr>
                <w:sz w:val="22"/>
                <w:szCs w:val="22"/>
              </w:rPr>
              <w:t xml:space="preserve"> discard product</w:t>
            </w:r>
          </w:p>
          <w:p w14:paraId="2F31B196" w14:textId="7591FD1F" w:rsidR="004A7BDB" w:rsidRPr="004A7BDB" w:rsidRDefault="004A7BDB" w:rsidP="004A7BDB">
            <w:pPr>
              <w:spacing w:before="240"/>
              <w:rPr>
                <w:b/>
                <w:bCs/>
                <w:sz w:val="22"/>
                <w:szCs w:val="22"/>
              </w:rPr>
            </w:pPr>
            <w:r w:rsidRPr="004A7BDB">
              <w:rPr>
                <w:b/>
                <w:bCs/>
                <w:sz w:val="22"/>
                <w:szCs w:val="22"/>
              </w:rPr>
              <w:t>AND</w:t>
            </w:r>
          </w:p>
          <w:p w14:paraId="6771259F" w14:textId="011DF6CE" w:rsidR="004A7BDB" w:rsidRPr="00677CAA" w:rsidRDefault="004A7BDB" w:rsidP="004A7BDB">
            <w:pPr>
              <w:spacing w:before="240"/>
              <w:rPr>
                <w:sz w:val="22"/>
                <w:szCs w:val="22"/>
              </w:rPr>
            </w:pPr>
            <w:r>
              <w:rPr>
                <w:sz w:val="22"/>
                <w:szCs w:val="22"/>
              </w:rPr>
              <w:t>I</w:t>
            </w:r>
            <w:r w:rsidRPr="004A7BDB">
              <w:rPr>
                <w:sz w:val="22"/>
                <w:szCs w:val="22"/>
              </w:rPr>
              <w:t>dentify and address the root cause of the deviation to prevent future occurrences.</w:t>
            </w:r>
          </w:p>
        </w:tc>
        <w:tc>
          <w:tcPr>
            <w:tcW w:w="2340" w:type="dxa"/>
          </w:tcPr>
          <w:p w14:paraId="206BAA04" w14:textId="688E129A" w:rsidR="004A7BDB" w:rsidRPr="004A7BDB" w:rsidRDefault="004A7BDB" w:rsidP="004A7BDB">
            <w:pPr>
              <w:spacing w:before="240"/>
              <w:rPr>
                <w:sz w:val="22"/>
                <w:szCs w:val="22"/>
              </w:rPr>
            </w:pPr>
            <w:r w:rsidRPr="004A7BDB">
              <w:rPr>
                <w:sz w:val="22"/>
                <w:szCs w:val="22"/>
              </w:rPr>
              <w:t>Review of monitoring and corrective action records within one week.</w:t>
            </w:r>
          </w:p>
          <w:p w14:paraId="5D660E8E" w14:textId="77777777" w:rsidR="004A7BDB" w:rsidRPr="004A7BDB" w:rsidRDefault="004A7BDB" w:rsidP="004A7BDB">
            <w:pPr>
              <w:spacing w:before="240"/>
              <w:rPr>
                <w:sz w:val="22"/>
                <w:szCs w:val="22"/>
              </w:rPr>
            </w:pPr>
            <w:r w:rsidRPr="004A7BDB">
              <w:rPr>
                <w:sz w:val="22"/>
                <w:szCs w:val="22"/>
              </w:rPr>
              <w:t>Regular inspection of filtration equipment for signs of wear and damage that may result in contamination of products.</w:t>
            </w:r>
          </w:p>
          <w:p w14:paraId="44F2841E" w14:textId="2F493E48" w:rsidR="004A7BDB" w:rsidRPr="00677CAA" w:rsidRDefault="004A7BDB" w:rsidP="004A7BDB">
            <w:pPr>
              <w:spacing w:before="240"/>
              <w:rPr>
                <w:sz w:val="22"/>
                <w:szCs w:val="22"/>
              </w:rPr>
            </w:pPr>
            <w:r w:rsidRPr="004A7BDB">
              <w:rPr>
                <w:sz w:val="22"/>
                <w:szCs w:val="22"/>
              </w:rPr>
              <w:t>Conduct a periodic review—at least annually—of consumer complaints to identify any evidence of physical hazards.</w:t>
            </w:r>
          </w:p>
        </w:tc>
        <w:tc>
          <w:tcPr>
            <w:tcW w:w="2070" w:type="dxa"/>
          </w:tcPr>
          <w:p w14:paraId="1BFAA478" w14:textId="2D6C8BDE" w:rsidR="004A7BDB" w:rsidRPr="004A7BDB" w:rsidRDefault="004A7BDB" w:rsidP="004A7BDB">
            <w:pPr>
              <w:spacing w:before="240"/>
              <w:rPr>
                <w:sz w:val="22"/>
                <w:szCs w:val="22"/>
              </w:rPr>
            </w:pPr>
            <w:r w:rsidRPr="004A7BDB">
              <w:rPr>
                <w:sz w:val="22"/>
                <w:szCs w:val="22"/>
              </w:rPr>
              <w:t>Monitoring Records demonstrating that filtration is being observed and enforced.</w:t>
            </w:r>
          </w:p>
          <w:p w14:paraId="798462FC" w14:textId="77777777" w:rsidR="004A7BDB" w:rsidRPr="004A7BDB" w:rsidRDefault="004A7BDB" w:rsidP="004A7BDB">
            <w:pPr>
              <w:spacing w:before="240"/>
              <w:rPr>
                <w:sz w:val="22"/>
                <w:szCs w:val="22"/>
              </w:rPr>
            </w:pPr>
            <w:r w:rsidRPr="004A7BDB">
              <w:rPr>
                <w:sz w:val="22"/>
                <w:szCs w:val="22"/>
              </w:rPr>
              <w:t>Corrective Action Records, if necessary</w:t>
            </w:r>
          </w:p>
          <w:p w14:paraId="66D6641E" w14:textId="77777777" w:rsidR="004A7BDB" w:rsidRPr="004A7BDB" w:rsidRDefault="004A7BDB" w:rsidP="004A7BDB">
            <w:pPr>
              <w:spacing w:before="240"/>
              <w:rPr>
                <w:sz w:val="22"/>
                <w:szCs w:val="22"/>
              </w:rPr>
            </w:pPr>
            <w:r w:rsidRPr="004A7BDB">
              <w:rPr>
                <w:sz w:val="22"/>
                <w:szCs w:val="22"/>
              </w:rPr>
              <w:t>Verification Records including filtration inspection log and consumer complaint report(s)</w:t>
            </w:r>
          </w:p>
          <w:p w14:paraId="7CBB0BD3" w14:textId="49CBB56E" w:rsidR="004A7BDB" w:rsidRPr="00677CAA" w:rsidRDefault="004A7BDB" w:rsidP="004A7BDB">
            <w:pPr>
              <w:spacing w:before="240"/>
              <w:rPr>
                <w:sz w:val="22"/>
                <w:szCs w:val="22"/>
              </w:rPr>
            </w:pPr>
            <w:r w:rsidRPr="004A7BDB">
              <w:rPr>
                <w:sz w:val="22"/>
                <w:szCs w:val="22"/>
              </w:rPr>
              <w:t>PCQI training records (PCHF only)</w:t>
            </w:r>
          </w:p>
        </w:tc>
      </w:tr>
    </w:tbl>
    <w:p w14:paraId="647BDF80" w14:textId="77777777" w:rsidR="004A7BDB" w:rsidRDefault="004A7BDB" w:rsidP="004A7BDB">
      <w:pPr>
        <w:sectPr w:rsidR="004A7BDB" w:rsidSect="00351FDE">
          <w:pgSz w:w="15840" w:h="12240" w:orient="landscape"/>
          <w:pgMar w:top="1440" w:right="1440" w:bottom="1440" w:left="1440" w:header="720" w:footer="720" w:gutter="0"/>
          <w:pgNumType w:chapStyle="1"/>
          <w:cols w:space="720"/>
          <w:docGrid w:linePitch="360"/>
        </w:sectPr>
      </w:pPr>
    </w:p>
    <w:p w14:paraId="50DDB52A" w14:textId="42ADABEE" w:rsidR="004A7BDB" w:rsidRDefault="00351FDE" w:rsidP="00441BE0">
      <w:pPr>
        <w:pStyle w:val="Heading2"/>
      </w:pPr>
      <w:bookmarkStart w:id="271" w:name="_Toc208503341"/>
      <w:r>
        <w:lastRenderedPageBreak/>
        <w:t>References</w:t>
      </w:r>
      <w:bookmarkEnd w:id="271"/>
    </w:p>
    <w:p w14:paraId="27D0DE80" w14:textId="13657EC4" w:rsidR="002B4698" w:rsidRDefault="002B4698" w:rsidP="002B4698">
      <w:pPr>
        <w:rPr>
          <w:rFonts w:ascii="Times New Roman" w:hAnsi="Times New Roman"/>
        </w:rPr>
      </w:pPr>
      <w:r>
        <w:t xml:space="preserve">FAO &amp; WHO. (2023). General principles of food hygiene. Codex Alimentarius Code of Practice, No. CXC 1-1969. Codex Alimentarius Commission. Rome. </w:t>
      </w:r>
      <w:hyperlink r:id="rId193" w:history="1">
        <w:r>
          <w:rPr>
            <w:rStyle w:val="Hyperlink"/>
            <w:rFonts w:ascii="Aptos" w:hAnsi="Aptos"/>
            <w:color w:val="467886"/>
          </w:rPr>
          <w:t>http://openknowledge.fao.org/items/6b05d3cb-5288-4a95-a0c4-97c85a430757</w:t>
        </w:r>
      </w:hyperlink>
    </w:p>
    <w:p w14:paraId="12F4AB0C" w14:textId="77777777" w:rsidR="002B4698" w:rsidRDefault="002B4698" w:rsidP="002B4698">
      <w:r>
        <w:t xml:space="preserve">FAO and WHO. (2022). Report of the expert meeting on food safety for seaweed – Current status and future perspectives. Rome, 28–29 0ctober 2021. Food Safety and Quality Series No. 13. Rome. </w:t>
      </w:r>
      <w:hyperlink r:id="rId194" w:history="1">
        <w:r>
          <w:rPr>
            <w:rStyle w:val="Hyperlink"/>
            <w:rFonts w:ascii="Aptos" w:hAnsi="Aptos"/>
            <w:color w:val="467886"/>
          </w:rPr>
          <w:t>https://doi.org/10.4060/cc0846en</w:t>
        </w:r>
      </w:hyperlink>
    </w:p>
    <w:p w14:paraId="4F5296F8" w14:textId="77777777" w:rsidR="002B4698" w:rsidRDefault="002B4698" w:rsidP="002B4698">
      <w:r>
        <w:t xml:space="preserve">U.S. Food and Drug Administration. (2015a). </w:t>
      </w:r>
      <w:r>
        <w:rPr>
          <w:b/>
          <w:bCs/>
        </w:rPr>
        <w:t>Chapter 20: Metal inclusion</w:t>
      </w:r>
      <w:r>
        <w:t xml:space="preserve">. In </w:t>
      </w:r>
      <w:r>
        <w:rPr>
          <w:i/>
          <w:iCs/>
        </w:rPr>
        <w:t>Fish and fishery products hazard and control guidance</w:t>
      </w:r>
      <w:r>
        <w:t xml:space="preserve"> (pp. 385–394). </w:t>
      </w:r>
      <w:hyperlink r:id="rId195" w:history="1">
        <w:r>
          <w:rPr>
            <w:rStyle w:val="Hyperlink"/>
            <w:rFonts w:ascii="Aptos" w:hAnsi="Aptos"/>
            <w:color w:val="467886"/>
          </w:rPr>
          <w:t>https://www.fda.gov/media/80342/download</w:t>
        </w:r>
      </w:hyperlink>
    </w:p>
    <w:p w14:paraId="2E7676FF" w14:textId="77777777" w:rsidR="002B4698" w:rsidRDefault="002B4698" w:rsidP="002B4698">
      <w:r>
        <w:t xml:space="preserve">U.S. Food and Drug Administration. (2015b). </w:t>
      </w:r>
      <w:r>
        <w:rPr>
          <w:b/>
          <w:bCs/>
        </w:rPr>
        <w:t>Chapter 21: Glass inclusion</w:t>
      </w:r>
      <w:r>
        <w:t xml:space="preserve">. In </w:t>
      </w:r>
      <w:r>
        <w:rPr>
          <w:i/>
          <w:iCs/>
        </w:rPr>
        <w:t>Fish and fishery products hazard and control guidance</w:t>
      </w:r>
      <w:r>
        <w:t xml:space="preserve"> (pp. 395–404). </w:t>
      </w:r>
      <w:hyperlink r:id="rId196" w:history="1">
        <w:r>
          <w:rPr>
            <w:rStyle w:val="Hyperlink"/>
            <w:rFonts w:ascii="Aptos" w:hAnsi="Aptos"/>
            <w:color w:val="467886"/>
          </w:rPr>
          <w:t>https://www.fda.gov/media/80348/download</w:t>
        </w:r>
      </w:hyperlink>
      <w:r>
        <w:t> </w:t>
      </w:r>
    </w:p>
    <w:p w14:paraId="11BFD261" w14:textId="77777777" w:rsidR="002B4698" w:rsidRDefault="002B4698" w:rsidP="002B4698">
      <w:r>
        <w:t>Smith, J., Brown, R., &amp; Wilson, P. (2022). Microplastics in marine environments: Implications for food safety. Marine Pollution Bulletin, 174, 113173. https://doi.org/10.1016/j.marpolbul.2022.113173</w:t>
      </w:r>
    </w:p>
    <w:p w14:paraId="2A08968F" w14:textId="7C803BB0" w:rsidR="002B4698" w:rsidRPr="002B4698" w:rsidRDefault="002B4698" w:rsidP="002B4698">
      <w:r>
        <w:t>Turner, A., Shaw, C., &amp; Green, D. (2021). Glass contamination in food production. Journal of Food Protection, 84(5), 798-805. https://doi.org/10.4315/JFP-20-12</w:t>
      </w:r>
    </w:p>
    <w:p w14:paraId="55B9C04E" w14:textId="77777777" w:rsidR="00351FDE" w:rsidRDefault="00351FDE" w:rsidP="00351FDE"/>
    <w:p w14:paraId="46943D50" w14:textId="77777777" w:rsidR="00351FDE" w:rsidRDefault="00351FDE" w:rsidP="00351FDE">
      <w:pPr>
        <w:sectPr w:rsidR="00351FDE" w:rsidSect="00351FDE">
          <w:pgSz w:w="12240" w:h="15840"/>
          <w:pgMar w:top="1440" w:right="1440" w:bottom="1440" w:left="1440" w:header="720" w:footer="720" w:gutter="0"/>
          <w:pgNumType w:chapStyle="1"/>
          <w:cols w:space="720"/>
          <w:docGrid w:linePitch="360"/>
        </w:sectPr>
      </w:pPr>
    </w:p>
    <w:p w14:paraId="4C8C89EE" w14:textId="66ED959B" w:rsidR="00351FDE" w:rsidRDefault="00351FDE" w:rsidP="00691E23">
      <w:pPr>
        <w:pStyle w:val="Heading1"/>
      </w:pPr>
      <w:bookmarkStart w:id="272" w:name="_Toc208503342"/>
      <w:bookmarkStart w:id="273" w:name="_Toc210042865"/>
      <w:r>
        <w:lastRenderedPageBreak/>
        <w:t>Knowledge Gaps and Summary</w:t>
      </w:r>
      <w:bookmarkEnd w:id="272"/>
      <w:bookmarkEnd w:id="273"/>
    </w:p>
    <w:p w14:paraId="729FD915" w14:textId="0FB017BF" w:rsidR="00351FDE" w:rsidRDefault="00351FDE" w:rsidP="00846B8F">
      <w:pPr>
        <w:pStyle w:val="Heading2"/>
        <w:numPr>
          <w:ilvl w:val="1"/>
          <w:numId w:val="195"/>
        </w:numPr>
      </w:pPr>
      <w:bookmarkStart w:id="274" w:name="_Toc208503343"/>
      <w:r>
        <w:t>Summary</w:t>
      </w:r>
      <w:bookmarkEnd w:id="274"/>
    </w:p>
    <w:p w14:paraId="7957F2E3" w14:textId="42827FA5" w:rsidR="00351FDE" w:rsidRDefault="00351FDE" w:rsidP="00616EDB">
      <w:pPr>
        <w:spacing w:before="240"/>
      </w:pPr>
      <w:r>
        <w:t>Seaweeds—like all food products—have potential food safety hazards. To protect consumers, it is essential that producers understand these hazards and implement effective control measures. This guide is designed to help seaweed producers assess the safety risks associated with their products and develop appropriate food safety programs. State agencies may also use this guide as a reference when reviewing seaweed food safety practices. However, it is the responsibility of each producer to ensure that these guidelines are suitable for their specific operations and that their procedures comply with current local, state, and federal regulations.</w:t>
      </w:r>
    </w:p>
    <w:p w14:paraId="3E0DDCD6" w14:textId="77777777" w:rsidR="00351FDE" w:rsidRDefault="00351FDE" w:rsidP="00351FDE">
      <w:r>
        <w:t>This guidance was developed to support the continued growth of the seaweed industry and to help ensure ongoing access to this highly nutritious food in U.S. markets. But limited knowledge and understanding of many seaweed-specific food safety hazards hinders the creation of comprehensive, product-specific guidance. This chapter outlines the major knowledge gaps identified during the development of this guide.</w:t>
      </w:r>
    </w:p>
    <w:p w14:paraId="34DDC6A6" w14:textId="2367ACD1" w:rsidR="00351FDE" w:rsidRDefault="00351FDE" w:rsidP="00846B8F">
      <w:pPr>
        <w:pStyle w:val="Heading2"/>
        <w:numPr>
          <w:ilvl w:val="1"/>
          <w:numId w:val="195"/>
        </w:numPr>
      </w:pPr>
      <w:bookmarkStart w:id="275" w:name="_Toc208503344"/>
      <w:r>
        <w:t>Knowledge Gaps and Areas for Future Research</w:t>
      </w:r>
      <w:bookmarkEnd w:id="275"/>
    </w:p>
    <w:p w14:paraId="3B1A9E07" w14:textId="77777777" w:rsidR="00351FDE" w:rsidRDefault="00351FDE" w:rsidP="00846B8F">
      <w:pPr>
        <w:pStyle w:val="Heading3"/>
        <w:numPr>
          <w:ilvl w:val="2"/>
          <w:numId w:val="195"/>
        </w:numPr>
      </w:pPr>
      <w:bookmarkStart w:id="276" w:name="_Pathogens"/>
      <w:bookmarkStart w:id="277" w:name="_Toc208503345"/>
      <w:bookmarkEnd w:id="276"/>
      <w:r>
        <w:t>Pathogens</w:t>
      </w:r>
      <w:bookmarkEnd w:id="277"/>
    </w:p>
    <w:p w14:paraId="072D5693" w14:textId="13FE7E13" w:rsidR="00351FDE" w:rsidRDefault="00351FDE" w:rsidP="00616EDB">
      <w:pPr>
        <w:spacing w:before="240"/>
      </w:pPr>
      <w:r>
        <w:t xml:space="preserve">A clear knowledge gap is a thorough and detailed understanding of the pathogens that are associated with seaweed. Thus, the inherent risk is associated with consumption of raw seaweed and the effect a pathogen load has on downstream processes. The load may be pathogen-specific within a given harvest site and may change seasonally, yearly, and/or with changing water quality. Additionally, there may be species-specific interactions between seaweeds and various bacterial and viral pathogens, but there is a lack of scientific data to fully assess these interactions. Finally, for the </w:t>
      </w:r>
      <w:r w:rsidRPr="00351FDE">
        <w:rPr>
          <w:i/>
          <w:iCs/>
        </w:rPr>
        <w:t>Vibrio</w:t>
      </w:r>
      <w:r>
        <w:t xml:space="preserve"> pathogens especially, documentation of how warming ocean conditions may impact pathogen attachment and survival on various seaweeds is imperative given the continued global increase in water temperatures and their prevalence in the marine environment.</w:t>
      </w:r>
    </w:p>
    <w:p w14:paraId="715F0BAF" w14:textId="532F5914" w:rsidR="00351FDE" w:rsidRDefault="00351FDE" w:rsidP="00351FDE">
      <w:r>
        <w:t xml:space="preserve">A better and more nuanced understanding of the pathogen load attached to harvested seaweed will aid in understanding the short-term and long-term risks associated with the consumption of raw seaweeds, which can then be communicated to producers and consumers. Additionally, a better understanding of the pathogen load of harvested seaweeds will aid in validation studies meant to develop critical limits and procedures for safe </w:t>
      </w:r>
      <w:r w:rsidRPr="006669F0">
        <w:t>drying</w:t>
      </w:r>
      <w:r>
        <w:t xml:space="preserve">, storage, transport, and processing. While proper drying can inhibit pathogen growth, the low temperatures typically </w:t>
      </w:r>
      <w:r>
        <w:lastRenderedPageBreak/>
        <w:t>used do not serve as a kill step. As a result, any high initial microbial loads present on the raw product may persist in the finished dried product.</w:t>
      </w:r>
    </w:p>
    <w:p w14:paraId="665020F3" w14:textId="77777777" w:rsidR="00351FDE" w:rsidRDefault="00351FDE" w:rsidP="00351FDE">
      <w:r>
        <w:t>To accurately understand the risk of harmful pathogens on raw seaweeds, the following types of studies would need to be conducted:</w:t>
      </w:r>
    </w:p>
    <w:p w14:paraId="2B0CE52B" w14:textId="44C8907C" w:rsidR="00351FDE" w:rsidRDefault="00351FDE" w:rsidP="00846B8F">
      <w:pPr>
        <w:pStyle w:val="ListParagraph"/>
        <w:numPr>
          <w:ilvl w:val="0"/>
          <w:numId w:val="117"/>
        </w:numPr>
        <w:spacing w:before="240"/>
        <w:contextualSpacing w:val="0"/>
      </w:pPr>
      <w:r w:rsidRPr="00351FDE">
        <w:rPr>
          <w:b/>
          <w:bCs/>
        </w:rPr>
        <w:t xml:space="preserve">Large-scale </w:t>
      </w:r>
      <w:r w:rsidR="00C45D3A">
        <w:rPr>
          <w:b/>
          <w:bCs/>
        </w:rPr>
        <w:t>S</w:t>
      </w:r>
      <w:r w:rsidRPr="00351FDE">
        <w:rPr>
          <w:b/>
          <w:bCs/>
        </w:rPr>
        <w:t>urveys:</w:t>
      </w:r>
      <w:r>
        <w:t xml:space="preserve"> These studies measure how many pathogens are naturally present on different seaweed species at the time of harvest. This helps establish the starting level (initial load) of contamination that might be expected.</w:t>
      </w:r>
    </w:p>
    <w:p w14:paraId="28C062C3" w14:textId="328F388F" w:rsidR="00351FDE" w:rsidRDefault="00351FDE" w:rsidP="00846B8F">
      <w:pPr>
        <w:pStyle w:val="ListParagraph"/>
        <w:numPr>
          <w:ilvl w:val="0"/>
          <w:numId w:val="117"/>
        </w:numPr>
        <w:contextualSpacing w:val="0"/>
      </w:pPr>
      <w:r w:rsidRPr="00351FDE">
        <w:rPr>
          <w:b/>
          <w:bCs/>
        </w:rPr>
        <w:t xml:space="preserve">Challenge </w:t>
      </w:r>
      <w:r w:rsidR="00C45D3A">
        <w:rPr>
          <w:b/>
          <w:bCs/>
        </w:rPr>
        <w:t>S</w:t>
      </w:r>
      <w:r w:rsidRPr="00351FDE">
        <w:rPr>
          <w:b/>
          <w:bCs/>
        </w:rPr>
        <w:t>tudies:</w:t>
      </w:r>
      <w:r>
        <w:t xml:space="preserve"> In these experiments, pathogens—sourced from the environment or past foodborne illness outbreaks—are deliberately added (or “inoculated”) onto various seaweed species. The inoculated seaweed is then stored under different temperature and packaging conditions to observe whether the bacteria can grow.</w:t>
      </w:r>
    </w:p>
    <w:p w14:paraId="779998E5" w14:textId="77777777" w:rsidR="00351FDE" w:rsidRDefault="00351FDE" w:rsidP="00616EDB">
      <w:pPr>
        <w:spacing w:before="240"/>
      </w:pPr>
      <w:r>
        <w:t xml:space="preserve">While there have been several studies of this kind conducted in recent years, the available data is still limited. Factors such as the effect of different seasons, the maturity of the seaweed at harvest, and differences between species—have not been fully studied. In addition, most available data comes from just one species, </w:t>
      </w:r>
      <w:r w:rsidRPr="00351FDE">
        <w:rPr>
          <w:i/>
          <w:iCs/>
        </w:rPr>
        <w:t>Saccharina latissima</w:t>
      </w:r>
      <w:r>
        <w:t>. Given the large variety of seaweed species being grown and harvested, future research will need to focus on expanding studies to include other species that are important to farmers and producers.</w:t>
      </w:r>
    </w:p>
    <w:p w14:paraId="5A8B8306" w14:textId="77777777" w:rsidR="00351FDE" w:rsidRDefault="00351FDE" w:rsidP="00691E23">
      <w:pPr>
        <w:pStyle w:val="Heading3"/>
      </w:pPr>
      <w:bookmarkStart w:id="278" w:name="_Toc208503346"/>
      <w:r>
        <w:t>Chemical Contaminants</w:t>
      </w:r>
      <w:bookmarkEnd w:id="278"/>
    </w:p>
    <w:p w14:paraId="352E6482" w14:textId="77777777" w:rsidR="00351FDE" w:rsidRDefault="00351FDE" w:rsidP="00616EDB">
      <w:pPr>
        <w:spacing w:before="240"/>
      </w:pPr>
      <w:r>
        <w:t>Research on the uptake and accumulation of environmental chemical contaminants, including heavy metals, persistent organic pollutants (POPs), and per- and poly-fluoroalkyl substances (PFAS), across different seaweed species is limited. Bioaccumulation patterns vary among species due to differences in morphology, metabolism, and interactions with the environment, but a complete understanding of species-specific differences in contaminant uptake is still lacking. The issue of PFAS contamination in seaweed has not been extensively studied, although they are well documented in water. Determining the prevalence of these chemicals in various seaweed species and geographic locations is necessary due to their persistent and bioaccumulative nature.</w:t>
      </w:r>
    </w:p>
    <w:p w14:paraId="4FD29535" w14:textId="75B0A031" w:rsidR="00351FDE" w:rsidRDefault="00351FDE" w:rsidP="00351FDE">
      <w:r>
        <w:t>Standardized and reliable methods for testing chemical contaminants in seaweed have not yet been developed. This lack of testing capability makes it difficult to accurately assess health risks and establish safety thresholds for specific contaminants. Setting appropriate limits for heavy metals and other substances in seaweed requires a nuanced understanding of toxicology—not just the concentration of a contaminant, but also how much and how often it is consumed. A simplistic, one-size-fits-all approach to setting standards fails to account for consumption patterns.</w:t>
      </w:r>
    </w:p>
    <w:p w14:paraId="5CB3051E" w14:textId="11153576" w:rsidR="00351FDE" w:rsidRDefault="00351FDE" w:rsidP="00351FDE">
      <w:r>
        <w:lastRenderedPageBreak/>
        <w:t>Environmental factors such as water temperature, salinity, and proximity to industrial or agricultural discharge points likely influence contaminant levels in seaweed. These variations indicate that contamination risks are highly location-specific, further complicating efforts to establish broad food safety guidelines. A systematic assessment of contamination risks in different growing environments is lacking. Additionally, water testing is not suggested as a control measure for environmental chemical contaminants in this guidance, as the correlation between waterborne environmental chemical contaminants and their absorption and accumulation in seaweed remains poorly understood. To advance our understanding, future research efforts should focus on identifying key factors that influence heavy metal uptake by different seaweed species, developing predictive models for contamination risk, and exploring mitigation strategies to reduce accumulation.</w:t>
      </w:r>
    </w:p>
    <w:p w14:paraId="5AD83B32" w14:textId="77777777" w:rsidR="00351FDE" w:rsidRDefault="00351FDE" w:rsidP="00351FDE">
      <w:r>
        <w:t>Further compounding these concerns is the absence of validated processing methods to mitigate contaminant levels in harvested seaweed. Unlike bacteria or parasites, which can be controlled through processing (e.g. cooking and freezing), chemical contaminants are not easily removed. Research on potential remediation strategies, such as washing techniques, fermentation, or adsorption-based treatments, is minimal. Therefore, in this guidance, processing control is not suggested as a control strategy for reducing the environmental chemical contaminants to acceptable levels.</w:t>
      </w:r>
    </w:p>
    <w:p w14:paraId="3463CB33" w14:textId="77777777" w:rsidR="00351FDE" w:rsidRDefault="00351FDE" w:rsidP="00691E23">
      <w:pPr>
        <w:pStyle w:val="Heading3"/>
      </w:pPr>
      <w:bookmarkStart w:id="279" w:name="_Toc208503347"/>
      <w:r>
        <w:t>Other Gaps</w:t>
      </w:r>
      <w:bookmarkEnd w:id="279"/>
    </w:p>
    <w:p w14:paraId="73773BCA" w14:textId="6A0E9579" w:rsidR="00351FDE" w:rsidRDefault="00351FDE" w:rsidP="00616EDB">
      <w:pPr>
        <w:spacing w:before="240"/>
      </w:pPr>
      <w:r>
        <w:t>While some processing techniques for seaweeds are available, there are few studies evaluating the safety of these processes. Validation studies for common processing techniques are critical to fully support growth in this emerging industry.</w:t>
      </w:r>
    </w:p>
    <w:p w14:paraId="403DB389" w14:textId="77777777" w:rsidR="00351FDE" w:rsidRDefault="00351FDE" w:rsidP="00616EDB">
      <w:pPr>
        <w:spacing w:before="240"/>
      </w:pPr>
      <w:r>
        <w:t>Other major gaps identified include:</w:t>
      </w:r>
    </w:p>
    <w:p w14:paraId="445943BC" w14:textId="0762BCFE" w:rsidR="00D774E2" w:rsidRDefault="00D774E2" w:rsidP="00846B8F">
      <w:pPr>
        <w:pStyle w:val="ListParagraph"/>
        <w:numPr>
          <w:ilvl w:val="0"/>
          <w:numId w:val="123"/>
        </w:numPr>
        <w:spacing w:before="240"/>
      </w:pPr>
      <w:r>
        <w:t>There is limited understanding of how chemical and microbial water quality correlates with the presence and concentration of contaminants in or on seaweeds harvested from those waters.</w:t>
      </w:r>
    </w:p>
    <w:p w14:paraId="4537A657" w14:textId="71F91943" w:rsidR="00D774E2" w:rsidRDefault="00351FDE" w:rsidP="00846B8F">
      <w:pPr>
        <w:pStyle w:val="ListParagraph"/>
        <w:numPr>
          <w:ilvl w:val="0"/>
          <w:numId w:val="123"/>
        </w:numPr>
      </w:pPr>
      <w:r>
        <w:t>Inconsistent methods for measuring iodine concentrations in seaweed, leading to variability in reported values.</w:t>
      </w:r>
    </w:p>
    <w:p w14:paraId="42FF08FF" w14:textId="7C4B19FE" w:rsidR="00D774E2" w:rsidRDefault="00351FDE" w:rsidP="00846B8F">
      <w:pPr>
        <w:pStyle w:val="ListParagraph"/>
        <w:numPr>
          <w:ilvl w:val="0"/>
          <w:numId w:val="123"/>
        </w:numPr>
      </w:pPr>
      <w:r>
        <w:t>Uncertainty around long-term health risks associated with chronic high iodine intake from seaweed consumption.</w:t>
      </w:r>
    </w:p>
    <w:p w14:paraId="726E596E" w14:textId="194E74F8" w:rsidR="00813E83" w:rsidRDefault="00351FDE" w:rsidP="00846B8F">
      <w:pPr>
        <w:pStyle w:val="ListParagraph"/>
        <w:numPr>
          <w:ilvl w:val="0"/>
          <w:numId w:val="123"/>
        </w:numPr>
        <w:sectPr w:rsidR="00813E83" w:rsidSect="005964A5">
          <w:pgSz w:w="12240" w:h="15840"/>
          <w:pgMar w:top="1440" w:right="1440" w:bottom="1440" w:left="1440" w:header="720" w:footer="720" w:gutter="0"/>
          <w:pgNumType w:start="1" w:chapStyle="1"/>
          <w:cols w:space="720"/>
          <w:docGrid w:linePitch="360"/>
        </w:sectPr>
      </w:pPr>
      <w:r>
        <w:t>Limited understanding of heavy metal bioavailability across different seaweed species and how it affects human exposure</w:t>
      </w:r>
      <w:r w:rsidR="00D774E2">
        <w:t>.</w:t>
      </w:r>
    </w:p>
    <w:p w14:paraId="299C5FBF" w14:textId="551F01FC" w:rsidR="00045395" w:rsidRDefault="00813E83" w:rsidP="00AA56A6">
      <w:pPr>
        <w:pStyle w:val="Heading6"/>
      </w:pPr>
      <w:bookmarkStart w:id="280" w:name="_Toc208503348"/>
      <w:bookmarkStart w:id="281" w:name="_Toc210042866"/>
      <w:r w:rsidRPr="003E3CCB">
        <w:lastRenderedPageBreak/>
        <w:t>Pathogens in Harvest Area Reference Table</w:t>
      </w:r>
      <w:bookmarkEnd w:id="280"/>
      <w:bookmarkEnd w:id="281"/>
    </w:p>
    <w:p w14:paraId="7C152701" w14:textId="3B6590CB" w:rsidR="00045395" w:rsidRDefault="00045395" w:rsidP="00C54E07">
      <w:pPr>
        <w:pStyle w:val="Caption"/>
      </w:pPr>
      <w:r w:rsidRPr="00045395">
        <w:rPr>
          <w:b/>
          <w:bCs/>
        </w:rPr>
        <w:t>Table A-</w:t>
      </w:r>
      <w:r w:rsidRPr="00045395">
        <w:rPr>
          <w:b/>
          <w:bCs/>
        </w:rPr>
        <w:fldChar w:fldCharType="begin"/>
      </w:r>
      <w:r w:rsidRPr="00045395">
        <w:rPr>
          <w:b/>
          <w:bCs/>
        </w:rPr>
        <w:instrText xml:space="preserve"> SEQ Table_A- \* ARABIC </w:instrText>
      </w:r>
      <w:r w:rsidRPr="00045395">
        <w:rPr>
          <w:b/>
          <w:bCs/>
        </w:rPr>
        <w:fldChar w:fldCharType="separate"/>
      </w:r>
      <w:r w:rsidR="00A042AD">
        <w:rPr>
          <w:b/>
          <w:bCs/>
          <w:noProof/>
        </w:rPr>
        <w:t>1</w:t>
      </w:r>
      <w:r w:rsidRPr="00045395">
        <w:rPr>
          <w:b/>
          <w:bCs/>
        </w:rPr>
        <w:fldChar w:fldCharType="end"/>
      </w:r>
      <w:r w:rsidRPr="00045395">
        <w:rPr>
          <w:b/>
          <w:bCs/>
        </w:rPr>
        <w:t>:</w:t>
      </w:r>
      <w:r>
        <w:t xml:space="preserve"> </w:t>
      </w:r>
      <w:r w:rsidRPr="00F9291A">
        <w:t>Potential bacterial pathogens and fecal indicator bacteria detected on pre-harvest seaweed species.</w:t>
      </w:r>
    </w:p>
    <w:tbl>
      <w:tblPr>
        <w:tblStyle w:val="TableGrid"/>
        <w:tblW w:w="0" w:type="auto"/>
        <w:tbl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insideH w:val="single" w:sz="6" w:space="0" w:color="0D0D0D" w:themeColor="text1" w:themeTint="F2"/>
          <w:insideV w:val="single" w:sz="6" w:space="0" w:color="0D0D0D" w:themeColor="text1" w:themeTint="F2"/>
        </w:tblBorders>
        <w:tblCellMar>
          <w:top w:w="58" w:type="dxa"/>
          <w:bottom w:w="58" w:type="dxa"/>
        </w:tblCellMar>
        <w:tblLook w:val="04A0" w:firstRow="1" w:lastRow="0" w:firstColumn="1" w:lastColumn="0" w:noHBand="0" w:noVBand="1"/>
      </w:tblPr>
      <w:tblGrid>
        <w:gridCol w:w="4313"/>
        <w:gridCol w:w="4314"/>
        <w:gridCol w:w="4313"/>
      </w:tblGrid>
      <w:tr w:rsidR="00556B6B" w14:paraId="229C8323" w14:textId="77777777" w:rsidTr="000B3FDE">
        <w:trPr>
          <w:trHeight w:val="440"/>
          <w:tblHeader/>
        </w:trPr>
        <w:tc>
          <w:tcPr>
            <w:tcW w:w="4316" w:type="dxa"/>
            <w:shd w:val="clear" w:color="auto" w:fill="28666E"/>
            <w:vAlign w:val="center"/>
          </w:tcPr>
          <w:p w14:paraId="69FC4DFC" w14:textId="6F8897A6" w:rsidR="00556B6B" w:rsidRPr="00F9694B" w:rsidRDefault="00556B6B" w:rsidP="0054509C">
            <w:pPr>
              <w:rPr>
                <w:b/>
                <w:bCs/>
                <w:color w:val="FFFFFF" w:themeColor="background1"/>
              </w:rPr>
            </w:pPr>
            <w:r w:rsidRPr="00F9694B">
              <w:rPr>
                <w:b/>
                <w:bCs/>
                <w:color w:val="FFFFFF" w:themeColor="background1"/>
              </w:rPr>
              <w:t>Bacterial Pathogen</w:t>
            </w:r>
          </w:p>
        </w:tc>
        <w:tc>
          <w:tcPr>
            <w:tcW w:w="4317" w:type="dxa"/>
            <w:shd w:val="clear" w:color="auto" w:fill="28666E"/>
            <w:vAlign w:val="center"/>
          </w:tcPr>
          <w:p w14:paraId="0F48B63C" w14:textId="2FBA44D3" w:rsidR="00556B6B" w:rsidRPr="00F9694B" w:rsidRDefault="00556B6B" w:rsidP="0054509C">
            <w:pPr>
              <w:rPr>
                <w:b/>
                <w:bCs/>
                <w:color w:val="FFFFFF" w:themeColor="background1"/>
              </w:rPr>
            </w:pPr>
            <w:r w:rsidRPr="00F9694B">
              <w:rPr>
                <w:b/>
                <w:bCs/>
                <w:color w:val="FFFFFF" w:themeColor="background1"/>
              </w:rPr>
              <w:t>Seaweed Species</w:t>
            </w:r>
          </w:p>
        </w:tc>
        <w:tc>
          <w:tcPr>
            <w:tcW w:w="4317" w:type="dxa"/>
            <w:shd w:val="clear" w:color="auto" w:fill="28666E"/>
            <w:vAlign w:val="center"/>
          </w:tcPr>
          <w:p w14:paraId="7383CEAC" w14:textId="4C2C34C1" w:rsidR="00556B6B" w:rsidRPr="00F9694B" w:rsidRDefault="00556B6B" w:rsidP="0054509C">
            <w:pPr>
              <w:rPr>
                <w:b/>
                <w:bCs/>
                <w:color w:val="FFFFFF" w:themeColor="background1"/>
              </w:rPr>
            </w:pPr>
            <w:r w:rsidRPr="00F9694B">
              <w:rPr>
                <w:b/>
                <w:bCs/>
                <w:color w:val="FFFFFF" w:themeColor="background1"/>
              </w:rPr>
              <w:t>Reference</w:t>
            </w:r>
            <w:r w:rsidR="00DC1FB2" w:rsidRPr="00F9694B">
              <w:rPr>
                <w:b/>
                <w:bCs/>
                <w:color w:val="FFFFFF" w:themeColor="background1"/>
              </w:rPr>
              <w:t>(s)</w:t>
            </w:r>
          </w:p>
        </w:tc>
      </w:tr>
      <w:tr w:rsidR="00556B6B" w14:paraId="0594C9F8" w14:textId="77777777" w:rsidTr="000B3FDE">
        <w:trPr>
          <w:trHeight w:val="1146"/>
        </w:trPr>
        <w:tc>
          <w:tcPr>
            <w:tcW w:w="4316" w:type="dxa"/>
            <w:shd w:val="clear" w:color="auto" w:fill="D9D9D9" w:themeFill="background1" w:themeFillShade="D9"/>
          </w:tcPr>
          <w:p w14:paraId="695FA9DB" w14:textId="5F6A2007" w:rsidR="00556B6B" w:rsidRPr="00556B6B" w:rsidRDefault="00556B6B" w:rsidP="00556B6B">
            <w:pPr>
              <w:rPr>
                <w:i/>
                <w:iCs/>
              </w:rPr>
            </w:pPr>
            <w:r>
              <w:rPr>
                <w:i/>
                <w:iCs/>
              </w:rPr>
              <w:t>Bacillus cereus</w:t>
            </w:r>
          </w:p>
        </w:tc>
        <w:tc>
          <w:tcPr>
            <w:tcW w:w="4317" w:type="dxa"/>
            <w:shd w:val="clear" w:color="auto" w:fill="D9D9D9" w:themeFill="background1" w:themeFillShade="D9"/>
            <w:vAlign w:val="center"/>
          </w:tcPr>
          <w:p w14:paraId="22DC5FBE" w14:textId="77777777" w:rsidR="00556B6B" w:rsidRDefault="00556B6B" w:rsidP="008D7F48">
            <w:pPr>
              <w:rPr>
                <w:i/>
                <w:iCs/>
              </w:rPr>
            </w:pPr>
            <w:r>
              <w:rPr>
                <w:i/>
                <w:iCs/>
              </w:rPr>
              <w:t>Codium fragile</w:t>
            </w:r>
          </w:p>
          <w:p w14:paraId="07D77CA6" w14:textId="77777777" w:rsidR="00556B6B" w:rsidRDefault="00556B6B" w:rsidP="008D7F48">
            <w:pPr>
              <w:rPr>
                <w:i/>
                <w:iCs/>
              </w:rPr>
            </w:pPr>
            <w:r>
              <w:rPr>
                <w:i/>
                <w:iCs/>
              </w:rPr>
              <w:t>Euchema cottonii</w:t>
            </w:r>
          </w:p>
          <w:p w14:paraId="16043617" w14:textId="51CF5140" w:rsidR="00556B6B" w:rsidRPr="00556B6B" w:rsidRDefault="00556B6B" w:rsidP="008D7F48">
            <w:pPr>
              <w:rPr>
                <w:i/>
                <w:iCs/>
              </w:rPr>
            </w:pPr>
            <w:r>
              <w:rPr>
                <w:i/>
                <w:iCs/>
              </w:rPr>
              <w:t>Saccharina latissima</w:t>
            </w:r>
          </w:p>
        </w:tc>
        <w:tc>
          <w:tcPr>
            <w:tcW w:w="4317" w:type="dxa"/>
            <w:shd w:val="clear" w:color="auto" w:fill="D9D9D9" w:themeFill="background1" w:themeFillShade="D9"/>
            <w:vAlign w:val="center"/>
          </w:tcPr>
          <w:p w14:paraId="77D9E569" w14:textId="77777777" w:rsidR="00556B6B" w:rsidRPr="00173FBA" w:rsidRDefault="00556B6B" w:rsidP="008D7F48">
            <w:pPr>
              <w:rPr>
                <w:lang w:val="es-ES"/>
              </w:rPr>
            </w:pPr>
            <w:r w:rsidRPr="00173FBA">
              <w:rPr>
                <w:lang w:val="es-ES"/>
              </w:rPr>
              <w:t>Indraningrat et al., 2023</w:t>
            </w:r>
          </w:p>
          <w:p w14:paraId="7D42F164" w14:textId="77777777" w:rsidR="00556B6B" w:rsidRPr="00173FBA" w:rsidRDefault="00556B6B" w:rsidP="008D7F48">
            <w:pPr>
              <w:rPr>
                <w:lang w:val="es-ES"/>
              </w:rPr>
            </w:pPr>
            <w:r w:rsidRPr="00173FBA">
              <w:rPr>
                <w:lang w:val="es-ES"/>
              </w:rPr>
              <w:t>Lytou et al., 2021</w:t>
            </w:r>
          </w:p>
          <w:p w14:paraId="0C337A19" w14:textId="77777777" w:rsidR="00556B6B" w:rsidRPr="00173FBA" w:rsidRDefault="00556B6B" w:rsidP="008D7F48">
            <w:pPr>
              <w:rPr>
                <w:lang w:val="es-ES"/>
              </w:rPr>
            </w:pPr>
            <w:r w:rsidRPr="00173FBA">
              <w:rPr>
                <w:lang w:val="es-ES"/>
              </w:rPr>
              <w:t>Picon et al., 2021</w:t>
            </w:r>
          </w:p>
          <w:p w14:paraId="3A9BC9AD" w14:textId="2DDFD2CC" w:rsidR="00556B6B" w:rsidRDefault="00556B6B" w:rsidP="008D7F48">
            <w:r>
              <w:t>Wiese et al., 2009</w:t>
            </w:r>
          </w:p>
        </w:tc>
      </w:tr>
      <w:tr w:rsidR="00556B6B" w14:paraId="424F0FE6" w14:textId="77777777" w:rsidTr="000B3FDE">
        <w:tc>
          <w:tcPr>
            <w:tcW w:w="4316" w:type="dxa"/>
          </w:tcPr>
          <w:p w14:paraId="3814D396" w14:textId="4A68389D" w:rsidR="00556B6B" w:rsidRPr="00B9194A" w:rsidRDefault="00B9194A" w:rsidP="00556B6B">
            <w:pPr>
              <w:rPr>
                <w:i/>
                <w:iCs/>
              </w:rPr>
            </w:pPr>
            <w:r>
              <w:rPr>
                <w:i/>
                <w:iCs/>
              </w:rPr>
              <w:t>Bacillus licheniformis</w:t>
            </w:r>
          </w:p>
        </w:tc>
        <w:tc>
          <w:tcPr>
            <w:tcW w:w="4317" w:type="dxa"/>
            <w:vAlign w:val="center"/>
          </w:tcPr>
          <w:p w14:paraId="4326E50E" w14:textId="77777777" w:rsidR="00556B6B" w:rsidRPr="00173FBA" w:rsidRDefault="00556B6B" w:rsidP="008D7F48">
            <w:pPr>
              <w:rPr>
                <w:i/>
                <w:iCs/>
                <w:lang w:val="es-ES"/>
              </w:rPr>
            </w:pPr>
            <w:r w:rsidRPr="00173FBA">
              <w:rPr>
                <w:i/>
                <w:iCs/>
                <w:lang w:val="es-ES"/>
              </w:rPr>
              <w:t>Alaria esculenta</w:t>
            </w:r>
          </w:p>
          <w:p w14:paraId="462E25F3" w14:textId="77777777" w:rsidR="00556B6B" w:rsidRPr="00173FBA" w:rsidRDefault="00556B6B" w:rsidP="008D7F48">
            <w:pPr>
              <w:rPr>
                <w:i/>
                <w:iCs/>
                <w:lang w:val="es-ES"/>
              </w:rPr>
            </w:pPr>
            <w:r w:rsidRPr="00173FBA">
              <w:rPr>
                <w:i/>
                <w:iCs/>
                <w:lang w:val="es-ES"/>
              </w:rPr>
              <w:t>Codium fragile</w:t>
            </w:r>
          </w:p>
          <w:p w14:paraId="7372A946" w14:textId="77777777" w:rsidR="00556B6B" w:rsidRPr="00173FBA" w:rsidRDefault="00556B6B" w:rsidP="008D7F48">
            <w:pPr>
              <w:rPr>
                <w:i/>
                <w:iCs/>
                <w:lang w:val="es-ES"/>
              </w:rPr>
            </w:pPr>
            <w:r w:rsidRPr="00173FBA">
              <w:rPr>
                <w:i/>
                <w:iCs/>
                <w:lang w:val="es-ES"/>
              </w:rPr>
              <w:t>Saccharina latissima</w:t>
            </w:r>
          </w:p>
          <w:p w14:paraId="1205E694" w14:textId="10D4E602" w:rsidR="00556B6B" w:rsidRDefault="00556B6B" w:rsidP="008D7F48">
            <w:r w:rsidRPr="00B9194A">
              <w:rPr>
                <w:i/>
                <w:iCs/>
              </w:rPr>
              <w:t>Ulva lactuca</w:t>
            </w:r>
          </w:p>
        </w:tc>
        <w:tc>
          <w:tcPr>
            <w:tcW w:w="4317" w:type="dxa"/>
            <w:vAlign w:val="center"/>
          </w:tcPr>
          <w:p w14:paraId="66FC25E6" w14:textId="77777777" w:rsidR="00B9194A" w:rsidRPr="00173FBA" w:rsidRDefault="00B9194A" w:rsidP="008D7F48">
            <w:pPr>
              <w:rPr>
                <w:lang w:val="es-ES"/>
              </w:rPr>
            </w:pPr>
            <w:r w:rsidRPr="00173FBA">
              <w:rPr>
                <w:lang w:val="es-ES"/>
              </w:rPr>
              <w:t>Blikra et al., 2019</w:t>
            </w:r>
          </w:p>
          <w:p w14:paraId="7246D067" w14:textId="77777777" w:rsidR="00B9194A" w:rsidRPr="00173FBA" w:rsidRDefault="00B9194A" w:rsidP="008D7F48">
            <w:pPr>
              <w:rPr>
                <w:lang w:val="es-ES"/>
              </w:rPr>
            </w:pPr>
            <w:r w:rsidRPr="00173FBA">
              <w:rPr>
                <w:lang w:val="es-ES"/>
              </w:rPr>
              <w:t>Picon et al., 2021</w:t>
            </w:r>
          </w:p>
          <w:p w14:paraId="076B8161" w14:textId="21B5F62E" w:rsidR="00556B6B" w:rsidRDefault="00B9194A" w:rsidP="008D7F48">
            <w:r>
              <w:t>Wiese et al., 2009</w:t>
            </w:r>
          </w:p>
        </w:tc>
      </w:tr>
      <w:tr w:rsidR="00B9194A" w:rsidRPr="00F85DE5" w14:paraId="098322D1" w14:textId="77777777" w:rsidTr="000B3FDE">
        <w:tc>
          <w:tcPr>
            <w:tcW w:w="4316" w:type="dxa"/>
            <w:shd w:val="clear" w:color="auto" w:fill="D9D9D9" w:themeFill="background1" w:themeFillShade="D9"/>
          </w:tcPr>
          <w:p w14:paraId="0A0A610B" w14:textId="1DD50D6C" w:rsidR="00B9194A" w:rsidRDefault="00B9194A" w:rsidP="00556B6B">
            <w:pPr>
              <w:rPr>
                <w:i/>
                <w:iCs/>
              </w:rPr>
            </w:pPr>
            <w:r>
              <w:rPr>
                <w:i/>
                <w:iCs/>
              </w:rPr>
              <w:t>Bacillus pumilus</w:t>
            </w:r>
          </w:p>
        </w:tc>
        <w:tc>
          <w:tcPr>
            <w:tcW w:w="4317" w:type="dxa"/>
            <w:shd w:val="clear" w:color="auto" w:fill="D9D9D9" w:themeFill="background1" w:themeFillShade="D9"/>
            <w:vAlign w:val="center"/>
          </w:tcPr>
          <w:p w14:paraId="108C97D3" w14:textId="77777777" w:rsidR="00B9194A" w:rsidRPr="00B9194A" w:rsidRDefault="00B9194A" w:rsidP="008D7F48">
            <w:pPr>
              <w:rPr>
                <w:i/>
                <w:iCs/>
              </w:rPr>
            </w:pPr>
            <w:r w:rsidRPr="00B9194A">
              <w:rPr>
                <w:i/>
                <w:iCs/>
              </w:rPr>
              <w:t>Alaria esculenta</w:t>
            </w:r>
          </w:p>
          <w:p w14:paraId="4B3993C6" w14:textId="7CA92628" w:rsidR="00B9194A" w:rsidRPr="00B9194A" w:rsidRDefault="00B9194A" w:rsidP="008D7F48">
            <w:pPr>
              <w:rPr>
                <w:i/>
                <w:iCs/>
              </w:rPr>
            </w:pPr>
            <w:r w:rsidRPr="00B9194A">
              <w:rPr>
                <w:i/>
                <w:iCs/>
              </w:rPr>
              <w:t>Saccharina latissima</w:t>
            </w:r>
          </w:p>
        </w:tc>
        <w:tc>
          <w:tcPr>
            <w:tcW w:w="4317" w:type="dxa"/>
            <w:shd w:val="clear" w:color="auto" w:fill="D9D9D9" w:themeFill="background1" w:themeFillShade="D9"/>
            <w:vAlign w:val="center"/>
          </w:tcPr>
          <w:p w14:paraId="30FA38E1" w14:textId="77777777" w:rsidR="00B9194A" w:rsidRPr="00173FBA" w:rsidRDefault="00B9194A" w:rsidP="008D7F48">
            <w:pPr>
              <w:rPr>
                <w:lang w:val="es-ES"/>
              </w:rPr>
            </w:pPr>
            <w:r w:rsidRPr="00173FBA">
              <w:rPr>
                <w:lang w:val="es-ES"/>
              </w:rPr>
              <w:t>Blikra et al., 2019</w:t>
            </w:r>
          </w:p>
          <w:p w14:paraId="7AE6F648" w14:textId="0A64D4D3" w:rsidR="00B9194A" w:rsidRPr="00173FBA" w:rsidRDefault="00B9194A" w:rsidP="008D7F48">
            <w:pPr>
              <w:rPr>
                <w:lang w:val="es-ES"/>
              </w:rPr>
            </w:pPr>
            <w:r w:rsidRPr="00173FBA">
              <w:rPr>
                <w:lang w:val="es-ES"/>
              </w:rPr>
              <w:t>Wiese et al., 2009</w:t>
            </w:r>
          </w:p>
        </w:tc>
      </w:tr>
      <w:tr w:rsidR="00556B6B" w14:paraId="6C587880" w14:textId="77777777" w:rsidTr="000B3FDE">
        <w:tc>
          <w:tcPr>
            <w:tcW w:w="4316" w:type="dxa"/>
          </w:tcPr>
          <w:p w14:paraId="6E21C417" w14:textId="6C1C75F7" w:rsidR="00556B6B" w:rsidRPr="00B9194A" w:rsidRDefault="00B9194A" w:rsidP="00556B6B">
            <w:pPr>
              <w:rPr>
                <w:i/>
                <w:iCs/>
              </w:rPr>
            </w:pPr>
            <w:r>
              <w:rPr>
                <w:i/>
                <w:iCs/>
              </w:rPr>
              <w:t xml:space="preserve">Citrobacter </w:t>
            </w:r>
            <w:proofErr w:type="spellStart"/>
            <w:r>
              <w:rPr>
                <w:i/>
                <w:iCs/>
              </w:rPr>
              <w:t>freundii</w:t>
            </w:r>
            <w:proofErr w:type="spellEnd"/>
          </w:p>
        </w:tc>
        <w:tc>
          <w:tcPr>
            <w:tcW w:w="4317" w:type="dxa"/>
            <w:vAlign w:val="center"/>
          </w:tcPr>
          <w:p w14:paraId="206CA8E2" w14:textId="04AFFAE4" w:rsidR="00556B6B" w:rsidRDefault="00B9194A" w:rsidP="008D7F48">
            <w:r w:rsidRPr="00B9194A">
              <w:rPr>
                <w:i/>
                <w:iCs/>
              </w:rPr>
              <w:t>Fucus</w:t>
            </w:r>
            <w:r>
              <w:t xml:space="preserve"> species</w:t>
            </w:r>
          </w:p>
        </w:tc>
        <w:tc>
          <w:tcPr>
            <w:tcW w:w="4317" w:type="dxa"/>
            <w:vAlign w:val="center"/>
          </w:tcPr>
          <w:p w14:paraId="0397A9C4" w14:textId="745C57AF" w:rsidR="00556B6B" w:rsidRDefault="00B9194A" w:rsidP="008D7F48">
            <w:r w:rsidRPr="00B9194A">
              <w:t>Kreisseg et al., 2023</w:t>
            </w:r>
          </w:p>
        </w:tc>
      </w:tr>
      <w:tr w:rsidR="00556B6B" w14:paraId="00A4B0B5" w14:textId="77777777" w:rsidTr="000B3FDE">
        <w:tc>
          <w:tcPr>
            <w:tcW w:w="4316" w:type="dxa"/>
            <w:shd w:val="clear" w:color="auto" w:fill="D9D9D9" w:themeFill="background1" w:themeFillShade="D9"/>
          </w:tcPr>
          <w:p w14:paraId="1913BE77" w14:textId="3C2AB0A1" w:rsidR="00556B6B" w:rsidRPr="00B9194A" w:rsidRDefault="00B9194A" w:rsidP="00556B6B">
            <w:pPr>
              <w:rPr>
                <w:i/>
                <w:iCs/>
              </w:rPr>
            </w:pPr>
            <w:r>
              <w:rPr>
                <w:i/>
                <w:iCs/>
              </w:rPr>
              <w:t>Clostridium perfringens</w:t>
            </w:r>
          </w:p>
        </w:tc>
        <w:tc>
          <w:tcPr>
            <w:tcW w:w="4317" w:type="dxa"/>
            <w:shd w:val="clear" w:color="auto" w:fill="D9D9D9" w:themeFill="background1" w:themeFillShade="D9"/>
            <w:vAlign w:val="center"/>
          </w:tcPr>
          <w:p w14:paraId="257E875D" w14:textId="6741A5B6" w:rsidR="00556B6B" w:rsidRDefault="000B3003" w:rsidP="008D7F48">
            <w:r>
              <w:t>U</w:t>
            </w:r>
            <w:r w:rsidR="00B9194A" w:rsidRPr="00B9194A">
              <w:t>nspecified brown seaweed</w:t>
            </w:r>
          </w:p>
        </w:tc>
        <w:tc>
          <w:tcPr>
            <w:tcW w:w="4317" w:type="dxa"/>
            <w:shd w:val="clear" w:color="auto" w:fill="D9D9D9" w:themeFill="background1" w:themeFillShade="D9"/>
            <w:vAlign w:val="center"/>
          </w:tcPr>
          <w:p w14:paraId="021BD41B" w14:textId="2287CF65" w:rsidR="00556B6B" w:rsidRDefault="00B9194A" w:rsidP="008D7F48">
            <w:r w:rsidRPr="00B9194A">
              <w:t>Kim et al., 2006</w:t>
            </w:r>
          </w:p>
        </w:tc>
      </w:tr>
      <w:tr w:rsidR="00556B6B" w14:paraId="210DB86A" w14:textId="77777777" w:rsidTr="000B3FDE">
        <w:tc>
          <w:tcPr>
            <w:tcW w:w="4316" w:type="dxa"/>
          </w:tcPr>
          <w:p w14:paraId="491BB944" w14:textId="25B23354" w:rsidR="00556B6B" w:rsidRDefault="00B9194A" w:rsidP="00556B6B">
            <w:r>
              <w:t>Coliform bacteria</w:t>
            </w:r>
          </w:p>
        </w:tc>
        <w:tc>
          <w:tcPr>
            <w:tcW w:w="4317" w:type="dxa"/>
            <w:vAlign w:val="center"/>
          </w:tcPr>
          <w:p w14:paraId="26AE412D" w14:textId="371F26B8" w:rsidR="00B9194A" w:rsidRPr="00173FBA" w:rsidRDefault="00B9194A" w:rsidP="008D7F48">
            <w:pPr>
              <w:tabs>
                <w:tab w:val="left" w:pos="1387"/>
              </w:tabs>
              <w:rPr>
                <w:lang w:val="es-ES"/>
              </w:rPr>
            </w:pPr>
            <w:r w:rsidRPr="00173FBA">
              <w:rPr>
                <w:i/>
                <w:iCs/>
                <w:lang w:val="es-ES"/>
              </w:rPr>
              <w:t>Alaria</w:t>
            </w:r>
            <w:r w:rsidRPr="00173FBA">
              <w:rPr>
                <w:lang w:val="es-ES"/>
              </w:rPr>
              <w:t xml:space="preserve"> </w:t>
            </w:r>
            <w:r w:rsidRPr="00173FBA">
              <w:rPr>
                <w:i/>
                <w:iCs/>
                <w:lang w:val="es-ES"/>
              </w:rPr>
              <w:t>esculenta</w:t>
            </w:r>
          </w:p>
          <w:p w14:paraId="060729CD" w14:textId="427CB87B" w:rsidR="00B9194A" w:rsidRPr="00173FBA" w:rsidRDefault="00B9194A" w:rsidP="008D7F48">
            <w:pPr>
              <w:tabs>
                <w:tab w:val="left" w:pos="1387"/>
              </w:tabs>
              <w:rPr>
                <w:lang w:val="es-ES"/>
              </w:rPr>
            </w:pPr>
            <w:r w:rsidRPr="00173FBA">
              <w:rPr>
                <w:i/>
                <w:iCs/>
                <w:lang w:val="es-ES"/>
              </w:rPr>
              <w:t>Fucus</w:t>
            </w:r>
            <w:r w:rsidRPr="00173FBA">
              <w:rPr>
                <w:lang w:val="es-ES"/>
              </w:rPr>
              <w:t xml:space="preserve"> species</w:t>
            </w:r>
          </w:p>
          <w:p w14:paraId="5BDB57C4" w14:textId="77777777" w:rsidR="00B9194A" w:rsidRPr="00173FBA" w:rsidRDefault="00B9194A" w:rsidP="008D7F48">
            <w:pPr>
              <w:tabs>
                <w:tab w:val="left" w:pos="1387"/>
              </w:tabs>
              <w:rPr>
                <w:lang w:val="es-ES"/>
              </w:rPr>
            </w:pPr>
            <w:r w:rsidRPr="00173FBA">
              <w:rPr>
                <w:i/>
                <w:iCs/>
                <w:lang w:val="es-ES"/>
              </w:rPr>
              <w:t>Porphyra</w:t>
            </w:r>
            <w:r w:rsidRPr="00173FBA">
              <w:rPr>
                <w:lang w:val="es-ES"/>
              </w:rPr>
              <w:t xml:space="preserve"> </w:t>
            </w:r>
            <w:r w:rsidRPr="00173FBA">
              <w:rPr>
                <w:i/>
                <w:iCs/>
                <w:lang w:val="es-ES"/>
              </w:rPr>
              <w:t>yezoensis</w:t>
            </w:r>
          </w:p>
          <w:p w14:paraId="479F484E" w14:textId="08C2E02F" w:rsidR="00556B6B" w:rsidRDefault="00B9194A" w:rsidP="008D7F48">
            <w:pPr>
              <w:tabs>
                <w:tab w:val="left" w:pos="1387"/>
              </w:tabs>
            </w:pPr>
            <w:r w:rsidRPr="00B9194A">
              <w:rPr>
                <w:i/>
                <w:iCs/>
              </w:rPr>
              <w:t>Saccharina</w:t>
            </w:r>
            <w:r>
              <w:t xml:space="preserve"> </w:t>
            </w:r>
            <w:r w:rsidRPr="00B9194A">
              <w:rPr>
                <w:i/>
                <w:iCs/>
              </w:rPr>
              <w:t>latissima</w:t>
            </w:r>
          </w:p>
        </w:tc>
        <w:tc>
          <w:tcPr>
            <w:tcW w:w="4317" w:type="dxa"/>
            <w:vAlign w:val="center"/>
          </w:tcPr>
          <w:p w14:paraId="315473DE" w14:textId="77777777" w:rsidR="00B9194A" w:rsidRDefault="00B9194A" w:rsidP="008D7F48">
            <w:r>
              <w:t>Kreisseg et al., 2023</w:t>
            </w:r>
          </w:p>
          <w:p w14:paraId="0FEDC965" w14:textId="77777777" w:rsidR="00B9194A" w:rsidRDefault="00B9194A" w:rsidP="008D7F48">
            <w:r>
              <w:t>Skonberg et al., 2021</w:t>
            </w:r>
          </w:p>
          <w:p w14:paraId="3053CE95" w14:textId="77777777" w:rsidR="00B9194A" w:rsidRDefault="00B9194A" w:rsidP="008D7F48">
            <w:r>
              <w:t>Son et al., 2014</w:t>
            </w:r>
          </w:p>
          <w:p w14:paraId="44A5A091" w14:textId="1A28E806" w:rsidR="00556B6B" w:rsidRDefault="00B9194A" w:rsidP="008D7F48">
            <w:r>
              <w:t>Wang et al., 2023</w:t>
            </w:r>
          </w:p>
        </w:tc>
      </w:tr>
      <w:tr w:rsidR="00556B6B" w:rsidRPr="00F85DE5" w14:paraId="2B5189A7" w14:textId="77777777" w:rsidTr="000B3FDE">
        <w:tc>
          <w:tcPr>
            <w:tcW w:w="4316" w:type="dxa"/>
            <w:shd w:val="clear" w:color="auto" w:fill="D9D9D9" w:themeFill="background1" w:themeFillShade="D9"/>
          </w:tcPr>
          <w:p w14:paraId="266876E7" w14:textId="528F27EB" w:rsidR="00556B6B" w:rsidRPr="00B9194A" w:rsidRDefault="00B9194A" w:rsidP="00556B6B">
            <w:pPr>
              <w:rPr>
                <w:i/>
                <w:iCs/>
              </w:rPr>
            </w:pPr>
            <w:r>
              <w:rPr>
                <w:i/>
                <w:iCs/>
              </w:rPr>
              <w:t>Enterobacter cloacae</w:t>
            </w:r>
          </w:p>
        </w:tc>
        <w:tc>
          <w:tcPr>
            <w:tcW w:w="4317" w:type="dxa"/>
            <w:shd w:val="clear" w:color="auto" w:fill="D9D9D9" w:themeFill="background1" w:themeFillShade="D9"/>
            <w:vAlign w:val="center"/>
          </w:tcPr>
          <w:p w14:paraId="71B01DE3" w14:textId="34B0FB93" w:rsidR="00B9194A" w:rsidRDefault="00B9194A" w:rsidP="008D7F48">
            <w:r w:rsidRPr="00B9194A">
              <w:rPr>
                <w:i/>
                <w:iCs/>
              </w:rPr>
              <w:t>Fucus</w:t>
            </w:r>
            <w:r>
              <w:t xml:space="preserve"> species</w:t>
            </w:r>
          </w:p>
          <w:p w14:paraId="10A63ED5" w14:textId="0C7780C8" w:rsidR="00556B6B" w:rsidRDefault="00B9194A" w:rsidP="008D7F48">
            <w:r>
              <w:t>Gracilaria foliifera</w:t>
            </w:r>
          </w:p>
        </w:tc>
        <w:tc>
          <w:tcPr>
            <w:tcW w:w="4317" w:type="dxa"/>
            <w:shd w:val="clear" w:color="auto" w:fill="D9D9D9" w:themeFill="background1" w:themeFillShade="D9"/>
            <w:vAlign w:val="center"/>
          </w:tcPr>
          <w:p w14:paraId="6537D062" w14:textId="77777777" w:rsidR="00B9194A" w:rsidRPr="00173FBA" w:rsidRDefault="00B9194A" w:rsidP="008D7F48">
            <w:pPr>
              <w:rPr>
                <w:lang w:val="es-ES"/>
              </w:rPr>
            </w:pPr>
            <w:r w:rsidRPr="00173FBA">
              <w:rPr>
                <w:lang w:val="es-ES"/>
              </w:rPr>
              <w:t>Kreisseg et al., 2023</w:t>
            </w:r>
          </w:p>
          <w:p w14:paraId="54C52CB9" w14:textId="29422954" w:rsidR="00556B6B" w:rsidRPr="00173FBA" w:rsidRDefault="00B9194A" w:rsidP="008D7F48">
            <w:pPr>
              <w:rPr>
                <w:lang w:val="es-ES"/>
              </w:rPr>
            </w:pPr>
            <w:r w:rsidRPr="00173FBA">
              <w:rPr>
                <w:lang w:val="es-ES"/>
              </w:rPr>
              <w:t>Ezhilarasi et al., 2023</w:t>
            </w:r>
          </w:p>
        </w:tc>
      </w:tr>
      <w:tr w:rsidR="00556B6B" w14:paraId="78BE38CC" w14:textId="77777777" w:rsidTr="000B3FDE">
        <w:tc>
          <w:tcPr>
            <w:tcW w:w="4316" w:type="dxa"/>
          </w:tcPr>
          <w:p w14:paraId="721A9A57" w14:textId="4299D4B6" w:rsidR="00B9194A" w:rsidRPr="00B9194A" w:rsidRDefault="00B9194A" w:rsidP="00556B6B">
            <w:r>
              <w:rPr>
                <w:i/>
                <w:iCs/>
              </w:rPr>
              <w:t xml:space="preserve">Escherichia coli </w:t>
            </w:r>
            <w:r>
              <w:t>(non-toxigenic strains)</w:t>
            </w:r>
          </w:p>
        </w:tc>
        <w:tc>
          <w:tcPr>
            <w:tcW w:w="4317" w:type="dxa"/>
            <w:vAlign w:val="center"/>
          </w:tcPr>
          <w:p w14:paraId="689E2A75" w14:textId="2C53EAF0" w:rsidR="00B9194A" w:rsidRPr="00173FBA" w:rsidRDefault="00B9194A" w:rsidP="008D7F48">
            <w:pPr>
              <w:rPr>
                <w:lang w:val="es-ES"/>
              </w:rPr>
            </w:pPr>
            <w:r w:rsidRPr="00173FBA">
              <w:rPr>
                <w:i/>
                <w:iCs/>
                <w:lang w:val="es-ES"/>
              </w:rPr>
              <w:t>Fucus</w:t>
            </w:r>
            <w:r w:rsidRPr="00173FBA">
              <w:rPr>
                <w:lang w:val="es-ES"/>
              </w:rPr>
              <w:t xml:space="preserve"> species</w:t>
            </w:r>
          </w:p>
          <w:p w14:paraId="16CFC337" w14:textId="77777777" w:rsidR="00B9194A" w:rsidRPr="00173FBA" w:rsidRDefault="00B9194A" w:rsidP="008D7F48">
            <w:pPr>
              <w:rPr>
                <w:lang w:val="es-ES"/>
              </w:rPr>
            </w:pPr>
            <w:r w:rsidRPr="00173FBA">
              <w:rPr>
                <w:i/>
                <w:iCs/>
                <w:lang w:val="es-ES"/>
              </w:rPr>
              <w:t>Fucus</w:t>
            </w:r>
            <w:r w:rsidRPr="00173FBA">
              <w:rPr>
                <w:lang w:val="es-ES"/>
              </w:rPr>
              <w:t xml:space="preserve"> </w:t>
            </w:r>
            <w:r w:rsidRPr="00173FBA">
              <w:rPr>
                <w:i/>
                <w:iCs/>
                <w:lang w:val="es-ES"/>
              </w:rPr>
              <w:t>spiralis</w:t>
            </w:r>
          </w:p>
          <w:p w14:paraId="3B80E05C" w14:textId="77777777" w:rsidR="00B9194A" w:rsidRPr="00173FBA" w:rsidRDefault="00B9194A" w:rsidP="008D7F48">
            <w:pPr>
              <w:rPr>
                <w:lang w:val="es-ES"/>
              </w:rPr>
            </w:pPr>
            <w:r w:rsidRPr="00173FBA">
              <w:rPr>
                <w:i/>
                <w:iCs/>
                <w:lang w:val="es-ES"/>
              </w:rPr>
              <w:t>Macrocystis</w:t>
            </w:r>
            <w:r w:rsidRPr="00173FBA">
              <w:rPr>
                <w:lang w:val="es-ES"/>
              </w:rPr>
              <w:t xml:space="preserve"> </w:t>
            </w:r>
            <w:r w:rsidRPr="00173FBA">
              <w:rPr>
                <w:i/>
                <w:iCs/>
                <w:lang w:val="es-ES"/>
              </w:rPr>
              <w:t>pyrifera</w:t>
            </w:r>
          </w:p>
          <w:p w14:paraId="5A2BF8EB" w14:textId="77777777" w:rsidR="00B9194A" w:rsidRPr="00173FBA" w:rsidRDefault="00B9194A" w:rsidP="008D7F48">
            <w:pPr>
              <w:rPr>
                <w:lang w:val="es-ES"/>
              </w:rPr>
            </w:pPr>
            <w:r w:rsidRPr="00173FBA">
              <w:rPr>
                <w:i/>
                <w:iCs/>
                <w:lang w:val="es-ES"/>
              </w:rPr>
              <w:t>Saccharina</w:t>
            </w:r>
            <w:r w:rsidRPr="00173FBA">
              <w:rPr>
                <w:lang w:val="es-ES"/>
              </w:rPr>
              <w:t xml:space="preserve"> </w:t>
            </w:r>
            <w:r w:rsidRPr="00173FBA">
              <w:rPr>
                <w:i/>
                <w:iCs/>
                <w:lang w:val="es-ES"/>
              </w:rPr>
              <w:t>latissima</w:t>
            </w:r>
          </w:p>
          <w:p w14:paraId="63F944DB" w14:textId="77777777" w:rsidR="00B9194A" w:rsidRPr="00173FBA" w:rsidRDefault="00B9194A" w:rsidP="008D7F48">
            <w:pPr>
              <w:rPr>
                <w:lang w:val="es-ES"/>
              </w:rPr>
            </w:pPr>
            <w:r w:rsidRPr="00173FBA">
              <w:rPr>
                <w:i/>
                <w:iCs/>
                <w:lang w:val="es-ES"/>
              </w:rPr>
              <w:lastRenderedPageBreak/>
              <w:t>Sargassum</w:t>
            </w:r>
            <w:r w:rsidRPr="00173FBA">
              <w:rPr>
                <w:lang w:val="es-ES"/>
              </w:rPr>
              <w:t xml:space="preserve"> </w:t>
            </w:r>
            <w:r w:rsidRPr="00173FBA">
              <w:rPr>
                <w:i/>
                <w:iCs/>
                <w:lang w:val="es-ES"/>
              </w:rPr>
              <w:t>muticum</w:t>
            </w:r>
          </w:p>
          <w:p w14:paraId="6CD37E91" w14:textId="0DF0F935" w:rsidR="00B9194A" w:rsidRPr="00173FBA" w:rsidRDefault="00B9194A" w:rsidP="008D7F48">
            <w:pPr>
              <w:rPr>
                <w:lang w:val="es-ES"/>
              </w:rPr>
            </w:pPr>
            <w:r w:rsidRPr="00173FBA">
              <w:rPr>
                <w:i/>
                <w:iCs/>
                <w:lang w:val="es-ES"/>
              </w:rPr>
              <w:t>Ulva</w:t>
            </w:r>
            <w:r w:rsidRPr="00173FBA">
              <w:rPr>
                <w:lang w:val="es-ES"/>
              </w:rPr>
              <w:t xml:space="preserve"> species</w:t>
            </w:r>
          </w:p>
          <w:p w14:paraId="08AB67EE" w14:textId="77777777" w:rsidR="00B9194A" w:rsidRPr="00173FBA" w:rsidRDefault="00B9194A" w:rsidP="008D7F48">
            <w:pPr>
              <w:rPr>
                <w:lang w:val="es-ES"/>
              </w:rPr>
            </w:pPr>
            <w:r w:rsidRPr="00173FBA">
              <w:rPr>
                <w:i/>
                <w:iCs/>
                <w:lang w:val="es-ES"/>
              </w:rPr>
              <w:t>Ulva</w:t>
            </w:r>
            <w:r w:rsidRPr="00173FBA">
              <w:rPr>
                <w:lang w:val="es-ES"/>
              </w:rPr>
              <w:t xml:space="preserve"> </w:t>
            </w:r>
            <w:r w:rsidRPr="00173FBA">
              <w:rPr>
                <w:i/>
                <w:iCs/>
                <w:lang w:val="es-ES"/>
              </w:rPr>
              <w:t>pinnatifida</w:t>
            </w:r>
          </w:p>
          <w:p w14:paraId="019FF12C" w14:textId="32BED4A0" w:rsidR="00556B6B" w:rsidRPr="00173FBA" w:rsidRDefault="00B9194A" w:rsidP="008D7F48">
            <w:pPr>
              <w:rPr>
                <w:lang w:val="es-ES"/>
              </w:rPr>
            </w:pPr>
            <w:r w:rsidRPr="00173FBA">
              <w:rPr>
                <w:i/>
                <w:iCs/>
                <w:lang w:val="es-ES"/>
              </w:rPr>
              <w:t>Ulva</w:t>
            </w:r>
            <w:r w:rsidRPr="00173FBA">
              <w:rPr>
                <w:lang w:val="es-ES"/>
              </w:rPr>
              <w:t xml:space="preserve"> </w:t>
            </w:r>
            <w:r w:rsidRPr="00173FBA">
              <w:rPr>
                <w:i/>
                <w:iCs/>
                <w:lang w:val="es-ES"/>
              </w:rPr>
              <w:t>reticulata</w:t>
            </w:r>
          </w:p>
        </w:tc>
        <w:tc>
          <w:tcPr>
            <w:tcW w:w="4317" w:type="dxa"/>
            <w:vAlign w:val="center"/>
          </w:tcPr>
          <w:p w14:paraId="2DF8045B" w14:textId="77777777" w:rsidR="00B9194A" w:rsidRDefault="00B9194A" w:rsidP="008D7F48">
            <w:r>
              <w:lastRenderedPageBreak/>
              <w:t>Barberi et al., 2020</w:t>
            </w:r>
          </w:p>
          <w:p w14:paraId="1ECBEEA7" w14:textId="77777777" w:rsidR="00B9194A" w:rsidRDefault="00B9194A" w:rsidP="008D7F48">
            <w:r>
              <w:t>Kreisseg et al., 2023</w:t>
            </w:r>
          </w:p>
          <w:p w14:paraId="108F3D1C" w14:textId="77777777" w:rsidR="00B9194A" w:rsidRPr="00173FBA" w:rsidRDefault="00B9194A" w:rsidP="008D7F48">
            <w:pPr>
              <w:rPr>
                <w:lang w:val="es-ES"/>
              </w:rPr>
            </w:pPr>
            <w:r w:rsidRPr="00173FBA">
              <w:rPr>
                <w:lang w:val="es-ES"/>
              </w:rPr>
              <w:t>Quero et al., 2015</w:t>
            </w:r>
          </w:p>
          <w:p w14:paraId="622816BD" w14:textId="77777777" w:rsidR="00B9194A" w:rsidRPr="00173FBA" w:rsidRDefault="00B9194A" w:rsidP="008D7F48">
            <w:pPr>
              <w:rPr>
                <w:lang w:val="es-ES"/>
              </w:rPr>
            </w:pPr>
            <w:r w:rsidRPr="00173FBA">
              <w:rPr>
                <w:lang w:val="es-ES"/>
              </w:rPr>
              <w:t>Quilliam et al., 2013</w:t>
            </w:r>
          </w:p>
          <w:p w14:paraId="36FD3A03" w14:textId="77777777" w:rsidR="00B9194A" w:rsidRDefault="00B9194A" w:rsidP="008D7F48">
            <w:r>
              <w:lastRenderedPageBreak/>
              <w:t>Russell et al., 2013</w:t>
            </w:r>
          </w:p>
          <w:p w14:paraId="6FF3D84F" w14:textId="2BA74767" w:rsidR="00556B6B" w:rsidRDefault="00B9194A" w:rsidP="008D7F48">
            <w:r>
              <w:t>Vairappan et al., 2000</w:t>
            </w:r>
          </w:p>
        </w:tc>
      </w:tr>
      <w:tr w:rsidR="00B9194A" w14:paraId="230FD39B" w14:textId="77777777" w:rsidTr="000B3FDE">
        <w:tc>
          <w:tcPr>
            <w:tcW w:w="4316" w:type="dxa"/>
            <w:shd w:val="clear" w:color="auto" w:fill="D9D9D9" w:themeFill="background1" w:themeFillShade="D9"/>
          </w:tcPr>
          <w:p w14:paraId="2C22FD74" w14:textId="0CE7EA3B" w:rsidR="00B9194A" w:rsidRPr="00B9194A" w:rsidRDefault="00B9194A" w:rsidP="00B9194A">
            <w:r>
              <w:rPr>
                <w:i/>
                <w:iCs/>
              </w:rPr>
              <w:lastRenderedPageBreak/>
              <w:t>Escherichia coli</w:t>
            </w:r>
            <w:r>
              <w:t xml:space="preserve"> (toxigenic strains)</w:t>
            </w:r>
          </w:p>
        </w:tc>
        <w:tc>
          <w:tcPr>
            <w:tcW w:w="4317" w:type="dxa"/>
            <w:shd w:val="clear" w:color="auto" w:fill="D9D9D9" w:themeFill="background1" w:themeFillShade="D9"/>
            <w:vAlign w:val="center"/>
          </w:tcPr>
          <w:p w14:paraId="556203A3" w14:textId="4C631026" w:rsidR="00B9194A" w:rsidRDefault="00B9194A" w:rsidP="008D7F48">
            <w:r>
              <w:rPr>
                <w:i/>
                <w:iCs/>
              </w:rPr>
              <w:t>Saccharina latissima</w:t>
            </w:r>
          </w:p>
        </w:tc>
        <w:tc>
          <w:tcPr>
            <w:tcW w:w="4317" w:type="dxa"/>
            <w:shd w:val="clear" w:color="auto" w:fill="D9D9D9" w:themeFill="background1" w:themeFillShade="D9"/>
            <w:vAlign w:val="center"/>
          </w:tcPr>
          <w:p w14:paraId="2C325C68" w14:textId="44DB2D63" w:rsidR="00B9194A" w:rsidRDefault="008D7F48" w:rsidP="008D7F48">
            <w:r w:rsidRPr="008D7F48">
              <w:t>Barberi et al., 2020</w:t>
            </w:r>
          </w:p>
        </w:tc>
      </w:tr>
      <w:tr w:rsidR="00B9194A" w14:paraId="07C9901A" w14:textId="77777777" w:rsidTr="000B3FDE">
        <w:tc>
          <w:tcPr>
            <w:tcW w:w="4316" w:type="dxa"/>
          </w:tcPr>
          <w:p w14:paraId="3135A246" w14:textId="7CC438A4" w:rsidR="00B9194A" w:rsidRDefault="00B9194A" w:rsidP="00B9194A">
            <w:pPr>
              <w:rPr>
                <w:i/>
                <w:iCs/>
              </w:rPr>
            </w:pPr>
            <w:r>
              <w:rPr>
                <w:i/>
                <w:iCs/>
              </w:rPr>
              <w:t>Klebsiella oxytoca</w:t>
            </w:r>
          </w:p>
        </w:tc>
        <w:tc>
          <w:tcPr>
            <w:tcW w:w="4317" w:type="dxa"/>
            <w:vAlign w:val="center"/>
          </w:tcPr>
          <w:p w14:paraId="719F1D69" w14:textId="2D1FBF1C" w:rsidR="00B9194A" w:rsidRDefault="00B9194A" w:rsidP="008D7F48">
            <w:r>
              <w:rPr>
                <w:i/>
                <w:iCs/>
              </w:rPr>
              <w:t>Fucus</w:t>
            </w:r>
            <w:r>
              <w:t xml:space="preserve"> species</w:t>
            </w:r>
          </w:p>
        </w:tc>
        <w:tc>
          <w:tcPr>
            <w:tcW w:w="4317" w:type="dxa"/>
            <w:vAlign w:val="center"/>
          </w:tcPr>
          <w:p w14:paraId="00383804" w14:textId="13A0E18A" w:rsidR="00B9194A" w:rsidRDefault="008D7F48" w:rsidP="008D7F48">
            <w:r w:rsidRPr="008D7F48">
              <w:t>Kreisseg et al., 2023</w:t>
            </w:r>
          </w:p>
        </w:tc>
      </w:tr>
      <w:tr w:rsidR="00B9194A" w14:paraId="766B603D" w14:textId="77777777" w:rsidTr="000B3FDE">
        <w:tc>
          <w:tcPr>
            <w:tcW w:w="4316" w:type="dxa"/>
            <w:shd w:val="clear" w:color="auto" w:fill="D9D9D9" w:themeFill="background1" w:themeFillShade="D9"/>
          </w:tcPr>
          <w:p w14:paraId="5AA9F416" w14:textId="4069484E" w:rsidR="00B9194A" w:rsidRDefault="00B9194A" w:rsidP="00B9194A">
            <w:pPr>
              <w:rPr>
                <w:i/>
                <w:iCs/>
              </w:rPr>
            </w:pPr>
            <w:r>
              <w:rPr>
                <w:i/>
                <w:iCs/>
              </w:rPr>
              <w:t>Klebsiella variicola</w:t>
            </w:r>
          </w:p>
        </w:tc>
        <w:tc>
          <w:tcPr>
            <w:tcW w:w="4317" w:type="dxa"/>
            <w:shd w:val="clear" w:color="auto" w:fill="D9D9D9" w:themeFill="background1" w:themeFillShade="D9"/>
            <w:vAlign w:val="center"/>
          </w:tcPr>
          <w:p w14:paraId="4505D283" w14:textId="2F460AF9" w:rsidR="00B9194A" w:rsidRDefault="00B9194A" w:rsidP="008D7F48">
            <w:r>
              <w:rPr>
                <w:i/>
                <w:iCs/>
              </w:rPr>
              <w:t>Fucus</w:t>
            </w:r>
            <w:r>
              <w:t xml:space="preserve"> species</w:t>
            </w:r>
          </w:p>
        </w:tc>
        <w:tc>
          <w:tcPr>
            <w:tcW w:w="4317" w:type="dxa"/>
            <w:shd w:val="clear" w:color="auto" w:fill="D9D9D9" w:themeFill="background1" w:themeFillShade="D9"/>
            <w:vAlign w:val="center"/>
          </w:tcPr>
          <w:p w14:paraId="0B69D70A" w14:textId="4AFD05C8" w:rsidR="00B9194A" w:rsidRDefault="008D7F48" w:rsidP="008D7F48">
            <w:r w:rsidRPr="008D7F48">
              <w:t>Kreisseg et al., 2023</w:t>
            </w:r>
          </w:p>
        </w:tc>
      </w:tr>
      <w:tr w:rsidR="00B9194A" w:rsidRPr="00F85DE5" w14:paraId="2FE7EEDB" w14:textId="77777777" w:rsidTr="000B3FDE">
        <w:tc>
          <w:tcPr>
            <w:tcW w:w="4316" w:type="dxa"/>
          </w:tcPr>
          <w:p w14:paraId="1057FA8D" w14:textId="30B148F2" w:rsidR="00B9194A" w:rsidRDefault="00B9194A" w:rsidP="00B9194A">
            <w:pPr>
              <w:rPr>
                <w:i/>
                <w:iCs/>
              </w:rPr>
            </w:pPr>
            <w:r>
              <w:rPr>
                <w:i/>
                <w:iCs/>
              </w:rPr>
              <w:t>Listeria monocytogenes</w:t>
            </w:r>
          </w:p>
        </w:tc>
        <w:tc>
          <w:tcPr>
            <w:tcW w:w="4317" w:type="dxa"/>
            <w:vAlign w:val="center"/>
          </w:tcPr>
          <w:p w14:paraId="15DD7B96" w14:textId="77777777" w:rsidR="00B9194A" w:rsidRPr="00173FBA" w:rsidRDefault="00B9194A" w:rsidP="008D7F48">
            <w:pPr>
              <w:rPr>
                <w:lang w:val="es-ES"/>
              </w:rPr>
            </w:pPr>
            <w:r w:rsidRPr="00173FBA">
              <w:rPr>
                <w:i/>
                <w:iCs/>
                <w:lang w:val="es-ES"/>
              </w:rPr>
              <w:t>Alaria</w:t>
            </w:r>
            <w:r w:rsidRPr="00173FBA">
              <w:rPr>
                <w:lang w:val="es-ES"/>
              </w:rPr>
              <w:t xml:space="preserve"> </w:t>
            </w:r>
            <w:r w:rsidRPr="00173FBA">
              <w:rPr>
                <w:i/>
                <w:iCs/>
                <w:lang w:val="es-ES"/>
              </w:rPr>
              <w:t>esculenta</w:t>
            </w:r>
          </w:p>
          <w:p w14:paraId="6CDAE26F" w14:textId="77777777" w:rsidR="00B9194A" w:rsidRPr="00173FBA" w:rsidRDefault="00B9194A" w:rsidP="008D7F48">
            <w:pPr>
              <w:rPr>
                <w:lang w:val="es-ES"/>
              </w:rPr>
            </w:pPr>
            <w:r w:rsidRPr="00173FBA">
              <w:rPr>
                <w:i/>
                <w:iCs/>
                <w:lang w:val="es-ES"/>
              </w:rPr>
              <w:t>Caulerpa</w:t>
            </w:r>
            <w:r w:rsidRPr="00173FBA">
              <w:rPr>
                <w:lang w:val="es-ES"/>
              </w:rPr>
              <w:t xml:space="preserve"> </w:t>
            </w:r>
            <w:r w:rsidRPr="00173FBA">
              <w:rPr>
                <w:i/>
                <w:iCs/>
                <w:lang w:val="es-ES"/>
              </w:rPr>
              <w:t>lentillifera</w:t>
            </w:r>
          </w:p>
          <w:p w14:paraId="242DBE54" w14:textId="2405E13A" w:rsidR="00B9194A" w:rsidRPr="00173FBA" w:rsidRDefault="00B9194A" w:rsidP="008D7F48">
            <w:pPr>
              <w:rPr>
                <w:lang w:val="es-ES"/>
              </w:rPr>
            </w:pPr>
            <w:r w:rsidRPr="00173FBA">
              <w:rPr>
                <w:i/>
                <w:iCs/>
                <w:lang w:val="es-ES"/>
              </w:rPr>
              <w:t>Padina</w:t>
            </w:r>
            <w:r w:rsidRPr="00173FBA">
              <w:rPr>
                <w:lang w:val="es-ES"/>
              </w:rPr>
              <w:t xml:space="preserve"> species</w:t>
            </w:r>
          </w:p>
          <w:p w14:paraId="09EB55B1" w14:textId="209325D7" w:rsidR="00B9194A" w:rsidRDefault="00B9194A" w:rsidP="008D7F48">
            <w:r w:rsidRPr="00B9194A">
              <w:rPr>
                <w:i/>
                <w:iCs/>
              </w:rPr>
              <w:t>Sargassum</w:t>
            </w:r>
            <w:r>
              <w:t xml:space="preserve"> species</w:t>
            </w:r>
          </w:p>
          <w:p w14:paraId="1A33A667" w14:textId="0FF71108" w:rsidR="00B9194A" w:rsidRDefault="006D17D6" w:rsidP="008D7F48">
            <w:r w:rsidRPr="00B9194A">
              <w:rPr>
                <w:i/>
                <w:iCs/>
              </w:rPr>
              <w:t>Turbellaria</w:t>
            </w:r>
            <w:r w:rsidR="00B9194A">
              <w:t xml:space="preserve"> species</w:t>
            </w:r>
          </w:p>
        </w:tc>
        <w:tc>
          <w:tcPr>
            <w:tcW w:w="4317" w:type="dxa"/>
            <w:vAlign w:val="center"/>
          </w:tcPr>
          <w:p w14:paraId="6323842D" w14:textId="77777777" w:rsidR="008D7F48" w:rsidRPr="00173FBA" w:rsidRDefault="008D7F48" w:rsidP="008D7F48">
            <w:pPr>
              <w:rPr>
                <w:lang w:val="es-ES"/>
              </w:rPr>
            </w:pPr>
            <w:r w:rsidRPr="00173FBA">
              <w:rPr>
                <w:lang w:val="es-ES"/>
              </w:rPr>
              <w:t>Beleneva et al., 2011</w:t>
            </w:r>
          </w:p>
          <w:p w14:paraId="4A837337" w14:textId="649295C7" w:rsidR="00B9194A" w:rsidRPr="00173FBA" w:rsidRDefault="008D7F48" w:rsidP="008D7F48">
            <w:pPr>
              <w:rPr>
                <w:lang w:val="es-ES"/>
              </w:rPr>
            </w:pPr>
            <w:r w:rsidRPr="00173FBA">
              <w:rPr>
                <w:lang w:val="es-ES"/>
              </w:rPr>
              <w:t>Lytou et al., 2021</w:t>
            </w:r>
          </w:p>
        </w:tc>
      </w:tr>
      <w:tr w:rsidR="00B9194A" w14:paraId="2673A78C" w14:textId="77777777" w:rsidTr="000B3FDE">
        <w:tc>
          <w:tcPr>
            <w:tcW w:w="4316" w:type="dxa"/>
            <w:shd w:val="clear" w:color="auto" w:fill="D9D9D9" w:themeFill="background1" w:themeFillShade="D9"/>
          </w:tcPr>
          <w:p w14:paraId="04FE9EFC" w14:textId="332781B3" w:rsidR="00B9194A" w:rsidRDefault="00B9194A" w:rsidP="00B9194A">
            <w:pPr>
              <w:rPr>
                <w:i/>
                <w:iCs/>
              </w:rPr>
            </w:pPr>
            <w:r>
              <w:rPr>
                <w:i/>
                <w:iCs/>
              </w:rPr>
              <w:t>Salmonella enterica</w:t>
            </w:r>
          </w:p>
        </w:tc>
        <w:tc>
          <w:tcPr>
            <w:tcW w:w="4317" w:type="dxa"/>
            <w:shd w:val="clear" w:color="auto" w:fill="D9D9D9" w:themeFill="background1" w:themeFillShade="D9"/>
            <w:vAlign w:val="center"/>
          </w:tcPr>
          <w:p w14:paraId="3725CD4A" w14:textId="2FD8EA54" w:rsidR="00B9194A" w:rsidRPr="00B9194A" w:rsidRDefault="00B9194A" w:rsidP="008D7F48">
            <w:pPr>
              <w:rPr>
                <w:i/>
                <w:iCs/>
              </w:rPr>
            </w:pPr>
            <w:r>
              <w:rPr>
                <w:i/>
                <w:iCs/>
              </w:rPr>
              <w:t>Saccharina latissima</w:t>
            </w:r>
          </w:p>
        </w:tc>
        <w:tc>
          <w:tcPr>
            <w:tcW w:w="4317" w:type="dxa"/>
            <w:shd w:val="clear" w:color="auto" w:fill="D9D9D9" w:themeFill="background1" w:themeFillShade="D9"/>
            <w:vAlign w:val="center"/>
          </w:tcPr>
          <w:p w14:paraId="40415C03" w14:textId="1CFA8304" w:rsidR="00B9194A" w:rsidRDefault="008D7F48" w:rsidP="008D7F48">
            <w:r w:rsidRPr="008D7F48">
              <w:t>Barberi et al., 2020</w:t>
            </w:r>
          </w:p>
        </w:tc>
      </w:tr>
      <w:tr w:rsidR="00B9194A" w14:paraId="7732DD64" w14:textId="77777777" w:rsidTr="000B3FDE">
        <w:tc>
          <w:tcPr>
            <w:tcW w:w="4316" w:type="dxa"/>
          </w:tcPr>
          <w:p w14:paraId="3DEF7223" w14:textId="6991E582" w:rsidR="00B9194A" w:rsidRDefault="00B9194A" w:rsidP="00B9194A">
            <w:pPr>
              <w:rPr>
                <w:i/>
                <w:iCs/>
              </w:rPr>
            </w:pPr>
            <w:r>
              <w:rPr>
                <w:i/>
                <w:iCs/>
              </w:rPr>
              <w:t>Serratia liquefaciens</w:t>
            </w:r>
          </w:p>
        </w:tc>
        <w:tc>
          <w:tcPr>
            <w:tcW w:w="4317" w:type="dxa"/>
            <w:vAlign w:val="center"/>
          </w:tcPr>
          <w:p w14:paraId="25FA7F1C" w14:textId="2863EAFA" w:rsidR="00B9194A" w:rsidRPr="00B9194A" w:rsidRDefault="00B9194A" w:rsidP="008D7F48">
            <w:r>
              <w:rPr>
                <w:i/>
                <w:iCs/>
              </w:rPr>
              <w:t>Fucus</w:t>
            </w:r>
            <w:r>
              <w:t xml:space="preserve"> species</w:t>
            </w:r>
          </w:p>
        </w:tc>
        <w:tc>
          <w:tcPr>
            <w:tcW w:w="4317" w:type="dxa"/>
            <w:vAlign w:val="center"/>
          </w:tcPr>
          <w:p w14:paraId="15EB1936" w14:textId="4905051E" w:rsidR="00B9194A" w:rsidRDefault="008D7F48" w:rsidP="008D7F48">
            <w:r w:rsidRPr="008D7F48">
              <w:t>Kreisseg et al., 2023</w:t>
            </w:r>
          </w:p>
        </w:tc>
      </w:tr>
      <w:tr w:rsidR="00B9194A" w14:paraId="25F854A9" w14:textId="77777777" w:rsidTr="000B3FDE">
        <w:tc>
          <w:tcPr>
            <w:tcW w:w="4316" w:type="dxa"/>
            <w:shd w:val="clear" w:color="auto" w:fill="D9D9D9" w:themeFill="background1" w:themeFillShade="D9"/>
          </w:tcPr>
          <w:p w14:paraId="75644F0B" w14:textId="6B379DD5" w:rsidR="00B9194A" w:rsidRDefault="00B9194A" w:rsidP="00B9194A">
            <w:pPr>
              <w:rPr>
                <w:i/>
                <w:iCs/>
              </w:rPr>
            </w:pPr>
            <w:r>
              <w:rPr>
                <w:i/>
                <w:iCs/>
              </w:rPr>
              <w:t>Staphylococcus aureus</w:t>
            </w:r>
          </w:p>
        </w:tc>
        <w:tc>
          <w:tcPr>
            <w:tcW w:w="4317" w:type="dxa"/>
            <w:shd w:val="clear" w:color="auto" w:fill="D9D9D9" w:themeFill="background1" w:themeFillShade="D9"/>
            <w:vAlign w:val="center"/>
          </w:tcPr>
          <w:p w14:paraId="3582753A" w14:textId="77777777" w:rsidR="00B9194A" w:rsidRPr="00173FBA" w:rsidRDefault="00B9194A" w:rsidP="008D7F48">
            <w:pPr>
              <w:rPr>
                <w:lang w:val="es-ES"/>
              </w:rPr>
            </w:pPr>
            <w:r w:rsidRPr="00173FBA">
              <w:rPr>
                <w:i/>
                <w:iCs/>
                <w:lang w:val="es-ES"/>
              </w:rPr>
              <w:t>Caulerpa</w:t>
            </w:r>
            <w:r w:rsidRPr="00173FBA">
              <w:rPr>
                <w:lang w:val="es-ES"/>
              </w:rPr>
              <w:t xml:space="preserve"> </w:t>
            </w:r>
            <w:r w:rsidRPr="00173FBA">
              <w:rPr>
                <w:i/>
                <w:iCs/>
                <w:lang w:val="es-ES"/>
              </w:rPr>
              <w:t>lentillifera</w:t>
            </w:r>
          </w:p>
          <w:p w14:paraId="68D7F02F" w14:textId="77777777" w:rsidR="00B9194A" w:rsidRPr="00173FBA" w:rsidRDefault="00B9194A" w:rsidP="008D7F48">
            <w:pPr>
              <w:rPr>
                <w:lang w:val="es-ES"/>
              </w:rPr>
            </w:pPr>
            <w:r w:rsidRPr="00173FBA">
              <w:rPr>
                <w:i/>
                <w:iCs/>
                <w:lang w:val="es-ES"/>
              </w:rPr>
              <w:t>Laminaria</w:t>
            </w:r>
            <w:r w:rsidRPr="00173FBA">
              <w:rPr>
                <w:lang w:val="es-ES"/>
              </w:rPr>
              <w:t xml:space="preserve"> </w:t>
            </w:r>
            <w:r w:rsidRPr="00173FBA">
              <w:rPr>
                <w:i/>
                <w:iCs/>
                <w:lang w:val="es-ES"/>
              </w:rPr>
              <w:t>japonica</w:t>
            </w:r>
          </w:p>
          <w:p w14:paraId="3F262B2B" w14:textId="407F93C0" w:rsidR="00B9194A" w:rsidRPr="00173FBA" w:rsidRDefault="00B9194A" w:rsidP="008D7F48">
            <w:pPr>
              <w:rPr>
                <w:lang w:val="es-ES"/>
              </w:rPr>
            </w:pPr>
            <w:r w:rsidRPr="00173FBA">
              <w:rPr>
                <w:i/>
                <w:iCs/>
                <w:lang w:val="es-ES"/>
              </w:rPr>
              <w:t>Padina</w:t>
            </w:r>
            <w:r w:rsidRPr="00173FBA">
              <w:rPr>
                <w:lang w:val="es-ES"/>
              </w:rPr>
              <w:t xml:space="preserve"> species</w:t>
            </w:r>
          </w:p>
          <w:p w14:paraId="3652E045" w14:textId="32EC0DF3" w:rsidR="00B9194A" w:rsidRDefault="00B9194A" w:rsidP="008D7F48">
            <w:r w:rsidRPr="00B9194A">
              <w:rPr>
                <w:i/>
                <w:iCs/>
              </w:rPr>
              <w:t>Sargassum</w:t>
            </w:r>
            <w:r>
              <w:t xml:space="preserve"> species</w:t>
            </w:r>
          </w:p>
          <w:p w14:paraId="24729421" w14:textId="77777777" w:rsidR="00B9194A" w:rsidRDefault="00B9194A" w:rsidP="008D7F48">
            <w:r w:rsidRPr="00B9194A">
              <w:rPr>
                <w:i/>
                <w:iCs/>
              </w:rPr>
              <w:t>Sargassum</w:t>
            </w:r>
            <w:r>
              <w:t xml:space="preserve"> </w:t>
            </w:r>
            <w:r w:rsidRPr="00B9194A">
              <w:rPr>
                <w:i/>
                <w:iCs/>
              </w:rPr>
              <w:t>pallidum</w:t>
            </w:r>
          </w:p>
          <w:p w14:paraId="243953CE" w14:textId="2870B650" w:rsidR="00B9194A" w:rsidRDefault="00B9194A" w:rsidP="008D7F48">
            <w:r w:rsidRPr="00B9194A">
              <w:rPr>
                <w:i/>
                <w:iCs/>
              </w:rPr>
              <w:t>Turbullaria</w:t>
            </w:r>
            <w:r>
              <w:t xml:space="preserve"> species</w:t>
            </w:r>
          </w:p>
        </w:tc>
        <w:tc>
          <w:tcPr>
            <w:tcW w:w="4317" w:type="dxa"/>
            <w:shd w:val="clear" w:color="auto" w:fill="D9D9D9" w:themeFill="background1" w:themeFillShade="D9"/>
            <w:vAlign w:val="center"/>
          </w:tcPr>
          <w:p w14:paraId="4650D496" w14:textId="0D78D24A" w:rsidR="00B9194A" w:rsidRDefault="008D7F48" w:rsidP="008D7F48">
            <w:r w:rsidRPr="008D7F48">
              <w:t>Beleneva et al., 2011</w:t>
            </w:r>
          </w:p>
        </w:tc>
      </w:tr>
      <w:tr w:rsidR="00B9194A" w14:paraId="73F56615" w14:textId="77777777" w:rsidTr="000B3FDE">
        <w:tc>
          <w:tcPr>
            <w:tcW w:w="4316" w:type="dxa"/>
          </w:tcPr>
          <w:p w14:paraId="42D4ACE3" w14:textId="53174553" w:rsidR="00B9194A" w:rsidRDefault="00B9194A" w:rsidP="00B9194A">
            <w:pPr>
              <w:rPr>
                <w:i/>
                <w:iCs/>
              </w:rPr>
            </w:pPr>
            <w:r>
              <w:rPr>
                <w:i/>
                <w:iCs/>
              </w:rPr>
              <w:t>Vibrio alginolyticus</w:t>
            </w:r>
          </w:p>
        </w:tc>
        <w:tc>
          <w:tcPr>
            <w:tcW w:w="4317" w:type="dxa"/>
            <w:vAlign w:val="center"/>
          </w:tcPr>
          <w:p w14:paraId="5BCFB645" w14:textId="6319DE92" w:rsidR="00B9194A" w:rsidRPr="00173FBA" w:rsidRDefault="00B9194A" w:rsidP="008D7F48">
            <w:pPr>
              <w:tabs>
                <w:tab w:val="left" w:pos="3196"/>
              </w:tabs>
              <w:rPr>
                <w:lang w:val="es-ES"/>
              </w:rPr>
            </w:pPr>
            <w:r w:rsidRPr="00173FBA">
              <w:rPr>
                <w:i/>
                <w:iCs/>
                <w:lang w:val="es-ES"/>
              </w:rPr>
              <w:t>Alaria</w:t>
            </w:r>
            <w:r w:rsidRPr="00173FBA">
              <w:rPr>
                <w:lang w:val="es-ES"/>
              </w:rPr>
              <w:t xml:space="preserve"> </w:t>
            </w:r>
            <w:r w:rsidRPr="00173FBA">
              <w:rPr>
                <w:i/>
                <w:iCs/>
                <w:lang w:val="es-ES"/>
              </w:rPr>
              <w:t>esculenta</w:t>
            </w:r>
          </w:p>
          <w:p w14:paraId="4A906ED3" w14:textId="77777777" w:rsidR="00B9194A" w:rsidRPr="00173FBA" w:rsidRDefault="00B9194A" w:rsidP="008D7F48">
            <w:pPr>
              <w:tabs>
                <w:tab w:val="left" w:pos="3196"/>
              </w:tabs>
              <w:rPr>
                <w:lang w:val="es-ES"/>
              </w:rPr>
            </w:pPr>
            <w:r w:rsidRPr="00173FBA">
              <w:rPr>
                <w:i/>
                <w:iCs/>
                <w:lang w:val="es-ES"/>
              </w:rPr>
              <w:t>Caulerpa</w:t>
            </w:r>
            <w:r w:rsidRPr="00173FBA">
              <w:rPr>
                <w:lang w:val="es-ES"/>
              </w:rPr>
              <w:t xml:space="preserve"> </w:t>
            </w:r>
            <w:r w:rsidRPr="00173FBA">
              <w:rPr>
                <w:i/>
                <w:iCs/>
                <w:lang w:val="es-ES"/>
              </w:rPr>
              <w:t>racemosa</w:t>
            </w:r>
          </w:p>
          <w:p w14:paraId="21F874DD" w14:textId="77777777" w:rsidR="00B9194A" w:rsidRPr="00173FBA" w:rsidRDefault="00B9194A" w:rsidP="008D7F48">
            <w:pPr>
              <w:tabs>
                <w:tab w:val="left" w:pos="3196"/>
              </w:tabs>
              <w:rPr>
                <w:lang w:val="es-ES"/>
              </w:rPr>
            </w:pPr>
            <w:r w:rsidRPr="00173FBA">
              <w:rPr>
                <w:i/>
                <w:iCs/>
                <w:lang w:val="es-ES"/>
              </w:rPr>
              <w:t>Gracilariopsis</w:t>
            </w:r>
            <w:r w:rsidRPr="00173FBA">
              <w:rPr>
                <w:lang w:val="es-ES"/>
              </w:rPr>
              <w:t xml:space="preserve"> </w:t>
            </w:r>
            <w:r w:rsidRPr="00173FBA">
              <w:rPr>
                <w:i/>
                <w:iCs/>
                <w:lang w:val="es-ES"/>
              </w:rPr>
              <w:t>heteroclada</w:t>
            </w:r>
          </w:p>
          <w:p w14:paraId="53A7FE74" w14:textId="77777777" w:rsidR="00B9194A" w:rsidRDefault="00B9194A" w:rsidP="008D7F48">
            <w:pPr>
              <w:tabs>
                <w:tab w:val="left" w:pos="3196"/>
              </w:tabs>
            </w:pPr>
            <w:r w:rsidRPr="00B9194A">
              <w:rPr>
                <w:i/>
                <w:iCs/>
              </w:rPr>
              <w:t>Kappaphycus</w:t>
            </w:r>
            <w:r>
              <w:t xml:space="preserve"> </w:t>
            </w:r>
            <w:r w:rsidRPr="00B9194A">
              <w:rPr>
                <w:i/>
                <w:iCs/>
              </w:rPr>
              <w:t>striatus</w:t>
            </w:r>
          </w:p>
          <w:p w14:paraId="6ED97C82" w14:textId="77777777" w:rsidR="00B9194A" w:rsidRDefault="00B9194A" w:rsidP="008D7F48">
            <w:pPr>
              <w:tabs>
                <w:tab w:val="left" w:pos="3196"/>
              </w:tabs>
            </w:pPr>
            <w:r w:rsidRPr="00B9194A">
              <w:rPr>
                <w:i/>
                <w:iCs/>
              </w:rPr>
              <w:t>Saccharina</w:t>
            </w:r>
            <w:r>
              <w:t xml:space="preserve"> </w:t>
            </w:r>
            <w:r w:rsidRPr="00B9194A">
              <w:rPr>
                <w:i/>
                <w:iCs/>
              </w:rPr>
              <w:t>latissima</w:t>
            </w:r>
          </w:p>
          <w:p w14:paraId="288A754C" w14:textId="60FBF470" w:rsidR="00B9194A" w:rsidRDefault="00B9194A" w:rsidP="008D7F48">
            <w:pPr>
              <w:tabs>
                <w:tab w:val="left" w:pos="3196"/>
              </w:tabs>
            </w:pPr>
            <w:r w:rsidRPr="00B9194A">
              <w:rPr>
                <w:i/>
                <w:iCs/>
              </w:rPr>
              <w:lastRenderedPageBreak/>
              <w:t>Sargassum</w:t>
            </w:r>
            <w:r>
              <w:t xml:space="preserve"> species</w:t>
            </w:r>
          </w:p>
          <w:p w14:paraId="73F963F7" w14:textId="62C2B801" w:rsidR="00B9194A" w:rsidRDefault="00B9194A" w:rsidP="008D7F48">
            <w:pPr>
              <w:tabs>
                <w:tab w:val="left" w:pos="3196"/>
              </w:tabs>
            </w:pPr>
            <w:r w:rsidRPr="00B9194A">
              <w:rPr>
                <w:i/>
                <w:iCs/>
              </w:rPr>
              <w:t>Ulva</w:t>
            </w:r>
            <w:r>
              <w:t xml:space="preserve"> </w:t>
            </w:r>
            <w:r w:rsidRPr="00B9194A">
              <w:rPr>
                <w:i/>
                <w:iCs/>
              </w:rPr>
              <w:t>reticulata</w:t>
            </w:r>
          </w:p>
        </w:tc>
        <w:tc>
          <w:tcPr>
            <w:tcW w:w="4317" w:type="dxa"/>
            <w:vAlign w:val="center"/>
          </w:tcPr>
          <w:p w14:paraId="6CAEFE95" w14:textId="77777777" w:rsidR="008D7F48" w:rsidRPr="00173FBA" w:rsidRDefault="008D7F48" w:rsidP="008D7F48">
            <w:pPr>
              <w:rPr>
                <w:lang w:val="es-ES"/>
              </w:rPr>
            </w:pPr>
            <w:r w:rsidRPr="00173FBA">
              <w:rPr>
                <w:lang w:val="es-ES"/>
              </w:rPr>
              <w:lastRenderedPageBreak/>
              <w:t>Banach et al., 2024</w:t>
            </w:r>
          </w:p>
          <w:p w14:paraId="10699DA2" w14:textId="77777777" w:rsidR="008D7F48" w:rsidRPr="00173FBA" w:rsidRDefault="008D7F48" w:rsidP="008D7F48">
            <w:pPr>
              <w:rPr>
                <w:lang w:val="es-ES"/>
              </w:rPr>
            </w:pPr>
            <w:r w:rsidRPr="00173FBA">
              <w:rPr>
                <w:lang w:val="es-ES"/>
              </w:rPr>
              <w:t>Barberi et al., 2020</w:t>
            </w:r>
          </w:p>
          <w:p w14:paraId="3ED0FAF0" w14:textId="77777777" w:rsidR="008D7F48" w:rsidRPr="00173FBA" w:rsidRDefault="008D7F48" w:rsidP="008D7F48">
            <w:pPr>
              <w:rPr>
                <w:lang w:val="es-ES"/>
              </w:rPr>
            </w:pPr>
            <w:r w:rsidRPr="00173FBA">
              <w:rPr>
                <w:lang w:val="es-ES"/>
              </w:rPr>
              <w:t>Faassen et al., 2024</w:t>
            </w:r>
          </w:p>
          <w:p w14:paraId="72378DAB" w14:textId="77777777" w:rsidR="008D7F48" w:rsidRPr="00173FBA" w:rsidRDefault="008D7F48" w:rsidP="008D7F48">
            <w:pPr>
              <w:rPr>
                <w:lang w:val="es-ES"/>
              </w:rPr>
            </w:pPr>
            <w:r w:rsidRPr="00173FBA">
              <w:rPr>
                <w:lang w:val="es-ES"/>
              </w:rPr>
              <w:t>Lytou et al., 2021</w:t>
            </w:r>
          </w:p>
          <w:p w14:paraId="5842DA12" w14:textId="77777777" w:rsidR="008D7F48" w:rsidRPr="00173FBA" w:rsidRDefault="008D7F48" w:rsidP="008D7F48">
            <w:pPr>
              <w:rPr>
                <w:lang w:val="es-ES"/>
              </w:rPr>
            </w:pPr>
            <w:r w:rsidRPr="00173FBA">
              <w:rPr>
                <w:lang w:val="es-ES"/>
              </w:rPr>
              <w:t>Martinez &amp; Padilla, 2016</w:t>
            </w:r>
          </w:p>
          <w:p w14:paraId="17B4D59C" w14:textId="77777777" w:rsidR="008D7F48" w:rsidRPr="00173FBA" w:rsidRDefault="008D7F48" w:rsidP="008D7F48">
            <w:pPr>
              <w:rPr>
                <w:lang w:val="es-ES"/>
              </w:rPr>
            </w:pPr>
            <w:r w:rsidRPr="00173FBA">
              <w:rPr>
                <w:lang w:val="es-ES"/>
              </w:rPr>
              <w:lastRenderedPageBreak/>
              <w:t>Mincer et al., 2023</w:t>
            </w:r>
          </w:p>
          <w:p w14:paraId="0F7378D3" w14:textId="77777777" w:rsidR="008D7F48" w:rsidRDefault="008D7F48" w:rsidP="008D7F48">
            <w:r>
              <w:t>Setyati et al., 2023</w:t>
            </w:r>
          </w:p>
          <w:p w14:paraId="5BEEDE23" w14:textId="77777777" w:rsidR="008D7F48" w:rsidRDefault="008D7F48" w:rsidP="008D7F48">
            <w:r>
              <w:t>Tahiluddin et al., 2021</w:t>
            </w:r>
          </w:p>
          <w:p w14:paraId="417D0353" w14:textId="75CCDA59" w:rsidR="00B9194A" w:rsidRDefault="008D7F48" w:rsidP="008D7F48">
            <w:r>
              <w:t>Vairappan et al., 2020</w:t>
            </w:r>
          </w:p>
        </w:tc>
      </w:tr>
      <w:tr w:rsidR="00B9194A" w:rsidRPr="00F85DE5" w14:paraId="6716558D" w14:textId="77777777" w:rsidTr="000B3FDE">
        <w:tc>
          <w:tcPr>
            <w:tcW w:w="4316" w:type="dxa"/>
            <w:shd w:val="clear" w:color="auto" w:fill="D9D9D9" w:themeFill="background1" w:themeFillShade="D9"/>
          </w:tcPr>
          <w:p w14:paraId="36DBC05A" w14:textId="7A367A70" w:rsidR="00B9194A" w:rsidRDefault="00B9194A" w:rsidP="00B9194A">
            <w:pPr>
              <w:rPr>
                <w:i/>
                <w:iCs/>
              </w:rPr>
            </w:pPr>
            <w:r>
              <w:rPr>
                <w:i/>
                <w:iCs/>
              </w:rPr>
              <w:lastRenderedPageBreak/>
              <w:t>Vibrio cholerae</w:t>
            </w:r>
          </w:p>
        </w:tc>
        <w:tc>
          <w:tcPr>
            <w:tcW w:w="4317" w:type="dxa"/>
            <w:shd w:val="clear" w:color="auto" w:fill="D9D9D9" w:themeFill="background1" w:themeFillShade="D9"/>
            <w:vAlign w:val="center"/>
          </w:tcPr>
          <w:p w14:paraId="7841782B" w14:textId="77777777" w:rsidR="00B9194A" w:rsidRDefault="00B9194A" w:rsidP="008D7F48">
            <w:r w:rsidRPr="00B9194A">
              <w:rPr>
                <w:i/>
                <w:iCs/>
              </w:rPr>
              <w:t>Ascophyllum</w:t>
            </w:r>
            <w:r>
              <w:t xml:space="preserve"> </w:t>
            </w:r>
            <w:r w:rsidRPr="00B9194A">
              <w:rPr>
                <w:i/>
                <w:iCs/>
              </w:rPr>
              <w:t>nodosum</w:t>
            </w:r>
          </w:p>
          <w:p w14:paraId="02ABFC0A" w14:textId="77777777" w:rsidR="00B9194A" w:rsidRDefault="00B9194A" w:rsidP="008D7F48">
            <w:r w:rsidRPr="00B9194A">
              <w:rPr>
                <w:i/>
                <w:iCs/>
              </w:rPr>
              <w:t>Gracilaria</w:t>
            </w:r>
            <w:r>
              <w:t xml:space="preserve"> </w:t>
            </w:r>
            <w:r w:rsidRPr="00B9194A">
              <w:rPr>
                <w:i/>
                <w:iCs/>
              </w:rPr>
              <w:t>corticate</w:t>
            </w:r>
          </w:p>
          <w:p w14:paraId="1AF0CD33" w14:textId="77777777" w:rsidR="00B9194A" w:rsidRDefault="00B9194A" w:rsidP="008D7F48">
            <w:r w:rsidRPr="00B9194A">
              <w:rPr>
                <w:i/>
                <w:iCs/>
              </w:rPr>
              <w:t>Sargassum</w:t>
            </w:r>
            <w:r>
              <w:t xml:space="preserve"> </w:t>
            </w:r>
            <w:r w:rsidRPr="00B9194A">
              <w:rPr>
                <w:i/>
                <w:iCs/>
              </w:rPr>
              <w:t>turbinaroides</w:t>
            </w:r>
          </w:p>
          <w:p w14:paraId="276EFF29" w14:textId="22FCCE89" w:rsidR="00B9194A" w:rsidRDefault="00B9194A" w:rsidP="008D7F48">
            <w:r w:rsidRPr="00B9194A">
              <w:rPr>
                <w:i/>
                <w:iCs/>
              </w:rPr>
              <w:t>Ulva</w:t>
            </w:r>
            <w:r>
              <w:t xml:space="preserve"> </w:t>
            </w:r>
            <w:r w:rsidRPr="00B9194A">
              <w:rPr>
                <w:i/>
                <w:iCs/>
              </w:rPr>
              <w:t>lactuca</w:t>
            </w:r>
          </w:p>
        </w:tc>
        <w:tc>
          <w:tcPr>
            <w:tcW w:w="4317" w:type="dxa"/>
            <w:shd w:val="clear" w:color="auto" w:fill="D9D9D9" w:themeFill="background1" w:themeFillShade="D9"/>
            <w:vAlign w:val="center"/>
          </w:tcPr>
          <w:p w14:paraId="6E070223" w14:textId="77777777" w:rsidR="00B9194A" w:rsidRPr="00173FBA" w:rsidRDefault="00B9194A" w:rsidP="008D7F48">
            <w:pPr>
              <w:rPr>
                <w:lang w:val="es-ES"/>
              </w:rPr>
            </w:pPr>
            <w:r w:rsidRPr="00173FBA">
              <w:rPr>
                <w:lang w:val="es-ES"/>
              </w:rPr>
              <w:t>Chan &amp; McManus, 1969</w:t>
            </w:r>
          </w:p>
          <w:p w14:paraId="1DE9E3F1" w14:textId="77777777" w:rsidR="00B9194A" w:rsidRPr="00173FBA" w:rsidRDefault="00B9194A" w:rsidP="008D7F48">
            <w:pPr>
              <w:rPr>
                <w:lang w:val="es-ES"/>
              </w:rPr>
            </w:pPr>
            <w:r w:rsidRPr="00173FBA">
              <w:rPr>
                <w:lang w:val="es-ES"/>
              </w:rPr>
              <w:t>Haley et al., 2012</w:t>
            </w:r>
          </w:p>
          <w:p w14:paraId="30DA4555" w14:textId="77777777" w:rsidR="00B9194A" w:rsidRPr="00173FBA" w:rsidRDefault="00B9194A" w:rsidP="008D7F48">
            <w:pPr>
              <w:rPr>
                <w:lang w:val="es-ES"/>
              </w:rPr>
            </w:pPr>
            <w:r w:rsidRPr="00173FBA">
              <w:rPr>
                <w:lang w:val="es-ES"/>
              </w:rPr>
              <w:t>Haley et al., 2012</w:t>
            </w:r>
          </w:p>
          <w:p w14:paraId="683F7FCA" w14:textId="40A28ADF" w:rsidR="00B9194A" w:rsidRPr="00173FBA" w:rsidRDefault="00B9194A" w:rsidP="008D7F48">
            <w:pPr>
              <w:rPr>
                <w:lang w:val="es-ES"/>
              </w:rPr>
            </w:pPr>
            <w:r w:rsidRPr="00173FBA">
              <w:rPr>
                <w:lang w:val="es-ES"/>
              </w:rPr>
              <w:t>Murthy et al., 2013</w:t>
            </w:r>
          </w:p>
        </w:tc>
      </w:tr>
      <w:tr w:rsidR="00B9194A" w14:paraId="27DE5B70" w14:textId="77777777" w:rsidTr="000B3FDE">
        <w:tc>
          <w:tcPr>
            <w:tcW w:w="4316" w:type="dxa"/>
          </w:tcPr>
          <w:p w14:paraId="5EDCF503" w14:textId="1283A418" w:rsidR="00B9194A" w:rsidRDefault="00B9194A" w:rsidP="00B9194A">
            <w:pPr>
              <w:rPr>
                <w:i/>
                <w:iCs/>
              </w:rPr>
            </w:pPr>
            <w:r>
              <w:rPr>
                <w:i/>
                <w:iCs/>
              </w:rPr>
              <w:t>Vibrio parahaemolyticus</w:t>
            </w:r>
          </w:p>
        </w:tc>
        <w:tc>
          <w:tcPr>
            <w:tcW w:w="4317" w:type="dxa"/>
            <w:vAlign w:val="center"/>
          </w:tcPr>
          <w:p w14:paraId="12D4D316" w14:textId="77777777" w:rsidR="00B9194A" w:rsidRPr="00173FBA" w:rsidRDefault="00B9194A" w:rsidP="008D7F48">
            <w:pPr>
              <w:rPr>
                <w:i/>
                <w:iCs/>
                <w:lang w:val="es-ES"/>
              </w:rPr>
            </w:pPr>
            <w:r w:rsidRPr="00173FBA">
              <w:rPr>
                <w:i/>
                <w:iCs/>
                <w:lang w:val="es-ES"/>
              </w:rPr>
              <w:t>Caulerpa lentillifera</w:t>
            </w:r>
          </w:p>
          <w:p w14:paraId="09B2A74C" w14:textId="1DB58AD8" w:rsidR="00B9194A" w:rsidRPr="00173FBA" w:rsidRDefault="00B9194A" w:rsidP="008D7F48">
            <w:pPr>
              <w:rPr>
                <w:lang w:val="es-ES"/>
              </w:rPr>
            </w:pPr>
            <w:r w:rsidRPr="00173FBA">
              <w:rPr>
                <w:lang w:val="es-ES"/>
              </w:rPr>
              <w:t>Fucus species</w:t>
            </w:r>
          </w:p>
          <w:p w14:paraId="25C8B9D8" w14:textId="77777777" w:rsidR="00B9194A" w:rsidRPr="00173FBA" w:rsidRDefault="00B9194A" w:rsidP="008D7F48">
            <w:pPr>
              <w:rPr>
                <w:i/>
                <w:iCs/>
                <w:lang w:val="es-ES"/>
              </w:rPr>
            </w:pPr>
            <w:r w:rsidRPr="00173FBA">
              <w:rPr>
                <w:i/>
                <w:iCs/>
                <w:lang w:val="es-ES"/>
              </w:rPr>
              <w:t>Gracilaria vermiculophylla</w:t>
            </w:r>
          </w:p>
          <w:p w14:paraId="208E65E4" w14:textId="77777777" w:rsidR="00B9194A" w:rsidRPr="00173FBA" w:rsidRDefault="00B9194A" w:rsidP="008D7F48">
            <w:pPr>
              <w:rPr>
                <w:i/>
                <w:iCs/>
                <w:lang w:val="es-ES"/>
              </w:rPr>
            </w:pPr>
            <w:r w:rsidRPr="00173FBA">
              <w:rPr>
                <w:i/>
                <w:iCs/>
                <w:lang w:val="es-ES"/>
              </w:rPr>
              <w:t>Gracilariopsis heteroclada</w:t>
            </w:r>
          </w:p>
          <w:p w14:paraId="11E7AE2D" w14:textId="77777777" w:rsidR="00B9194A" w:rsidRPr="00173FBA" w:rsidRDefault="00B9194A" w:rsidP="008D7F48">
            <w:pPr>
              <w:rPr>
                <w:i/>
                <w:iCs/>
                <w:lang w:val="es-ES"/>
              </w:rPr>
            </w:pPr>
            <w:r w:rsidRPr="00173FBA">
              <w:rPr>
                <w:i/>
                <w:iCs/>
                <w:lang w:val="es-ES"/>
              </w:rPr>
              <w:t>Kappaphycus striatus</w:t>
            </w:r>
          </w:p>
          <w:p w14:paraId="0011BFBB" w14:textId="61C184A5" w:rsidR="00B9194A" w:rsidRPr="00173FBA" w:rsidRDefault="00B9194A" w:rsidP="008D7F48">
            <w:pPr>
              <w:rPr>
                <w:lang w:val="es-ES"/>
              </w:rPr>
            </w:pPr>
            <w:r w:rsidRPr="00173FBA">
              <w:rPr>
                <w:i/>
                <w:iCs/>
                <w:lang w:val="es-ES"/>
              </w:rPr>
              <w:t>Laminaria</w:t>
            </w:r>
            <w:r w:rsidRPr="00173FBA">
              <w:rPr>
                <w:lang w:val="es-ES"/>
              </w:rPr>
              <w:t xml:space="preserve"> species</w:t>
            </w:r>
          </w:p>
          <w:p w14:paraId="43F51212" w14:textId="6B0F9284" w:rsidR="00B9194A" w:rsidRPr="00173FBA" w:rsidRDefault="00B9194A" w:rsidP="008D7F48">
            <w:pPr>
              <w:rPr>
                <w:lang w:val="es-ES"/>
              </w:rPr>
            </w:pPr>
            <w:r w:rsidRPr="00173FBA">
              <w:rPr>
                <w:i/>
                <w:iCs/>
                <w:lang w:val="es-ES"/>
              </w:rPr>
              <w:t>Porphyra</w:t>
            </w:r>
            <w:r w:rsidRPr="00173FBA">
              <w:rPr>
                <w:lang w:val="es-ES"/>
              </w:rPr>
              <w:t xml:space="preserve"> species</w:t>
            </w:r>
          </w:p>
          <w:p w14:paraId="2BC30BAB" w14:textId="77777777" w:rsidR="00B9194A" w:rsidRPr="00173FBA" w:rsidRDefault="00B9194A" w:rsidP="008D7F48">
            <w:pPr>
              <w:rPr>
                <w:lang w:val="es-ES"/>
              </w:rPr>
            </w:pPr>
            <w:r w:rsidRPr="00173FBA">
              <w:rPr>
                <w:i/>
                <w:iCs/>
                <w:lang w:val="es-ES"/>
              </w:rPr>
              <w:t>Saccharina</w:t>
            </w:r>
            <w:r w:rsidRPr="00173FBA">
              <w:rPr>
                <w:lang w:val="es-ES"/>
              </w:rPr>
              <w:t xml:space="preserve"> </w:t>
            </w:r>
            <w:r w:rsidRPr="00173FBA">
              <w:rPr>
                <w:i/>
                <w:iCs/>
                <w:lang w:val="es-ES"/>
              </w:rPr>
              <w:t>latissima</w:t>
            </w:r>
          </w:p>
          <w:p w14:paraId="74A3590A" w14:textId="77777777" w:rsidR="00B9194A" w:rsidRPr="00173FBA" w:rsidRDefault="00B9194A" w:rsidP="008D7F48">
            <w:pPr>
              <w:rPr>
                <w:lang w:val="es-ES"/>
              </w:rPr>
            </w:pPr>
            <w:r w:rsidRPr="00173FBA">
              <w:rPr>
                <w:i/>
                <w:iCs/>
                <w:lang w:val="es-ES"/>
              </w:rPr>
              <w:t>Ulva</w:t>
            </w:r>
            <w:r w:rsidRPr="00173FBA">
              <w:rPr>
                <w:lang w:val="es-ES"/>
              </w:rPr>
              <w:t xml:space="preserve"> </w:t>
            </w:r>
            <w:r w:rsidRPr="00173FBA">
              <w:rPr>
                <w:i/>
                <w:iCs/>
                <w:lang w:val="es-ES"/>
              </w:rPr>
              <w:t>lactuca</w:t>
            </w:r>
          </w:p>
          <w:p w14:paraId="399BBE22" w14:textId="77777777" w:rsidR="00B9194A" w:rsidRDefault="00B9194A" w:rsidP="008D7F48">
            <w:r w:rsidRPr="00B9194A">
              <w:rPr>
                <w:i/>
                <w:iCs/>
              </w:rPr>
              <w:t>Ulva</w:t>
            </w:r>
            <w:r>
              <w:t xml:space="preserve"> </w:t>
            </w:r>
            <w:r w:rsidRPr="00B9194A">
              <w:rPr>
                <w:i/>
                <w:iCs/>
              </w:rPr>
              <w:t>reticulata</w:t>
            </w:r>
          </w:p>
          <w:p w14:paraId="5DB0586B" w14:textId="03D9016A" w:rsidR="00B9194A" w:rsidRDefault="00B9194A" w:rsidP="008D7F48">
            <w:r w:rsidRPr="00B9194A">
              <w:rPr>
                <w:i/>
                <w:iCs/>
              </w:rPr>
              <w:t>Ulva</w:t>
            </w:r>
            <w:r>
              <w:t xml:space="preserve"> species</w:t>
            </w:r>
          </w:p>
        </w:tc>
        <w:tc>
          <w:tcPr>
            <w:tcW w:w="4317" w:type="dxa"/>
            <w:vAlign w:val="center"/>
          </w:tcPr>
          <w:p w14:paraId="1AD0DC72" w14:textId="77777777" w:rsidR="00B9194A" w:rsidRPr="00173FBA" w:rsidRDefault="00B9194A" w:rsidP="008D7F48">
            <w:pPr>
              <w:rPr>
                <w:lang w:val="es-ES"/>
              </w:rPr>
            </w:pPr>
            <w:r w:rsidRPr="00173FBA">
              <w:rPr>
                <w:lang w:val="es-ES"/>
              </w:rPr>
              <w:t>Barberi et al., 2020</w:t>
            </w:r>
          </w:p>
          <w:p w14:paraId="59A5BEC7" w14:textId="77777777" w:rsidR="00B9194A" w:rsidRPr="00173FBA" w:rsidRDefault="00B9194A" w:rsidP="008D7F48">
            <w:pPr>
              <w:rPr>
                <w:lang w:val="es-ES"/>
              </w:rPr>
            </w:pPr>
            <w:r w:rsidRPr="00173FBA">
              <w:rPr>
                <w:lang w:val="es-ES"/>
              </w:rPr>
              <w:t>Gonzalez et al., 2014</w:t>
            </w:r>
          </w:p>
          <w:p w14:paraId="4694CF6E" w14:textId="77777777" w:rsidR="00B9194A" w:rsidRPr="00173FBA" w:rsidRDefault="00B9194A" w:rsidP="008D7F48">
            <w:pPr>
              <w:rPr>
                <w:lang w:val="es-ES"/>
              </w:rPr>
            </w:pPr>
            <w:r w:rsidRPr="00173FBA">
              <w:rPr>
                <w:lang w:val="es-ES"/>
              </w:rPr>
              <w:t>Mahmud et al., 2006</w:t>
            </w:r>
          </w:p>
          <w:p w14:paraId="55E68175" w14:textId="77777777" w:rsidR="00B9194A" w:rsidRPr="00173FBA" w:rsidRDefault="00B9194A" w:rsidP="008D7F48">
            <w:pPr>
              <w:rPr>
                <w:lang w:val="es-ES"/>
              </w:rPr>
            </w:pPr>
            <w:r w:rsidRPr="00173FBA">
              <w:rPr>
                <w:lang w:val="es-ES"/>
              </w:rPr>
              <w:t>Mahmud et al., 2007</w:t>
            </w:r>
          </w:p>
          <w:p w14:paraId="07013ED2" w14:textId="77777777" w:rsidR="00B9194A" w:rsidRPr="00173FBA" w:rsidRDefault="00B9194A" w:rsidP="008D7F48">
            <w:pPr>
              <w:rPr>
                <w:lang w:val="es-ES"/>
              </w:rPr>
            </w:pPr>
            <w:r w:rsidRPr="00173FBA">
              <w:rPr>
                <w:lang w:val="es-ES"/>
              </w:rPr>
              <w:t>Martinez &amp; Padilla, 2016</w:t>
            </w:r>
          </w:p>
          <w:p w14:paraId="55D3C58B" w14:textId="77777777" w:rsidR="00B9194A" w:rsidRPr="00173FBA" w:rsidRDefault="00B9194A" w:rsidP="008D7F48">
            <w:pPr>
              <w:rPr>
                <w:lang w:val="es-ES"/>
              </w:rPr>
            </w:pPr>
            <w:r w:rsidRPr="00173FBA">
              <w:rPr>
                <w:lang w:val="es-ES"/>
              </w:rPr>
              <w:t>Mincer et al., 2023</w:t>
            </w:r>
          </w:p>
          <w:p w14:paraId="384E5BBC" w14:textId="77777777" w:rsidR="00B9194A" w:rsidRDefault="00B9194A" w:rsidP="008D7F48">
            <w:r>
              <w:t>Murthy et al., 2023</w:t>
            </w:r>
          </w:p>
          <w:p w14:paraId="312206E7" w14:textId="77777777" w:rsidR="00B9194A" w:rsidRDefault="00B9194A" w:rsidP="008D7F48">
            <w:r>
              <w:t>Tahiluddin et al., 2021</w:t>
            </w:r>
          </w:p>
          <w:p w14:paraId="513CE307" w14:textId="016F89F6" w:rsidR="00B9194A" w:rsidRDefault="00B9194A" w:rsidP="008D7F48">
            <w:r>
              <w:t>Vairappan et al., 2000</w:t>
            </w:r>
          </w:p>
        </w:tc>
      </w:tr>
      <w:tr w:rsidR="00B9194A" w:rsidRPr="00F85DE5" w14:paraId="055B1A1E" w14:textId="77777777" w:rsidTr="000B3FDE">
        <w:tc>
          <w:tcPr>
            <w:tcW w:w="4316" w:type="dxa"/>
            <w:shd w:val="clear" w:color="auto" w:fill="D9D9D9" w:themeFill="background1" w:themeFillShade="D9"/>
          </w:tcPr>
          <w:p w14:paraId="18668DA3" w14:textId="1D7CE883" w:rsidR="00B9194A" w:rsidRDefault="00B9194A" w:rsidP="00B9194A">
            <w:pPr>
              <w:rPr>
                <w:i/>
                <w:iCs/>
              </w:rPr>
            </w:pPr>
            <w:r>
              <w:rPr>
                <w:i/>
                <w:iCs/>
              </w:rPr>
              <w:t>Vibrio vulnificus</w:t>
            </w:r>
          </w:p>
        </w:tc>
        <w:tc>
          <w:tcPr>
            <w:tcW w:w="4317" w:type="dxa"/>
            <w:shd w:val="clear" w:color="auto" w:fill="D9D9D9" w:themeFill="background1" w:themeFillShade="D9"/>
            <w:vAlign w:val="center"/>
          </w:tcPr>
          <w:p w14:paraId="17AB7D4C" w14:textId="37D10306" w:rsidR="00B9194A" w:rsidRPr="00173FBA" w:rsidRDefault="00B9194A" w:rsidP="008D7F48">
            <w:pPr>
              <w:rPr>
                <w:lang w:val="es-ES"/>
              </w:rPr>
            </w:pPr>
            <w:r w:rsidRPr="00173FBA">
              <w:rPr>
                <w:i/>
                <w:iCs/>
                <w:lang w:val="es-ES"/>
              </w:rPr>
              <w:t>Fucus</w:t>
            </w:r>
            <w:r w:rsidRPr="00173FBA">
              <w:rPr>
                <w:lang w:val="es-ES"/>
              </w:rPr>
              <w:t xml:space="preserve"> species</w:t>
            </w:r>
          </w:p>
          <w:p w14:paraId="28F27F56" w14:textId="77777777" w:rsidR="00B9194A" w:rsidRPr="00173FBA" w:rsidRDefault="00B9194A" w:rsidP="008D7F48">
            <w:pPr>
              <w:rPr>
                <w:lang w:val="es-ES"/>
              </w:rPr>
            </w:pPr>
            <w:r w:rsidRPr="00173FBA">
              <w:rPr>
                <w:i/>
                <w:iCs/>
                <w:lang w:val="es-ES"/>
              </w:rPr>
              <w:t>Gracilaria</w:t>
            </w:r>
            <w:r w:rsidRPr="00173FBA">
              <w:rPr>
                <w:lang w:val="es-ES"/>
              </w:rPr>
              <w:t xml:space="preserve"> </w:t>
            </w:r>
            <w:r w:rsidRPr="00173FBA">
              <w:rPr>
                <w:i/>
                <w:iCs/>
                <w:lang w:val="es-ES"/>
              </w:rPr>
              <w:t>vermiculophylla</w:t>
            </w:r>
          </w:p>
          <w:p w14:paraId="7A0BDEF4" w14:textId="151DB744" w:rsidR="00B9194A" w:rsidRPr="00173FBA" w:rsidRDefault="00B9194A" w:rsidP="008D7F48">
            <w:pPr>
              <w:rPr>
                <w:lang w:val="es-ES"/>
              </w:rPr>
            </w:pPr>
            <w:r w:rsidRPr="00173FBA">
              <w:rPr>
                <w:i/>
                <w:iCs/>
                <w:lang w:val="es-ES"/>
              </w:rPr>
              <w:t>Laminaria</w:t>
            </w:r>
            <w:r w:rsidRPr="00173FBA">
              <w:rPr>
                <w:lang w:val="es-ES"/>
              </w:rPr>
              <w:t xml:space="preserve"> species</w:t>
            </w:r>
          </w:p>
          <w:p w14:paraId="3475393E" w14:textId="52648945" w:rsidR="00B9194A" w:rsidRDefault="00B9194A" w:rsidP="008D7F48">
            <w:r w:rsidRPr="00B9194A">
              <w:rPr>
                <w:i/>
                <w:iCs/>
              </w:rPr>
              <w:t>Porphyra</w:t>
            </w:r>
            <w:r>
              <w:t xml:space="preserve"> species</w:t>
            </w:r>
          </w:p>
          <w:p w14:paraId="315477AA" w14:textId="19908F6E" w:rsidR="00B9194A" w:rsidRDefault="00B9194A" w:rsidP="008D7F48">
            <w:r w:rsidRPr="00B9194A">
              <w:rPr>
                <w:i/>
                <w:iCs/>
              </w:rPr>
              <w:t>Undaria</w:t>
            </w:r>
            <w:r>
              <w:t xml:space="preserve"> species</w:t>
            </w:r>
          </w:p>
        </w:tc>
        <w:tc>
          <w:tcPr>
            <w:tcW w:w="4317" w:type="dxa"/>
            <w:shd w:val="clear" w:color="auto" w:fill="D9D9D9" w:themeFill="background1" w:themeFillShade="D9"/>
            <w:vAlign w:val="center"/>
          </w:tcPr>
          <w:p w14:paraId="02AE3265" w14:textId="77777777" w:rsidR="008D7F48" w:rsidRPr="00173FBA" w:rsidRDefault="008D7F48" w:rsidP="008D7F48">
            <w:pPr>
              <w:rPr>
                <w:lang w:val="es-ES"/>
              </w:rPr>
            </w:pPr>
            <w:r w:rsidRPr="00173FBA">
              <w:rPr>
                <w:lang w:val="es-ES"/>
              </w:rPr>
              <w:t>Gonzalez et al., 2014</w:t>
            </w:r>
          </w:p>
          <w:p w14:paraId="107F793F" w14:textId="6FCFFC1E" w:rsidR="00B9194A" w:rsidRPr="00173FBA" w:rsidRDefault="008D7F48" w:rsidP="008D7F48">
            <w:pPr>
              <w:rPr>
                <w:lang w:val="es-ES"/>
              </w:rPr>
            </w:pPr>
            <w:r w:rsidRPr="00173FBA">
              <w:rPr>
                <w:lang w:val="es-ES"/>
              </w:rPr>
              <w:t>Mahmud et al., 2008</w:t>
            </w:r>
          </w:p>
        </w:tc>
      </w:tr>
      <w:tr w:rsidR="00B9194A" w14:paraId="7B50D84F" w14:textId="77777777" w:rsidTr="000B3FDE">
        <w:tc>
          <w:tcPr>
            <w:tcW w:w="4316" w:type="dxa"/>
          </w:tcPr>
          <w:p w14:paraId="1305952B" w14:textId="3E3DF258" w:rsidR="00B9194A" w:rsidRDefault="00B9194A" w:rsidP="00B9194A">
            <w:pPr>
              <w:rPr>
                <w:i/>
                <w:iCs/>
              </w:rPr>
            </w:pPr>
            <w:r>
              <w:rPr>
                <w:i/>
                <w:iCs/>
              </w:rPr>
              <w:t>Yersinia intermedia</w:t>
            </w:r>
          </w:p>
        </w:tc>
        <w:tc>
          <w:tcPr>
            <w:tcW w:w="4317" w:type="dxa"/>
            <w:vAlign w:val="center"/>
          </w:tcPr>
          <w:p w14:paraId="583842CD" w14:textId="7011BA66" w:rsidR="00B9194A" w:rsidRPr="00B9194A" w:rsidRDefault="00B9194A" w:rsidP="008D7F48">
            <w:r>
              <w:rPr>
                <w:i/>
                <w:iCs/>
              </w:rPr>
              <w:t>Fucus</w:t>
            </w:r>
            <w:r>
              <w:t xml:space="preserve"> species</w:t>
            </w:r>
          </w:p>
        </w:tc>
        <w:tc>
          <w:tcPr>
            <w:tcW w:w="4317" w:type="dxa"/>
            <w:vAlign w:val="center"/>
          </w:tcPr>
          <w:p w14:paraId="01678473" w14:textId="72982532" w:rsidR="00B9194A" w:rsidRDefault="00B9194A" w:rsidP="00045395">
            <w:pPr>
              <w:keepNext/>
            </w:pPr>
            <w:r w:rsidRPr="00B9194A">
              <w:t>Kreisseg et al., 2023</w:t>
            </w:r>
          </w:p>
        </w:tc>
      </w:tr>
    </w:tbl>
    <w:p w14:paraId="28030FD9" w14:textId="77777777" w:rsidR="00556B6B" w:rsidRDefault="00556B6B" w:rsidP="00556B6B">
      <w:pPr>
        <w:sectPr w:rsidR="00556B6B" w:rsidSect="003E3CCB">
          <w:pgSz w:w="15840" w:h="12240" w:orient="landscape"/>
          <w:pgMar w:top="1440" w:right="1440" w:bottom="1440" w:left="1440" w:header="720" w:footer="720" w:gutter="0"/>
          <w:pgNumType w:start="1" w:chapStyle="6"/>
          <w:cols w:space="720"/>
          <w:docGrid w:linePitch="360"/>
        </w:sectPr>
      </w:pPr>
    </w:p>
    <w:p w14:paraId="48F988D4" w14:textId="351DD02D" w:rsidR="00556B6B" w:rsidRDefault="008D7F48" w:rsidP="00846B8F">
      <w:pPr>
        <w:pStyle w:val="Heading2"/>
        <w:numPr>
          <w:ilvl w:val="1"/>
          <w:numId w:val="196"/>
        </w:numPr>
      </w:pPr>
      <w:bookmarkStart w:id="282" w:name="_Toc208503349"/>
      <w:r>
        <w:lastRenderedPageBreak/>
        <w:t>References</w:t>
      </w:r>
      <w:bookmarkEnd w:id="282"/>
    </w:p>
    <w:p w14:paraId="267BC69B" w14:textId="77777777" w:rsidR="002B4698" w:rsidRPr="002B4698" w:rsidRDefault="002B4698" w:rsidP="002B4698">
      <w:pPr>
        <w:rPr>
          <w:rFonts w:ascii="Times New Roman" w:hAnsi="Times New Roman" w:cs="Times New Roman"/>
        </w:rPr>
      </w:pPr>
      <w:r w:rsidRPr="002B4698">
        <w:rPr>
          <w:shd w:val="clear" w:color="auto" w:fill="FFFFFF"/>
        </w:rPr>
        <w:t xml:space="preserve">Barberi, O. N., Byron, C. J., Burkholder, K. M., St. Gelais, A. T., &amp; Williams, A. K. (2020). Assessment of bacterial pathogens on edible macroalgae in coastal waters. </w:t>
      </w:r>
      <w:r w:rsidRPr="002B4698">
        <w:rPr>
          <w:i/>
          <w:iCs/>
          <w:shd w:val="clear" w:color="auto" w:fill="FFFFFF"/>
        </w:rPr>
        <w:t>Journal of Applied Phycology</w:t>
      </w:r>
      <w:r w:rsidRPr="002B4698">
        <w:rPr>
          <w:shd w:val="clear" w:color="auto" w:fill="FFFFFF"/>
        </w:rPr>
        <w:t xml:space="preserve">, </w:t>
      </w:r>
      <w:r w:rsidRPr="002B4698">
        <w:rPr>
          <w:i/>
          <w:iCs/>
          <w:shd w:val="clear" w:color="auto" w:fill="FFFFFF"/>
        </w:rPr>
        <w:t>32</w:t>
      </w:r>
      <w:r w:rsidRPr="002B4698">
        <w:rPr>
          <w:shd w:val="clear" w:color="auto" w:fill="FFFFFF"/>
        </w:rPr>
        <w:t>, 683-696.</w:t>
      </w:r>
    </w:p>
    <w:p w14:paraId="757EF6FB" w14:textId="77777777" w:rsidR="002B4698" w:rsidRPr="002B4698" w:rsidRDefault="002B4698" w:rsidP="002B4698">
      <w:pPr>
        <w:rPr>
          <w:rFonts w:ascii="Times New Roman" w:hAnsi="Times New Roman" w:cs="Times New Roman"/>
        </w:rPr>
      </w:pPr>
      <w:r w:rsidRPr="002B4698">
        <w:rPr>
          <w:shd w:val="clear" w:color="auto" w:fill="FFFFFF"/>
        </w:rPr>
        <w:t xml:space="preserve">Banach, J. L., Hoffmans, Y., &amp; Faassen, E. J. (2024). A case study on Norwegian commercial harvesting and production of Saccharina latissima (Part 1): Effect of processing seaweed on chemical hazards, allergens, and microbiological hazards. </w:t>
      </w:r>
      <w:r w:rsidRPr="002B4698">
        <w:rPr>
          <w:i/>
          <w:iCs/>
          <w:shd w:val="clear" w:color="auto" w:fill="FFFFFF"/>
        </w:rPr>
        <w:t>Food Control</w:t>
      </w:r>
      <w:r w:rsidRPr="002B4698">
        <w:rPr>
          <w:shd w:val="clear" w:color="auto" w:fill="FFFFFF"/>
        </w:rPr>
        <w:t xml:space="preserve">, </w:t>
      </w:r>
      <w:r w:rsidRPr="002B4698">
        <w:rPr>
          <w:i/>
          <w:iCs/>
          <w:shd w:val="clear" w:color="auto" w:fill="FFFFFF"/>
        </w:rPr>
        <w:t>162</w:t>
      </w:r>
      <w:r w:rsidRPr="002B4698">
        <w:rPr>
          <w:shd w:val="clear" w:color="auto" w:fill="FFFFFF"/>
        </w:rPr>
        <w:t>, 110461.</w:t>
      </w:r>
    </w:p>
    <w:p w14:paraId="22D5F0C0" w14:textId="77777777" w:rsidR="002B4698" w:rsidRPr="002B4698" w:rsidRDefault="002B4698" w:rsidP="002B4698">
      <w:pPr>
        <w:rPr>
          <w:rFonts w:ascii="Times New Roman" w:hAnsi="Times New Roman" w:cs="Times New Roman"/>
        </w:rPr>
      </w:pPr>
      <w:r w:rsidRPr="002B4698">
        <w:rPr>
          <w:shd w:val="clear" w:color="auto" w:fill="FFFFFF"/>
        </w:rPr>
        <w:t xml:space="preserve">Beleneva, I. A. (2011). Incidence and characteristics of Staphylococcus aureus and Listeria monocytogenes from the Japan and South China seas. </w:t>
      </w:r>
      <w:r w:rsidRPr="002B4698">
        <w:rPr>
          <w:i/>
          <w:iCs/>
          <w:shd w:val="clear" w:color="auto" w:fill="FFFFFF"/>
        </w:rPr>
        <w:t>Marine Pollution Bulletin</w:t>
      </w:r>
      <w:r w:rsidRPr="002B4698">
        <w:rPr>
          <w:shd w:val="clear" w:color="auto" w:fill="FFFFFF"/>
        </w:rPr>
        <w:t xml:space="preserve">, </w:t>
      </w:r>
      <w:r w:rsidRPr="002B4698">
        <w:rPr>
          <w:i/>
          <w:iCs/>
          <w:shd w:val="clear" w:color="auto" w:fill="FFFFFF"/>
        </w:rPr>
        <w:t>62</w:t>
      </w:r>
      <w:r w:rsidRPr="002B4698">
        <w:rPr>
          <w:shd w:val="clear" w:color="auto" w:fill="FFFFFF"/>
        </w:rPr>
        <w:t>(2), 382-387.</w:t>
      </w:r>
    </w:p>
    <w:p w14:paraId="0481A914" w14:textId="77777777" w:rsidR="002B4698" w:rsidRPr="002B4698" w:rsidRDefault="002B4698" w:rsidP="002B4698">
      <w:pPr>
        <w:rPr>
          <w:rFonts w:ascii="Times New Roman" w:hAnsi="Times New Roman" w:cs="Times New Roman"/>
        </w:rPr>
      </w:pPr>
      <w:r w:rsidRPr="002B4698">
        <w:rPr>
          <w:shd w:val="clear" w:color="auto" w:fill="FFFFFF"/>
        </w:rPr>
        <w:t xml:space="preserve">Blikra, M. J., Løvdal, T., Vaka, M. R., Roiha, I. S., Lunestad, B. T., Lindseth, C., &amp; Skipnes, D. (2019). Assessment of food quality and microbial safety of brown macroalgae (Alaria esculenta and Saccharina latissima). </w:t>
      </w:r>
      <w:r w:rsidRPr="002B4698">
        <w:rPr>
          <w:i/>
          <w:iCs/>
          <w:shd w:val="clear" w:color="auto" w:fill="FFFFFF"/>
        </w:rPr>
        <w:t>Journal of the Science of Food and Agriculture</w:t>
      </w:r>
      <w:r w:rsidRPr="002B4698">
        <w:rPr>
          <w:shd w:val="clear" w:color="auto" w:fill="FFFFFF"/>
        </w:rPr>
        <w:t xml:space="preserve">, </w:t>
      </w:r>
      <w:r w:rsidRPr="002B4698">
        <w:rPr>
          <w:i/>
          <w:iCs/>
          <w:shd w:val="clear" w:color="auto" w:fill="FFFFFF"/>
        </w:rPr>
        <w:t>99</w:t>
      </w:r>
      <w:r w:rsidRPr="002B4698">
        <w:rPr>
          <w:shd w:val="clear" w:color="auto" w:fill="FFFFFF"/>
        </w:rPr>
        <w:t>(3), 1198-1206.</w:t>
      </w:r>
    </w:p>
    <w:p w14:paraId="7D4027FF" w14:textId="77777777" w:rsidR="002B4698" w:rsidRPr="002B4698" w:rsidRDefault="002B4698" w:rsidP="002B4698">
      <w:pPr>
        <w:rPr>
          <w:rFonts w:ascii="Times New Roman" w:hAnsi="Times New Roman" w:cs="Times New Roman"/>
        </w:rPr>
      </w:pPr>
      <w:r w:rsidRPr="002B4698">
        <w:rPr>
          <w:shd w:val="clear" w:color="auto" w:fill="FFFFFF"/>
        </w:rPr>
        <w:t xml:space="preserve">Chan, E. C. S., &amp; McManus, E. A. (1969). Distribution, characterization, and nutrition of marine microorganisms from the algae Polysiphonia lanosa and Ascophyllum nodosum. </w:t>
      </w:r>
      <w:r w:rsidRPr="002B4698">
        <w:rPr>
          <w:i/>
          <w:iCs/>
          <w:shd w:val="clear" w:color="auto" w:fill="FFFFFF"/>
        </w:rPr>
        <w:t>Canadian Journal of Microbiology</w:t>
      </w:r>
      <w:r w:rsidRPr="002B4698">
        <w:rPr>
          <w:shd w:val="clear" w:color="auto" w:fill="FFFFFF"/>
        </w:rPr>
        <w:t xml:space="preserve">, </w:t>
      </w:r>
      <w:r w:rsidRPr="002B4698">
        <w:rPr>
          <w:i/>
          <w:iCs/>
          <w:shd w:val="clear" w:color="auto" w:fill="FFFFFF"/>
        </w:rPr>
        <w:t>15</w:t>
      </w:r>
      <w:r w:rsidRPr="002B4698">
        <w:rPr>
          <w:shd w:val="clear" w:color="auto" w:fill="FFFFFF"/>
        </w:rPr>
        <w:t>(5), 409-420.</w:t>
      </w:r>
    </w:p>
    <w:p w14:paraId="214B69A2" w14:textId="77777777" w:rsidR="002B4698" w:rsidRPr="002B4698" w:rsidRDefault="002B4698" w:rsidP="002B4698">
      <w:pPr>
        <w:rPr>
          <w:rFonts w:ascii="Times New Roman" w:hAnsi="Times New Roman" w:cs="Times New Roman"/>
        </w:rPr>
      </w:pPr>
      <w:r w:rsidRPr="002B4698">
        <w:rPr>
          <w:shd w:val="clear" w:color="auto" w:fill="FFFFFF"/>
        </w:rPr>
        <w:t xml:space="preserve">Ezhilarasi, P., &amp; Vanavil, B. (2023). Curdlan Gum Production Using Marine Bacteria Isolated from Red Seaweeds: Screening and Optimization Studies. </w:t>
      </w:r>
      <w:r w:rsidRPr="002B4698">
        <w:rPr>
          <w:i/>
          <w:iCs/>
          <w:shd w:val="clear" w:color="auto" w:fill="FFFFFF"/>
        </w:rPr>
        <w:t>Microbiology</w:t>
      </w:r>
      <w:r w:rsidRPr="002B4698">
        <w:rPr>
          <w:shd w:val="clear" w:color="auto" w:fill="FFFFFF"/>
        </w:rPr>
        <w:t xml:space="preserve">, </w:t>
      </w:r>
      <w:r w:rsidRPr="002B4698">
        <w:rPr>
          <w:i/>
          <w:iCs/>
          <w:shd w:val="clear" w:color="auto" w:fill="FFFFFF"/>
        </w:rPr>
        <w:t>92</w:t>
      </w:r>
      <w:r w:rsidRPr="002B4698">
        <w:rPr>
          <w:shd w:val="clear" w:color="auto" w:fill="FFFFFF"/>
        </w:rPr>
        <w:t>(5), 725-733.</w:t>
      </w:r>
    </w:p>
    <w:p w14:paraId="65203967" w14:textId="77777777" w:rsidR="002B4698" w:rsidRPr="002B4698" w:rsidRDefault="002B4698" w:rsidP="002B4698">
      <w:pPr>
        <w:rPr>
          <w:rFonts w:ascii="Times New Roman" w:hAnsi="Times New Roman" w:cs="Times New Roman"/>
        </w:rPr>
      </w:pPr>
      <w:r w:rsidRPr="002B4698">
        <w:rPr>
          <w:shd w:val="clear" w:color="auto" w:fill="FFFFFF"/>
        </w:rPr>
        <w:t xml:space="preserve">Faassen, E. J., Hoffmans, Y., &amp; Banach, J. L. (2024). A case study on Norwegian commercial harvesting and production of Saccharina latissima (part 2): Strategies for food safety sampling of farmed seaweed. </w:t>
      </w:r>
      <w:r w:rsidRPr="002B4698">
        <w:rPr>
          <w:i/>
          <w:iCs/>
          <w:shd w:val="clear" w:color="auto" w:fill="FFFFFF"/>
        </w:rPr>
        <w:t>Food Control</w:t>
      </w:r>
      <w:r w:rsidRPr="002B4698">
        <w:rPr>
          <w:shd w:val="clear" w:color="auto" w:fill="FFFFFF"/>
        </w:rPr>
        <w:t xml:space="preserve">, </w:t>
      </w:r>
      <w:r w:rsidRPr="002B4698">
        <w:rPr>
          <w:i/>
          <w:iCs/>
          <w:shd w:val="clear" w:color="auto" w:fill="FFFFFF"/>
        </w:rPr>
        <w:t>163</w:t>
      </w:r>
      <w:r w:rsidRPr="002B4698">
        <w:rPr>
          <w:shd w:val="clear" w:color="auto" w:fill="FFFFFF"/>
        </w:rPr>
        <w:t>, 110498.</w:t>
      </w:r>
    </w:p>
    <w:p w14:paraId="2046FE2F" w14:textId="77777777" w:rsidR="002B4698" w:rsidRPr="002B4698" w:rsidRDefault="002B4698" w:rsidP="002B4698">
      <w:pPr>
        <w:rPr>
          <w:rFonts w:ascii="Times New Roman" w:hAnsi="Times New Roman" w:cs="Times New Roman"/>
        </w:rPr>
      </w:pPr>
      <w:r w:rsidRPr="002B4698">
        <w:rPr>
          <w:shd w:val="clear" w:color="auto" w:fill="FFFFFF"/>
        </w:rPr>
        <w:t xml:space="preserve">Gonzalez, D. J., Gonzalez, R. A., Froelich, B. A., Oliver, J. D., Noble, R. T., &amp; McGlathery, K. J. (2014). Non-native macroalga may increase concentrations of Vibrio bacteria on intertidal mudflats. </w:t>
      </w:r>
      <w:r w:rsidRPr="002B4698">
        <w:rPr>
          <w:i/>
          <w:iCs/>
          <w:shd w:val="clear" w:color="auto" w:fill="FFFFFF"/>
        </w:rPr>
        <w:t>Marine Ecology Progress Series</w:t>
      </w:r>
      <w:r w:rsidRPr="002B4698">
        <w:rPr>
          <w:shd w:val="clear" w:color="auto" w:fill="FFFFFF"/>
        </w:rPr>
        <w:t xml:space="preserve">, </w:t>
      </w:r>
      <w:r w:rsidRPr="002B4698">
        <w:rPr>
          <w:i/>
          <w:iCs/>
          <w:shd w:val="clear" w:color="auto" w:fill="FFFFFF"/>
        </w:rPr>
        <w:t>505</w:t>
      </w:r>
      <w:r w:rsidRPr="002B4698">
        <w:rPr>
          <w:shd w:val="clear" w:color="auto" w:fill="FFFFFF"/>
        </w:rPr>
        <w:t>, 29-36.</w:t>
      </w:r>
    </w:p>
    <w:p w14:paraId="5E921BC7" w14:textId="77777777" w:rsidR="002B4698" w:rsidRPr="002B4698" w:rsidRDefault="002B4698" w:rsidP="002B4698">
      <w:pPr>
        <w:rPr>
          <w:rFonts w:ascii="Times New Roman" w:hAnsi="Times New Roman" w:cs="Times New Roman"/>
        </w:rPr>
      </w:pPr>
      <w:r w:rsidRPr="002B4698">
        <w:rPr>
          <w:shd w:val="clear" w:color="auto" w:fill="FFFFFF"/>
        </w:rPr>
        <w:t xml:space="preserve">Haley, B. J., Chen, A., Grim, C. J., Clark, P., Diaz, C. M., Taviani, E., ... &amp; Benediktsdóttir, E. (2012). Vibrio cholerae in a historically cholera‐free country. </w:t>
      </w:r>
      <w:r w:rsidRPr="002B4698">
        <w:rPr>
          <w:i/>
          <w:iCs/>
          <w:shd w:val="clear" w:color="auto" w:fill="FFFFFF"/>
        </w:rPr>
        <w:t>Environmental microbiology reports</w:t>
      </w:r>
      <w:r w:rsidRPr="002B4698">
        <w:rPr>
          <w:shd w:val="clear" w:color="auto" w:fill="FFFFFF"/>
        </w:rPr>
        <w:t xml:space="preserve">, </w:t>
      </w:r>
      <w:r w:rsidRPr="002B4698">
        <w:rPr>
          <w:i/>
          <w:iCs/>
          <w:shd w:val="clear" w:color="auto" w:fill="FFFFFF"/>
        </w:rPr>
        <w:t>4</w:t>
      </w:r>
      <w:r w:rsidRPr="002B4698">
        <w:rPr>
          <w:shd w:val="clear" w:color="auto" w:fill="FFFFFF"/>
        </w:rPr>
        <w:t>(4), 381-389.</w:t>
      </w:r>
    </w:p>
    <w:p w14:paraId="26407ECE" w14:textId="77777777" w:rsidR="002B4698" w:rsidRPr="002B4698" w:rsidRDefault="002B4698" w:rsidP="002B4698">
      <w:pPr>
        <w:rPr>
          <w:rFonts w:ascii="Times New Roman" w:hAnsi="Times New Roman" w:cs="Times New Roman"/>
        </w:rPr>
      </w:pPr>
      <w:r w:rsidRPr="002B4698">
        <w:rPr>
          <w:shd w:val="clear" w:color="auto" w:fill="FFFFFF"/>
        </w:rPr>
        <w:t xml:space="preserve">Indraningrat, A. A. G., Purnami, P. P. C. P., Aryastuti, A. A. S. A., Wijaya, M. D., &amp; Horng, J. T. (2023, December). Antibacterial, antifungal and antioxidant activities of Bacillus cereus SMPRL-2 isolated from seaweeds Eucheuma cottonii. In </w:t>
      </w:r>
      <w:r w:rsidRPr="002B4698">
        <w:rPr>
          <w:i/>
          <w:iCs/>
          <w:shd w:val="clear" w:color="auto" w:fill="FFFFFF"/>
        </w:rPr>
        <w:t>IOP Conference Series: Earth and Environmental Science</w:t>
      </w:r>
      <w:r w:rsidRPr="002B4698">
        <w:rPr>
          <w:shd w:val="clear" w:color="auto" w:fill="FFFFFF"/>
        </w:rPr>
        <w:t xml:space="preserve"> (Vol. 1271, No. 1, p. 012066). IOP Publishing.</w:t>
      </w:r>
    </w:p>
    <w:p w14:paraId="134D72B1" w14:textId="77777777" w:rsidR="002B4698" w:rsidRPr="002B4698" w:rsidRDefault="002B4698" w:rsidP="002B4698">
      <w:pPr>
        <w:rPr>
          <w:rFonts w:ascii="Times New Roman" w:hAnsi="Times New Roman" w:cs="Times New Roman"/>
        </w:rPr>
      </w:pPr>
      <w:r w:rsidRPr="002B4698">
        <w:rPr>
          <w:shd w:val="clear" w:color="auto" w:fill="FFFFFF"/>
        </w:rPr>
        <w:t xml:space="preserve">Islam, M. S., Drasar, B. S., &amp; Bradley, D. J. (1988). Survival and attachment of toxigenic Vibrio cholerae O1 in association with four marine algae. </w:t>
      </w:r>
      <w:r w:rsidRPr="002B4698">
        <w:rPr>
          <w:i/>
          <w:iCs/>
          <w:shd w:val="clear" w:color="auto" w:fill="FFFFFF"/>
        </w:rPr>
        <w:t>Bangladesh J. Microbiol</w:t>
      </w:r>
      <w:r w:rsidRPr="002B4698">
        <w:rPr>
          <w:shd w:val="clear" w:color="auto" w:fill="FFFFFF"/>
        </w:rPr>
        <w:t xml:space="preserve">, </w:t>
      </w:r>
      <w:r w:rsidRPr="002B4698">
        <w:rPr>
          <w:i/>
          <w:iCs/>
          <w:shd w:val="clear" w:color="auto" w:fill="FFFFFF"/>
        </w:rPr>
        <w:t>5</w:t>
      </w:r>
      <w:r w:rsidRPr="002B4698">
        <w:rPr>
          <w:shd w:val="clear" w:color="auto" w:fill="FFFFFF"/>
        </w:rPr>
        <w:t>(2), 41œ48.</w:t>
      </w:r>
    </w:p>
    <w:p w14:paraId="1D359937" w14:textId="77777777" w:rsidR="002B4698" w:rsidRPr="002B4698" w:rsidRDefault="002B4698" w:rsidP="002B4698">
      <w:pPr>
        <w:rPr>
          <w:rFonts w:ascii="Times New Roman" w:hAnsi="Times New Roman" w:cs="Times New Roman"/>
        </w:rPr>
      </w:pPr>
      <w:r w:rsidRPr="002B4698">
        <w:rPr>
          <w:shd w:val="clear" w:color="auto" w:fill="FFFFFF"/>
        </w:rPr>
        <w:lastRenderedPageBreak/>
        <w:t xml:space="preserve">Kim, S. H., Kim, J. S., Choi, J. P., &amp; Park, J. H. (2006). Prevalence and frequency of food-borne pathogens on unprocessed agricultural and marine products. </w:t>
      </w:r>
      <w:r w:rsidRPr="002B4698">
        <w:rPr>
          <w:i/>
          <w:iCs/>
          <w:shd w:val="clear" w:color="auto" w:fill="FFFFFF"/>
        </w:rPr>
        <w:t>Korean Journal of Food Science and Technology</w:t>
      </w:r>
      <w:r w:rsidRPr="002B4698">
        <w:rPr>
          <w:shd w:val="clear" w:color="auto" w:fill="FFFFFF"/>
        </w:rPr>
        <w:t xml:space="preserve">, </w:t>
      </w:r>
      <w:r w:rsidRPr="002B4698">
        <w:rPr>
          <w:i/>
          <w:iCs/>
          <w:shd w:val="clear" w:color="auto" w:fill="FFFFFF"/>
        </w:rPr>
        <w:t>38</w:t>
      </w:r>
      <w:r w:rsidRPr="002B4698">
        <w:rPr>
          <w:shd w:val="clear" w:color="auto" w:fill="FFFFFF"/>
        </w:rPr>
        <w:t>(4), 594-598.</w:t>
      </w:r>
    </w:p>
    <w:p w14:paraId="2C438D34" w14:textId="77777777" w:rsidR="002B4698" w:rsidRPr="002B4698" w:rsidRDefault="002B4698" w:rsidP="002B4698">
      <w:pPr>
        <w:rPr>
          <w:rFonts w:ascii="Times New Roman" w:hAnsi="Times New Roman" w:cs="Times New Roman"/>
        </w:rPr>
      </w:pPr>
      <w:r w:rsidRPr="002B4698">
        <w:rPr>
          <w:shd w:val="clear" w:color="auto" w:fill="FFFFFF"/>
        </w:rPr>
        <w:t xml:space="preserve">Kreissig, K. J., Sørensen, J. S., Jensen, P. E., &amp; Hansen, L. T. (2023). Bacterial communities on Fucus sp. harvested in tidal zones with or without exposure to human sewage in Greenland. </w:t>
      </w:r>
      <w:r w:rsidRPr="002B4698">
        <w:rPr>
          <w:i/>
          <w:iCs/>
          <w:shd w:val="clear" w:color="auto" w:fill="FFFFFF"/>
        </w:rPr>
        <w:t>Regional Studies in Marine Science</w:t>
      </w:r>
      <w:r w:rsidRPr="002B4698">
        <w:rPr>
          <w:shd w:val="clear" w:color="auto" w:fill="FFFFFF"/>
        </w:rPr>
        <w:t xml:space="preserve">, </w:t>
      </w:r>
      <w:r w:rsidRPr="002B4698">
        <w:rPr>
          <w:i/>
          <w:iCs/>
          <w:shd w:val="clear" w:color="auto" w:fill="FFFFFF"/>
        </w:rPr>
        <w:t>62</w:t>
      </w:r>
      <w:r w:rsidRPr="002B4698">
        <w:rPr>
          <w:shd w:val="clear" w:color="auto" w:fill="FFFFFF"/>
        </w:rPr>
        <w:t>, 102928.</w:t>
      </w:r>
    </w:p>
    <w:p w14:paraId="368CBC8A" w14:textId="77777777" w:rsidR="002B4698" w:rsidRPr="002B4698" w:rsidRDefault="002B4698" w:rsidP="002B4698">
      <w:pPr>
        <w:rPr>
          <w:rFonts w:ascii="Times New Roman" w:hAnsi="Times New Roman" w:cs="Times New Roman"/>
        </w:rPr>
      </w:pPr>
      <w:r w:rsidRPr="002B4698">
        <w:rPr>
          <w:shd w:val="clear" w:color="auto" w:fill="FFFFFF"/>
        </w:rPr>
        <w:t xml:space="preserve">Lytou, A. E., Schoina, E., Liu, Y., Michalek, K., Stanley, M. S., Panagou, E. Z., &amp; Nychas, G. J. E. (2021). Quality and safety assessment of edible seaweeds Alaria esculenta and Saccharina latissima cultivated in Scotland. </w:t>
      </w:r>
      <w:r w:rsidRPr="002B4698">
        <w:rPr>
          <w:i/>
          <w:iCs/>
          <w:shd w:val="clear" w:color="auto" w:fill="FFFFFF"/>
        </w:rPr>
        <w:t>Foods</w:t>
      </w:r>
      <w:r w:rsidRPr="002B4698">
        <w:rPr>
          <w:shd w:val="clear" w:color="auto" w:fill="FFFFFF"/>
        </w:rPr>
        <w:t xml:space="preserve">, </w:t>
      </w:r>
      <w:r w:rsidRPr="002B4698">
        <w:rPr>
          <w:i/>
          <w:iCs/>
          <w:shd w:val="clear" w:color="auto" w:fill="FFFFFF"/>
        </w:rPr>
        <w:t>10</w:t>
      </w:r>
      <w:r w:rsidRPr="002B4698">
        <w:rPr>
          <w:shd w:val="clear" w:color="auto" w:fill="FFFFFF"/>
        </w:rPr>
        <w:t>(9), 2210.</w:t>
      </w:r>
    </w:p>
    <w:p w14:paraId="5029B9E5" w14:textId="77777777" w:rsidR="002B4698" w:rsidRPr="002B4698" w:rsidRDefault="002B4698" w:rsidP="002B4698">
      <w:pPr>
        <w:rPr>
          <w:rFonts w:ascii="Times New Roman" w:hAnsi="Times New Roman" w:cs="Times New Roman"/>
        </w:rPr>
      </w:pPr>
      <w:r w:rsidRPr="002B4698">
        <w:rPr>
          <w:shd w:val="clear" w:color="auto" w:fill="FFFFFF"/>
        </w:rPr>
        <w:t xml:space="preserve">Mahmud, Z. H., Kassu, A., Mohammad, A., Yamato, M., Bhuiyan, N. A., Nair, G. B., &amp; Ota, F. (2006). Isolation and molecular characterization of toxigenic Vibrio parahaemolyticus from the Kii Channel, Japan. </w:t>
      </w:r>
      <w:r w:rsidRPr="002B4698">
        <w:rPr>
          <w:i/>
          <w:iCs/>
          <w:shd w:val="clear" w:color="auto" w:fill="FFFFFF"/>
        </w:rPr>
        <w:t>Microbiological Research</w:t>
      </w:r>
      <w:r w:rsidRPr="002B4698">
        <w:rPr>
          <w:shd w:val="clear" w:color="auto" w:fill="FFFFFF"/>
        </w:rPr>
        <w:t xml:space="preserve">, </w:t>
      </w:r>
      <w:r w:rsidRPr="002B4698">
        <w:rPr>
          <w:i/>
          <w:iCs/>
          <w:shd w:val="clear" w:color="auto" w:fill="FFFFFF"/>
        </w:rPr>
        <w:t>161</w:t>
      </w:r>
      <w:r w:rsidRPr="002B4698">
        <w:rPr>
          <w:shd w:val="clear" w:color="auto" w:fill="FFFFFF"/>
        </w:rPr>
        <w:t>(1), 25-37.</w:t>
      </w:r>
    </w:p>
    <w:p w14:paraId="6BCD7622" w14:textId="77777777" w:rsidR="002B4698" w:rsidRPr="002B4698" w:rsidRDefault="002B4698" w:rsidP="002B4698">
      <w:pPr>
        <w:rPr>
          <w:rFonts w:ascii="Times New Roman" w:hAnsi="Times New Roman" w:cs="Times New Roman"/>
        </w:rPr>
      </w:pPr>
      <w:r w:rsidRPr="002B4698">
        <w:rPr>
          <w:shd w:val="clear" w:color="auto" w:fill="FFFFFF"/>
        </w:rPr>
        <w:t xml:space="preserve">Mahmud, Z. H., Neogi, S. B., Kassu, A., Wada, T., Islam, M. S., Nair, G. B., &amp; Ota, F. (2007). Seaweeds as a reservoir for diverse Vibrio parahaemolyticus populations in Japan. </w:t>
      </w:r>
      <w:r w:rsidRPr="002B4698">
        <w:rPr>
          <w:i/>
          <w:iCs/>
          <w:shd w:val="clear" w:color="auto" w:fill="FFFFFF"/>
        </w:rPr>
        <w:t>International journal of food microbiology</w:t>
      </w:r>
      <w:r w:rsidRPr="002B4698">
        <w:rPr>
          <w:shd w:val="clear" w:color="auto" w:fill="FFFFFF"/>
        </w:rPr>
        <w:t xml:space="preserve">, </w:t>
      </w:r>
      <w:r w:rsidRPr="002B4698">
        <w:rPr>
          <w:i/>
          <w:iCs/>
          <w:shd w:val="clear" w:color="auto" w:fill="FFFFFF"/>
        </w:rPr>
        <w:t>118</w:t>
      </w:r>
      <w:r w:rsidRPr="002B4698">
        <w:rPr>
          <w:shd w:val="clear" w:color="auto" w:fill="FFFFFF"/>
        </w:rPr>
        <w:t>(1), 92-96.</w:t>
      </w:r>
    </w:p>
    <w:p w14:paraId="4439DE6D" w14:textId="77777777" w:rsidR="002B4698" w:rsidRPr="002B4698" w:rsidRDefault="002B4698" w:rsidP="002B4698">
      <w:pPr>
        <w:rPr>
          <w:rFonts w:ascii="Times New Roman" w:hAnsi="Times New Roman" w:cs="Times New Roman"/>
        </w:rPr>
      </w:pPr>
      <w:r w:rsidRPr="002B4698">
        <w:rPr>
          <w:shd w:val="clear" w:color="auto" w:fill="FFFFFF"/>
        </w:rPr>
        <w:t xml:space="preserve">Mahmud, Z. H., Neogi, S. B., Kassu, A., Mai Huong, B. T., Jahid, I. K., Islam, M. S., &amp; Ota, F. (2008). Occurrence, seasonality and genetic diversity of Vibrio vulnificus in coastal seaweeds and water along the Kii Channel, Japan. </w:t>
      </w:r>
      <w:r w:rsidRPr="002B4698">
        <w:rPr>
          <w:i/>
          <w:iCs/>
          <w:shd w:val="clear" w:color="auto" w:fill="FFFFFF"/>
        </w:rPr>
        <w:t>FEMS microbiology ecology</w:t>
      </w:r>
      <w:r w:rsidRPr="002B4698">
        <w:rPr>
          <w:shd w:val="clear" w:color="auto" w:fill="FFFFFF"/>
        </w:rPr>
        <w:t xml:space="preserve">, </w:t>
      </w:r>
      <w:r w:rsidRPr="002B4698">
        <w:rPr>
          <w:i/>
          <w:iCs/>
          <w:shd w:val="clear" w:color="auto" w:fill="FFFFFF"/>
        </w:rPr>
        <w:t>64</w:t>
      </w:r>
      <w:r w:rsidRPr="002B4698">
        <w:rPr>
          <w:shd w:val="clear" w:color="auto" w:fill="FFFFFF"/>
        </w:rPr>
        <w:t>(2), 209-218.</w:t>
      </w:r>
    </w:p>
    <w:p w14:paraId="7B16E0F9" w14:textId="77777777" w:rsidR="002B4698" w:rsidRPr="002B4698" w:rsidRDefault="002B4698" w:rsidP="002B4698">
      <w:pPr>
        <w:rPr>
          <w:rFonts w:ascii="Times New Roman" w:hAnsi="Times New Roman" w:cs="Times New Roman"/>
        </w:rPr>
      </w:pPr>
      <w:r w:rsidRPr="002B4698">
        <w:rPr>
          <w:shd w:val="clear" w:color="auto" w:fill="FFFFFF"/>
        </w:rPr>
        <w:t xml:space="preserve">Martinez, J. N., &amp; Padilla, P. I. P. (2016). Isolation and characterization of agar-digesting Vibrio species from the rotten thallus of Gracilariopsis heteroclada Zhang et Xia. </w:t>
      </w:r>
      <w:r w:rsidRPr="002B4698">
        <w:rPr>
          <w:i/>
          <w:iCs/>
          <w:shd w:val="clear" w:color="auto" w:fill="FFFFFF"/>
        </w:rPr>
        <w:t>Marine environmental research</w:t>
      </w:r>
      <w:r w:rsidRPr="002B4698">
        <w:rPr>
          <w:shd w:val="clear" w:color="auto" w:fill="FFFFFF"/>
        </w:rPr>
        <w:t xml:space="preserve">, </w:t>
      </w:r>
      <w:r w:rsidRPr="002B4698">
        <w:rPr>
          <w:i/>
          <w:iCs/>
          <w:shd w:val="clear" w:color="auto" w:fill="FFFFFF"/>
        </w:rPr>
        <w:t>119</w:t>
      </w:r>
      <w:r w:rsidRPr="002B4698">
        <w:rPr>
          <w:shd w:val="clear" w:color="auto" w:fill="FFFFFF"/>
        </w:rPr>
        <w:t>, 156-160.</w:t>
      </w:r>
    </w:p>
    <w:p w14:paraId="37C1A772" w14:textId="77777777" w:rsidR="002B4698" w:rsidRPr="002B4698" w:rsidRDefault="002B4698" w:rsidP="002B4698">
      <w:pPr>
        <w:rPr>
          <w:rFonts w:ascii="Times New Roman" w:hAnsi="Times New Roman" w:cs="Times New Roman"/>
        </w:rPr>
      </w:pPr>
      <w:r w:rsidRPr="002B4698">
        <w:rPr>
          <w:shd w:val="clear" w:color="auto" w:fill="FFFFFF"/>
        </w:rPr>
        <w:t xml:space="preserve">Mincer, T. J., Bos, R. P., Zettler, E. R., Zhao, S., Asbun, A. A., Orsi, W. D., ... &amp; Amaral-Zettler, L. A. (2023). Sargasso Sea Vibrio bacteria: Underexplored potential pathovars in a perturbed habitat. </w:t>
      </w:r>
      <w:r w:rsidRPr="002B4698">
        <w:rPr>
          <w:i/>
          <w:iCs/>
          <w:shd w:val="clear" w:color="auto" w:fill="FFFFFF"/>
        </w:rPr>
        <w:t>Water Research</w:t>
      </w:r>
      <w:r w:rsidRPr="002B4698">
        <w:rPr>
          <w:shd w:val="clear" w:color="auto" w:fill="FFFFFF"/>
        </w:rPr>
        <w:t xml:space="preserve">, </w:t>
      </w:r>
      <w:r w:rsidRPr="002B4698">
        <w:rPr>
          <w:i/>
          <w:iCs/>
          <w:shd w:val="clear" w:color="auto" w:fill="FFFFFF"/>
        </w:rPr>
        <w:t>242</w:t>
      </w:r>
      <w:r w:rsidRPr="002B4698">
        <w:rPr>
          <w:shd w:val="clear" w:color="auto" w:fill="FFFFFF"/>
        </w:rPr>
        <w:t>, 120033</w:t>
      </w:r>
    </w:p>
    <w:p w14:paraId="1B4184FA" w14:textId="77777777" w:rsidR="002B4698" w:rsidRPr="002B4698" w:rsidRDefault="002B4698" w:rsidP="002B4698">
      <w:pPr>
        <w:rPr>
          <w:rFonts w:ascii="Times New Roman" w:hAnsi="Times New Roman" w:cs="Times New Roman"/>
        </w:rPr>
      </w:pPr>
      <w:r w:rsidRPr="002B4698">
        <w:rPr>
          <w:shd w:val="clear" w:color="auto" w:fill="FFFFFF"/>
        </w:rPr>
        <w:t xml:space="preserve">Murthy, K. N., Mohanraju, R., Karthick, P., &amp; Ramesh, C. H. (2013). Epiphytic Vibrio from the Seaweeds of Andaman Island, India. </w:t>
      </w:r>
      <w:r w:rsidRPr="002B4698">
        <w:rPr>
          <w:i/>
          <w:iCs/>
          <w:shd w:val="clear" w:color="auto" w:fill="FFFFFF"/>
        </w:rPr>
        <w:t>Seaweed Research and Utilization</w:t>
      </w:r>
      <w:r w:rsidRPr="002B4698">
        <w:rPr>
          <w:shd w:val="clear" w:color="auto" w:fill="FFFFFF"/>
        </w:rPr>
        <w:t xml:space="preserve">, </w:t>
      </w:r>
      <w:r w:rsidRPr="002B4698">
        <w:rPr>
          <w:i/>
          <w:iCs/>
          <w:shd w:val="clear" w:color="auto" w:fill="FFFFFF"/>
        </w:rPr>
        <w:t>35</w:t>
      </w:r>
      <w:r w:rsidRPr="002B4698">
        <w:rPr>
          <w:shd w:val="clear" w:color="auto" w:fill="FFFFFF"/>
        </w:rPr>
        <w:t>, 220-225.</w:t>
      </w:r>
    </w:p>
    <w:p w14:paraId="3B972604" w14:textId="77777777" w:rsidR="002B4698" w:rsidRPr="002B4698" w:rsidRDefault="002B4698" w:rsidP="002B4698">
      <w:pPr>
        <w:rPr>
          <w:rFonts w:ascii="Times New Roman" w:hAnsi="Times New Roman" w:cs="Times New Roman"/>
        </w:rPr>
      </w:pPr>
      <w:r w:rsidRPr="000B1F22">
        <w:rPr>
          <w:shd w:val="clear" w:color="auto" w:fill="FFFFFF"/>
          <w:lang w:val="es-ES"/>
        </w:rPr>
        <w:t xml:space="preserve">Picon, A., Del Olmo, A., &amp; Nuñez, M. (2021). </w:t>
      </w:r>
      <w:r w:rsidRPr="002B4698">
        <w:rPr>
          <w:shd w:val="clear" w:color="auto" w:fill="FFFFFF"/>
        </w:rPr>
        <w:t xml:space="preserve">Bacterial diversity in six species of fresh edible seaweeds submitted to high pressure processing and long-term refrigerated storage. </w:t>
      </w:r>
      <w:r w:rsidRPr="002B4698">
        <w:rPr>
          <w:i/>
          <w:iCs/>
          <w:shd w:val="clear" w:color="auto" w:fill="FFFFFF"/>
        </w:rPr>
        <w:t>Food Microbiology</w:t>
      </w:r>
      <w:r w:rsidRPr="002B4698">
        <w:rPr>
          <w:shd w:val="clear" w:color="auto" w:fill="FFFFFF"/>
        </w:rPr>
        <w:t xml:space="preserve">, </w:t>
      </w:r>
      <w:r w:rsidRPr="002B4698">
        <w:rPr>
          <w:i/>
          <w:iCs/>
          <w:shd w:val="clear" w:color="auto" w:fill="FFFFFF"/>
        </w:rPr>
        <w:t>94</w:t>
      </w:r>
      <w:r w:rsidRPr="002B4698">
        <w:rPr>
          <w:shd w:val="clear" w:color="auto" w:fill="FFFFFF"/>
        </w:rPr>
        <w:t>, 103646.</w:t>
      </w:r>
    </w:p>
    <w:p w14:paraId="309A2DF6" w14:textId="77777777" w:rsidR="002B4698" w:rsidRPr="002B4698" w:rsidRDefault="002B4698" w:rsidP="002B4698">
      <w:pPr>
        <w:rPr>
          <w:rFonts w:ascii="Times New Roman" w:hAnsi="Times New Roman" w:cs="Times New Roman"/>
        </w:rPr>
      </w:pPr>
      <w:r w:rsidRPr="002B4698">
        <w:rPr>
          <w:shd w:val="clear" w:color="auto" w:fill="FFFFFF"/>
        </w:rPr>
        <w:t xml:space="preserve">Quero, G. M., Fasolato, L., Vignaroli, C., &amp; Luna, G. M. (2015). Understanding the association of Escherichia coli with diverse macroalgae in the lagoon of Venice. </w:t>
      </w:r>
      <w:r w:rsidRPr="002B4698">
        <w:rPr>
          <w:i/>
          <w:iCs/>
          <w:shd w:val="clear" w:color="auto" w:fill="FFFFFF"/>
        </w:rPr>
        <w:t>Scientific reports</w:t>
      </w:r>
      <w:r w:rsidRPr="002B4698">
        <w:rPr>
          <w:shd w:val="clear" w:color="auto" w:fill="FFFFFF"/>
        </w:rPr>
        <w:t xml:space="preserve">, </w:t>
      </w:r>
      <w:r w:rsidRPr="002B4698">
        <w:rPr>
          <w:i/>
          <w:iCs/>
          <w:shd w:val="clear" w:color="auto" w:fill="FFFFFF"/>
        </w:rPr>
        <w:t>5</w:t>
      </w:r>
      <w:r w:rsidRPr="002B4698">
        <w:rPr>
          <w:shd w:val="clear" w:color="auto" w:fill="FFFFFF"/>
        </w:rPr>
        <w:t>(1), 10969.</w:t>
      </w:r>
    </w:p>
    <w:p w14:paraId="25E20D49" w14:textId="77777777" w:rsidR="002B4698" w:rsidRPr="002B4698" w:rsidRDefault="002B4698" w:rsidP="002B4698">
      <w:pPr>
        <w:rPr>
          <w:rFonts w:ascii="Times New Roman" w:hAnsi="Times New Roman" w:cs="Times New Roman"/>
        </w:rPr>
      </w:pPr>
      <w:r w:rsidRPr="002B4698">
        <w:rPr>
          <w:shd w:val="clear" w:color="auto" w:fill="FFFFFF"/>
        </w:rPr>
        <w:lastRenderedPageBreak/>
        <w:t xml:space="preserve">Quilliam, R. S., Jamieson, J., &amp; Oliver, D. M. (2014). Seaweeds and plastic debris can influence the survival of faecal indicator organisms in beach environments. </w:t>
      </w:r>
      <w:r w:rsidRPr="002B4698">
        <w:rPr>
          <w:i/>
          <w:iCs/>
          <w:shd w:val="clear" w:color="auto" w:fill="FFFFFF"/>
        </w:rPr>
        <w:t>Marine pollution bulletin</w:t>
      </w:r>
      <w:r w:rsidRPr="002B4698">
        <w:rPr>
          <w:shd w:val="clear" w:color="auto" w:fill="FFFFFF"/>
        </w:rPr>
        <w:t xml:space="preserve">, </w:t>
      </w:r>
      <w:r w:rsidRPr="002B4698">
        <w:rPr>
          <w:i/>
          <w:iCs/>
          <w:shd w:val="clear" w:color="auto" w:fill="FFFFFF"/>
        </w:rPr>
        <w:t>84</w:t>
      </w:r>
      <w:r w:rsidRPr="002B4698">
        <w:rPr>
          <w:shd w:val="clear" w:color="auto" w:fill="FFFFFF"/>
        </w:rPr>
        <w:t>(1-2), 201-207</w:t>
      </w:r>
      <w:r w:rsidRPr="002B4698">
        <w:rPr>
          <w:rFonts w:ascii="Arial" w:hAnsi="Arial" w:cs="Arial"/>
          <w:sz w:val="20"/>
          <w:szCs w:val="20"/>
          <w:shd w:val="clear" w:color="auto" w:fill="FFFFFF"/>
        </w:rPr>
        <w:t>.</w:t>
      </w:r>
    </w:p>
    <w:p w14:paraId="6C2477F8" w14:textId="77777777" w:rsidR="002B4698" w:rsidRPr="002B4698" w:rsidRDefault="002B4698" w:rsidP="002B4698">
      <w:pPr>
        <w:rPr>
          <w:rFonts w:ascii="Times New Roman" w:hAnsi="Times New Roman" w:cs="Times New Roman"/>
        </w:rPr>
      </w:pPr>
      <w:r w:rsidRPr="002B4698">
        <w:rPr>
          <w:shd w:val="clear" w:color="auto" w:fill="FFFFFF"/>
        </w:rPr>
        <w:t xml:space="preserve">Russell, T. L., Sassoubre, L. M., Wang, D., Masuda, S., Chen, H., Soetjipto, C., ... &amp; Boehm, A. B. (2013). A coupled modeling and molecular biology approach to microbial source tracking at Cowell Beach, Santa Cruz, CA, United States. </w:t>
      </w:r>
      <w:r w:rsidRPr="002B4698">
        <w:rPr>
          <w:i/>
          <w:iCs/>
          <w:shd w:val="clear" w:color="auto" w:fill="FFFFFF"/>
        </w:rPr>
        <w:t>Environmental science &amp; technology</w:t>
      </w:r>
      <w:r w:rsidRPr="002B4698">
        <w:rPr>
          <w:shd w:val="clear" w:color="auto" w:fill="FFFFFF"/>
        </w:rPr>
        <w:t xml:space="preserve">, </w:t>
      </w:r>
      <w:r w:rsidRPr="002B4698">
        <w:rPr>
          <w:i/>
          <w:iCs/>
          <w:shd w:val="clear" w:color="auto" w:fill="FFFFFF"/>
        </w:rPr>
        <w:t>47</w:t>
      </w:r>
      <w:r w:rsidRPr="002B4698">
        <w:rPr>
          <w:shd w:val="clear" w:color="auto" w:fill="FFFFFF"/>
        </w:rPr>
        <w:t>(18), 10231-10239.</w:t>
      </w:r>
    </w:p>
    <w:p w14:paraId="4E1B45C0" w14:textId="77777777" w:rsidR="002B4698" w:rsidRPr="002B4698" w:rsidRDefault="002B4698" w:rsidP="002B4698">
      <w:pPr>
        <w:rPr>
          <w:rFonts w:ascii="Times New Roman" w:hAnsi="Times New Roman" w:cs="Times New Roman"/>
        </w:rPr>
      </w:pPr>
      <w:r w:rsidRPr="002B4698">
        <w:rPr>
          <w:shd w:val="clear" w:color="auto" w:fill="FFFFFF"/>
        </w:rPr>
        <w:t xml:space="preserve">Setyati, W. A., Susanto, A. B., Pamungkas, D. B. P., Makrima, D. B., &amp; Senduk, J. L. (2023). Isolation and identification of seaweed-associated bacteria and their antibacterial activity against skin disease agents. </w:t>
      </w:r>
      <w:r w:rsidRPr="002B4698">
        <w:rPr>
          <w:i/>
          <w:iCs/>
          <w:shd w:val="clear" w:color="auto" w:fill="FFFFFF"/>
        </w:rPr>
        <w:t>Trends in Sciences</w:t>
      </w:r>
      <w:r w:rsidRPr="002B4698">
        <w:rPr>
          <w:shd w:val="clear" w:color="auto" w:fill="FFFFFF"/>
        </w:rPr>
        <w:t xml:space="preserve">, </w:t>
      </w:r>
      <w:r w:rsidRPr="002B4698">
        <w:rPr>
          <w:i/>
          <w:iCs/>
          <w:shd w:val="clear" w:color="auto" w:fill="FFFFFF"/>
        </w:rPr>
        <w:t>20</w:t>
      </w:r>
      <w:r w:rsidRPr="002B4698">
        <w:rPr>
          <w:shd w:val="clear" w:color="auto" w:fill="FFFFFF"/>
        </w:rPr>
        <w:t>(6), 6517-6517.</w:t>
      </w:r>
    </w:p>
    <w:p w14:paraId="074FBCE2" w14:textId="77777777" w:rsidR="002B4698" w:rsidRPr="002B4698" w:rsidRDefault="002B4698" w:rsidP="002B4698">
      <w:pPr>
        <w:rPr>
          <w:rFonts w:ascii="Times New Roman" w:hAnsi="Times New Roman" w:cs="Times New Roman"/>
        </w:rPr>
      </w:pPr>
      <w:r w:rsidRPr="002B4698">
        <w:rPr>
          <w:shd w:val="clear" w:color="auto" w:fill="FFFFFF"/>
        </w:rPr>
        <w:t xml:space="preserve">Skonberg, D. I., Fader, S., Perkins, L. B., &amp; Perry, J. J. (2021). Lactic acid fermentation in the development of a seaweed sauerkraut‐style product: Microbiological, physicochemical, and sensory evaluation. </w:t>
      </w:r>
      <w:r w:rsidRPr="002B4698">
        <w:rPr>
          <w:i/>
          <w:iCs/>
          <w:shd w:val="clear" w:color="auto" w:fill="FFFFFF"/>
        </w:rPr>
        <w:t>Journal of Food Science</w:t>
      </w:r>
      <w:r w:rsidRPr="002B4698">
        <w:rPr>
          <w:shd w:val="clear" w:color="auto" w:fill="FFFFFF"/>
        </w:rPr>
        <w:t xml:space="preserve">, </w:t>
      </w:r>
      <w:r w:rsidRPr="002B4698">
        <w:rPr>
          <w:i/>
          <w:iCs/>
          <w:shd w:val="clear" w:color="auto" w:fill="FFFFFF"/>
        </w:rPr>
        <w:t>86</w:t>
      </w:r>
      <w:r w:rsidRPr="002B4698">
        <w:rPr>
          <w:shd w:val="clear" w:color="auto" w:fill="FFFFFF"/>
        </w:rPr>
        <w:t>(2), 334-342.</w:t>
      </w:r>
    </w:p>
    <w:p w14:paraId="190DCD52" w14:textId="77777777" w:rsidR="002B4698" w:rsidRPr="002B4698" w:rsidRDefault="002B4698" w:rsidP="002B4698">
      <w:pPr>
        <w:rPr>
          <w:rFonts w:ascii="Times New Roman" w:hAnsi="Times New Roman" w:cs="Times New Roman"/>
        </w:rPr>
      </w:pPr>
      <w:r w:rsidRPr="002B4698">
        <w:rPr>
          <w:shd w:val="clear" w:color="auto" w:fill="FFFFFF"/>
        </w:rPr>
        <w:t xml:space="preserve">Son, K. T., Lach, T., Jung, Y., Kang, S. K., Eom, S. H., Lee, D. S., ... &amp; Kim, Y. M. (2014). Food hazard analysis during dried-laver processing. </w:t>
      </w:r>
      <w:r w:rsidRPr="002B4698">
        <w:rPr>
          <w:i/>
          <w:iCs/>
          <w:shd w:val="clear" w:color="auto" w:fill="FFFFFF"/>
        </w:rPr>
        <w:t>Fisheries and aquatic sciences</w:t>
      </w:r>
      <w:r w:rsidRPr="002B4698">
        <w:rPr>
          <w:shd w:val="clear" w:color="auto" w:fill="FFFFFF"/>
        </w:rPr>
        <w:t xml:space="preserve">, </w:t>
      </w:r>
      <w:r w:rsidRPr="002B4698">
        <w:rPr>
          <w:i/>
          <w:iCs/>
          <w:shd w:val="clear" w:color="auto" w:fill="FFFFFF"/>
        </w:rPr>
        <w:t>17</w:t>
      </w:r>
      <w:r w:rsidRPr="002B4698">
        <w:rPr>
          <w:shd w:val="clear" w:color="auto" w:fill="FFFFFF"/>
        </w:rPr>
        <w:t>(2), 197-201.</w:t>
      </w:r>
    </w:p>
    <w:p w14:paraId="418A8480" w14:textId="77777777" w:rsidR="002B4698" w:rsidRPr="002B4698" w:rsidRDefault="002B4698" w:rsidP="002B4698">
      <w:pPr>
        <w:rPr>
          <w:rFonts w:ascii="Times New Roman" w:hAnsi="Times New Roman" w:cs="Times New Roman"/>
        </w:rPr>
      </w:pPr>
      <w:r w:rsidRPr="002B4698">
        <w:rPr>
          <w:shd w:val="clear" w:color="auto" w:fill="FFFFFF"/>
        </w:rPr>
        <w:t xml:space="preserve">Tahiluddin, A. B., Nuñal, S. N., Luhan, M. R. J., &amp; Santander–de Leon, S. M. S. (2021). Vibrio and Heterotrophic Marine Bacteria Composition and Abundance in Nutrient-enriched Kappaphycus striatus. </w:t>
      </w:r>
      <w:r w:rsidRPr="002B4698">
        <w:rPr>
          <w:i/>
          <w:iCs/>
          <w:shd w:val="clear" w:color="auto" w:fill="FFFFFF"/>
        </w:rPr>
        <w:t>Philippine Journal of Science</w:t>
      </w:r>
      <w:r w:rsidRPr="002B4698">
        <w:rPr>
          <w:shd w:val="clear" w:color="auto" w:fill="FFFFFF"/>
        </w:rPr>
        <w:t xml:space="preserve">, </w:t>
      </w:r>
      <w:r w:rsidRPr="002B4698">
        <w:rPr>
          <w:i/>
          <w:iCs/>
          <w:shd w:val="clear" w:color="auto" w:fill="FFFFFF"/>
        </w:rPr>
        <w:t>150</w:t>
      </w:r>
      <w:r w:rsidRPr="002B4698">
        <w:rPr>
          <w:shd w:val="clear" w:color="auto" w:fill="FFFFFF"/>
        </w:rPr>
        <w:t>.</w:t>
      </w:r>
    </w:p>
    <w:p w14:paraId="7A0A07CD" w14:textId="77777777" w:rsidR="002B4698" w:rsidRPr="002B4698" w:rsidRDefault="002B4698" w:rsidP="002B4698">
      <w:pPr>
        <w:rPr>
          <w:rFonts w:ascii="Times New Roman" w:hAnsi="Times New Roman" w:cs="Times New Roman"/>
        </w:rPr>
      </w:pPr>
      <w:r w:rsidRPr="002B4698">
        <w:rPr>
          <w:shd w:val="clear" w:color="auto" w:fill="FFFFFF"/>
        </w:rPr>
        <w:t xml:space="preserve">Vairappan, C. S., &amp; Suzuki, M. (2000). Dynamics of total surface bacteria and bacterial species counts during desiccation in the Malaysian sea lettuce, Ulva reticulata (Ulvales, Chlorophyta). </w:t>
      </w:r>
      <w:r w:rsidRPr="002B4698">
        <w:rPr>
          <w:i/>
          <w:iCs/>
          <w:shd w:val="clear" w:color="auto" w:fill="FFFFFF"/>
        </w:rPr>
        <w:t>Phycological Research</w:t>
      </w:r>
      <w:r w:rsidRPr="002B4698">
        <w:rPr>
          <w:shd w:val="clear" w:color="auto" w:fill="FFFFFF"/>
        </w:rPr>
        <w:t xml:space="preserve">, </w:t>
      </w:r>
      <w:r w:rsidRPr="002B4698">
        <w:rPr>
          <w:i/>
          <w:iCs/>
          <w:shd w:val="clear" w:color="auto" w:fill="FFFFFF"/>
        </w:rPr>
        <w:t>48</w:t>
      </w:r>
      <w:r w:rsidRPr="002B4698">
        <w:rPr>
          <w:shd w:val="clear" w:color="auto" w:fill="FFFFFF"/>
        </w:rPr>
        <w:t>(2), 55-61.</w:t>
      </w:r>
    </w:p>
    <w:p w14:paraId="6DDA337D" w14:textId="77777777" w:rsidR="002B4698" w:rsidRPr="002B4698" w:rsidRDefault="002B4698" w:rsidP="002B4698">
      <w:pPr>
        <w:rPr>
          <w:rFonts w:ascii="Times New Roman" w:hAnsi="Times New Roman" w:cs="Times New Roman"/>
        </w:rPr>
      </w:pPr>
      <w:r w:rsidRPr="002B4698">
        <w:rPr>
          <w:shd w:val="clear" w:color="auto" w:fill="FFFFFF"/>
        </w:rPr>
        <w:t xml:space="preserve">Wang, W., Zhu, Z., Wang, C., Zhou, F., Yu, H., Zhang, Y., ... &amp; Wang, L. (2023). Post-drying decontamination of laver by dielectric barrier discharge plasma, UV radiation, ozonation, and hot air treatments. </w:t>
      </w:r>
      <w:r w:rsidRPr="002B4698">
        <w:rPr>
          <w:i/>
          <w:iCs/>
          <w:shd w:val="clear" w:color="auto" w:fill="FFFFFF"/>
        </w:rPr>
        <w:t>LWT</w:t>
      </w:r>
      <w:r w:rsidRPr="002B4698">
        <w:rPr>
          <w:shd w:val="clear" w:color="auto" w:fill="FFFFFF"/>
        </w:rPr>
        <w:t xml:space="preserve">, </w:t>
      </w:r>
      <w:r w:rsidRPr="002B4698">
        <w:rPr>
          <w:i/>
          <w:iCs/>
          <w:shd w:val="clear" w:color="auto" w:fill="FFFFFF"/>
        </w:rPr>
        <w:t>176</w:t>
      </w:r>
      <w:r w:rsidRPr="002B4698">
        <w:rPr>
          <w:shd w:val="clear" w:color="auto" w:fill="FFFFFF"/>
        </w:rPr>
        <w:t>, 114518.</w:t>
      </w:r>
    </w:p>
    <w:p w14:paraId="63279900" w14:textId="66F63187" w:rsidR="002B4698" w:rsidRPr="002B4698" w:rsidRDefault="002B4698" w:rsidP="002B4698">
      <w:r w:rsidRPr="002B4698">
        <w:rPr>
          <w:shd w:val="clear" w:color="auto" w:fill="FFFFFF"/>
        </w:rPr>
        <w:t xml:space="preserve">Wiese, J., Thiel, V., Nagel, K., Staufenberger, T., &amp; Imhoff, J. F. (2009). Diversity of antibiotic-active bacteria associated with the brown alga Laminaria saccharina from the Baltic Sea. </w:t>
      </w:r>
      <w:r w:rsidRPr="002B4698">
        <w:rPr>
          <w:i/>
          <w:iCs/>
          <w:shd w:val="clear" w:color="auto" w:fill="FFFFFF"/>
        </w:rPr>
        <w:t>Marine Biotechnology</w:t>
      </w:r>
      <w:r w:rsidRPr="002B4698">
        <w:rPr>
          <w:shd w:val="clear" w:color="auto" w:fill="FFFFFF"/>
        </w:rPr>
        <w:t xml:space="preserve">, </w:t>
      </w:r>
      <w:r w:rsidRPr="002B4698">
        <w:rPr>
          <w:i/>
          <w:iCs/>
          <w:shd w:val="clear" w:color="auto" w:fill="FFFFFF"/>
        </w:rPr>
        <w:t>11</w:t>
      </w:r>
      <w:r w:rsidRPr="002B4698">
        <w:rPr>
          <w:shd w:val="clear" w:color="auto" w:fill="FFFFFF"/>
        </w:rPr>
        <w:t>, 287-300.</w:t>
      </w:r>
    </w:p>
    <w:p w14:paraId="49F0675F" w14:textId="77777777" w:rsidR="008D7F48" w:rsidRDefault="008D7F48" w:rsidP="008D7F48"/>
    <w:p w14:paraId="0A837BEB" w14:textId="77777777" w:rsidR="008D7F48" w:rsidRDefault="008D7F48" w:rsidP="008D7F48">
      <w:pPr>
        <w:sectPr w:rsidR="008D7F48" w:rsidSect="005003BC">
          <w:pgSz w:w="12240" w:h="15840"/>
          <w:pgMar w:top="1440" w:right="1440" w:bottom="1440" w:left="1440" w:header="720" w:footer="720" w:gutter="0"/>
          <w:pgNumType w:chapStyle="6"/>
          <w:cols w:space="720"/>
          <w:docGrid w:linePitch="360"/>
        </w:sectPr>
      </w:pPr>
    </w:p>
    <w:p w14:paraId="675C48AC" w14:textId="1B4D6643" w:rsidR="00045395" w:rsidRDefault="008D7F48" w:rsidP="00AA56A6">
      <w:pPr>
        <w:pStyle w:val="Heading6"/>
      </w:pPr>
      <w:bookmarkStart w:id="283" w:name="_Toc208503350"/>
      <w:bookmarkStart w:id="284" w:name="_Toc210042867"/>
      <w:r w:rsidRPr="000B3003">
        <w:lastRenderedPageBreak/>
        <w:t>Environmental Chemical Contaminants Reference Tables</w:t>
      </w:r>
      <w:bookmarkEnd w:id="283"/>
      <w:bookmarkEnd w:id="284"/>
    </w:p>
    <w:p w14:paraId="04ABF345" w14:textId="7F14E14C" w:rsidR="00045395" w:rsidRPr="00045395" w:rsidRDefault="00045395" w:rsidP="00C54E07">
      <w:pPr>
        <w:pStyle w:val="Caption"/>
      </w:pPr>
      <w:r w:rsidRPr="00045395">
        <w:rPr>
          <w:b/>
          <w:bCs/>
        </w:rPr>
        <w:t>Table B-</w:t>
      </w:r>
      <w:r>
        <w:rPr>
          <w:b/>
          <w:bCs/>
        </w:rPr>
        <w:fldChar w:fldCharType="begin"/>
      </w:r>
      <w:r>
        <w:rPr>
          <w:b/>
          <w:bCs/>
        </w:rPr>
        <w:instrText xml:space="preserve"> SEQ Table_B- \* ARABIC </w:instrText>
      </w:r>
      <w:r>
        <w:rPr>
          <w:b/>
          <w:bCs/>
        </w:rPr>
        <w:fldChar w:fldCharType="separate"/>
      </w:r>
      <w:r w:rsidR="00A042AD">
        <w:rPr>
          <w:b/>
          <w:bCs/>
          <w:noProof/>
        </w:rPr>
        <w:t>1</w:t>
      </w:r>
      <w:r>
        <w:rPr>
          <w:b/>
          <w:bCs/>
        </w:rPr>
        <w:fldChar w:fldCharType="end"/>
      </w:r>
      <w:r w:rsidRPr="00045395">
        <w:rPr>
          <w:b/>
          <w:bCs/>
        </w:rPr>
        <w:t>:</w:t>
      </w:r>
      <w:r>
        <w:t xml:space="preserve"> </w:t>
      </w:r>
      <w:r w:rsidRPr="00707C0D">
        <w:t>Potential heavy metal contaminants identified in seaweeds.</w:t>
      </w:r>
    </w:p>
    <w:tbl>
      <w:tblPr>
        <w:tblStyle w:val="TableGrid"/>
        <w:tblW w:w="0" w:type="auto"/>
        <w:tbl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insideH w:val="single" w:sz="6" w:space="0" w:color="0D0D0D" w:themeColor="text1" w:themeTint="F2"/>
          <w:insideV w:val="single" w:sz="6" w:space="0" w:color="0D0D0D" w:themeColor="text1" w:themeTint="F2"/>
        </w:tblBorders>
        <w:tblCellMar>
          <w:top w:w="86" w:type="dxa"/>
          <w:bottom w:w="86" w:type="dxa"/>
        </w:tblCellMar>
        <w:tblLook w:val="04A0" w:firstRow="1" w:lastRow="0" w:firstColumn="1" w:lastColumn="0" w:noHBand="0" w:noVBand="1"/>
      </w:tblPr>
      <w:tblGrid>
        <w:gridCol w:w="2636"/>
        <w:gridCol w:w="7701"/>
        <w:gridCol w:w="2603"/>
      </w:tblGrid>
      <w:tr w:rsidR="008D7F48" w14:paraId="3A6A6A9F" w14:textId="77777777" w:rsidTr="000B3FDE">
        <w:trPr>
          <w:trHeight w:val="417"/>
          <w:tblHeader/>
        </w:trPr>
        <w:tc>
          <w:tcPr>
            <w:tcW w:w="2636" w:type="dxa"/>
            <w:shd w:val="clear" w:color="auto" w:fill="28666E"/>
            <w:vAlign w:val="center"/>
          </w:tcPr>
          <w:p w14:paraId="1029E79F" w14:textId="72A8065A" w:rsidR="008D7F48" w:rsidRPr="00F9694B" w:rsidRDefault="008D7F48" w:rsidP="00F9694B">
            <w:pPr>
              <w:rPr>
                <w:b/>
                <w:bCs/>
                <w:color w:val="FFFFFF" w:themeColor="background1"/>
              </w:rPr>
            </w:pPr>
            <w:r w:rsidRPr="00F9694B">
              <w:rPr>
                <w:b/>
                <w:bCs/>
                <w:color w:val="FFFFFF" w:themeColor="background1"/>
              </w:rPr>
              <w:t>Heavy Metal</w:t>
            </w:r>
          </w:p>
        </w:tc>
        <w:tc>
          <w:tcPr>
            <w:tcW w:w="7709" w:type="dxa"/>
            <w:shd w:val="clear" w:color="auto" w:fill="28666E"/>
            <w:vAlign w:val="center"/>
          </w:tcPr>
          <w:p w14:paraId="32A78379" w14:textId="11E3CF6F" w:rsidR="008D7F48" w:rsidRPr="00F9694B" w:rsidRDefault="008D7F48" w:rsidP="00F9694B">
            <w:pPr>
              <w:rPr>
                <w:b/>
                <w:bCs/>
                <w:color w:val="FFFFFF" w:themeColor="background1"/>
              </w:rPr>
            </w:pPr>
            <w:r w:rsidRPr="00F9694B">
              <w:rPr>
                <w:b/>
                <w:bCs/>
                <w:color w:val="FFFFFF" w:themeColor="background1"/>
              </w:rPr>
              <w:t>Seaweed Species</w:t>
            </w:r>
          </w:p>
        </w:tc>
        <w:tc>
          <w:tcPr>
            <w:tcW w:w="2605" w:type="dxa"/>
            <w:shd w:val="clear" w:color="auto" w:fill="28666E"/>
            <w:vAlign w:val="center"/>
          </w:tcPr>
          <w:p w14:paraId="5F6B8216" w14:textId="3264DF2F" w:rsidR="008D7F48" w:rsidRPr="00F9694B" w:rsidRDefault="008D7F48" w:rsidP="00F9694B">
            <w:pPr>
              <w:rPr>
                <w:b/>
                <w:bCs/>
                <w:color w:val="FFFFFF" w:themeColor="background1"/>
              </w:rPr>
            </w:pPr>
            <w:r w:rsidRPr="00F9694B">
              <w:rPr>
                <w:b/>
                <w:bCs/>
                <w:color w:val="FFFFFF" w:themeColor="background1"/>
              </w:rPr>
              <w:t>Reference</w:t>
            </w:r>
            <w:r w:rsidR="00DC1FB2" w:rsidRPr="00F9694B">
              <w:rPr>
                <w:b/>
                <w:bCs/>
                <w:color w:val="FFFFFF" w:themeColor="background1"/>
              </w:rPr>
              <w:t>(s)</w:t>
            </w:r>
          </w:p>
        </w:tc>
      </w:tr>
      <w:tr w:rsidR="008D7F48" w14:paraId="355463BB" w14:textId="77777777" w:rsidTr="000B3FDE">
        <w:tc>
          <w:tcPr>
            <w:tcW w:w="2636" w:type="dxa"/>
          </w:tcPr>
          <w:p w14:paraId="1F892D6E" w14:textId="2EEEDA9F" w:rsidR="008D7F48" w:rsidRDefault="008D7F48" w:rsidP="008D7F48">
            <w:r>
              <w:t>Cadmium (Cd)</w:t>
            </w:r>
          </w:p>
        </w:tc>
        <w:tc>
          <w:tcPr>
            <w:tcW w:w="7709" w:type="dxa"/>
          </w:tcPr>
          <w:p w14:paraId="6CA09C5D" w14:textId="0400DA08" w:rsidR="008D7F48" w:rsidRPr="00173FBA" w:rsidRDefault="008D7F48" w:rsidP="008D7F48">
            <w:pPr>
              <w:rPr>
                <w:i/>
                <w:iCs/>
                <w:lang w:val="es-ES"/>
              </w:rPr>
            </w:pPr>
            <w:r w:rsidRPr="00173FBA">
              <w:rPr>
                <w:i/>
                <w:iCs/>
                <w:lang w:val="es-ES"/>
              </w:rPr>
              <w:t>Enteromorpha intestinalis; Enteromorpha linza; Ulva lactuca; Corrallina mediterranea; Pterocladia capillacea</w:t>
            </w:r>
          </w:p>
        </w:tc>
        <w:tc>
          <w:tcPr>
            <w:tcW w:w="2605" w:type="dxa"/>
          </w:tcPr>
          <w:p w14:paraId="689B9FF5" w14:textId="35E5A304" w:rsidR="008D7F48" w:rsidRDefault="008D7F48" w:rsidP="008D7F48">
            <w:r w:rsidRPr="008D7F48">
              <w:t xml:space="preserve">Mohammed </w:t>
            </w:r>
            <w:r>
              <w:t>&amp;</w:t>
            </w:r>
            <w:r w:rsidRPr="008D7F48">
              <w:t xml:space="preserve"> Khaled, 2005</w:t>
            </w:r>
          </w:p>
        </w:tc>
      </w:tr>
      <w:tr w:rsidR="008D7F48" w14:paraId="3C1B0FC5" w14:textId="77777777" w:rsidTr="000B3FDE">
        <w:tc>
          <w:tcPr>
            <w:tcW w:w="2636" w:type="dxa"/>
          </w:tcPr>
          <w:p w14:paraId="0182BBBA" w14:textId="41DBE088" w:rsidR="008D7F48" w:rsidRDefault="008D7F48" w:rsidP="008D7F48">
            <w:r>
              <w:t>Cadmium (Cd)</w:t>
            </w:r>
          </w:p>
        </w:tc>
        <w:tc>
          <w:tcPr>
            <w:tcW w:w="7709" w:type="dxa"/>
          </w:tcPr>
          <w:p w14:paraId="0F688A4B" w14:textId="531A442E" w:rsidR="008D7F48" w:rsidRPr="008D7F48" w:rsidRDefault="008D7F48" w:rsidP="008D7F48">
            <w:r>
              <w:rPr>
                <w:i/>
                <w:iCs/>
              </w:rPr>
              <w:t>Sargassum</w:t>
            </w:r>
            <w:r>
              <w:t xml:space="preserve"> species</w:t>
            </w:r>
          </w:p>
        </w:tc>
        <w:tc>
          <w:tcPr>
            <w:tcW w:w="2605" w:type="dxa"/>
          </w:tcPr>
          <w:p w14:paraId="388E09CF" w14:textId="205F48E9" w:rsidR="008D7F48" w:rsidRDefault="008D7F48" w:rsidP="008D7F48">
            <w:r>
              <w:t>Davis et al., 2000</w:t>
            </w:r>
          </w:p>
        </w:tc>
      </w:tr>
      <w:tr w:rsidR="008D7F48" w14:paraId="54F23785" w14:textId="77777777" w:rsidTr="000B3FDE">
        <w:tc>
          <w:tcPr>
            <w:tcW w:w="2636" w:type="dxa"/>
          </w:tcPr>
          <w:p w14:paraId="7538D852" w14:textId="2B41A06B" w:rsidR="008D7F48" w:rsidRDefault="008D7F48" w:rsidP="008D7F48">
            <w:r>
              <w:t>Cadmium (Cd)</w:t>
            </w:r>
          </w:p>
        </w:tc>
        <w:tc>
          <w:tcPr>
            <w:tcW w:w="7709" w:type="dxa"/>
          </w:tcPr>
          <w:p w14:paraId="20CFC73D" w14:textId="5863120C" w:rsidR="008D7F48" w:rsidRPr="00173FBA" w:rsidRDefault="008D7F48" w:rsidP="008D7F48">
            <w:pPr>
              <w:rPr>
                <w:lang w:val="es-ES"/>
              </w:rPr>
            </w:pPr>
            <w:r w:rsidRPr="00173FBA">
              <w:rPr>
                <w:i/>
                <w:iCs/>
                <w:lang w:val="es-ES"/>
              </w:rPr>
              <w:t>Undaria</w:t>
            </w:r>
            <w:r w:rsidRPr="00173FBA">
              <w:rPr>
                <w:lang w:val="es-ES"/>
              </w:rPr>
              <w:t xml:space="preserve"> </w:t>
            </w:r>
            <w:r w:rsidRPr="00173FBA">
              <w:rPr>
                <w:i/>
                <w:iCs/>
                <w:lang w:val="es-ES"/>
              </w:rPr>
              <w:t>pinnatifida</w:t>
            </w:r>
            <w:r w:rsidR="00E04503" w:rsidRPr="00173FBA">
              <w:rPr>
                <w:i/>
                <w:iCs/>
                <w:lang w:val="es-ES"/>
              </w:rPr>
              <w:t xml:space="preserve">; </w:t>
            </w:r>
            <w:r w:rsidRPr="00173FBA">
              <w:rPr>
                <w:i/>
                <w:iCs/>
                <w:lang w:val="es-ES"/>
              </w:rPr>
              <w:t>Himanthalia</w:t>
            </w:r>
            <w:r w:rsidRPr="00173FBA">
              <w:rPr>
                <w:lang w:val="es-ES"/>
              </w:rPr>
              <w:t xml:space="preserve"> </w:t>
            </w:r>
            <w:r w:rsidRPr="00173FBA">
              <w:rPr>
                <w:i/>
                <w:iCs/>
                <w:lang w:val="es-ES"/>
              </w:rPr>
              <w:t>elongata</w:t>
            </w:r>
            <w:r w:rsidR="00E04503" w:rsidRPr="00173FBA">
              <w:rPr>
                <w:i/>
                <w:iCs/>
                <w:lang w:val="es-ES"/>
              </w:rPr>
              <w:t xml:space="preserve">; </w:t>
            </w:r>
            <w:r w:rsidRPr="00173FBA">
              <w:rPr>
                <w:i/>
                <w:iCs/>
                <w:lang w:val="es-ES"/>
              </w:rPr>
              <w:t>Laminaria</w:t>
            </w:r>
            <w:r w:rsidRPr="00173FBA">
              <w:rPr>
                <w:lang w:val="es-ES"/>
              </w:rPr>
              <w:t xml:space="preserve"> </w:t>
            </w:r>
            <w:r w:rsidRPr="00173FBA">
              <w:rPr>
                <w:i/>
                <w:iCs/>
                <w:lang w:val="es-ES"/>
              </w:rPr>
              <w:t>ochroleuca</w:t>
            </w:r>
            <w:r w:rsidR="00E04503" w:rsidRPr="00173FBA">
              <w:rPr>
                <w:i/>
                <w:iCs/>
                <w:lang w:val="es-ES"/>
              </w:rPr>
              <w:t xml:space="preserve">; </w:t>
            </w:r>
            <w:r w:rsidRPr="00173FBA">
              <w:rPr>
                <w:lang w:val="es-ES"/>
              </w:rPr>
              <w:t xml:space="preserve">Seaweed Salad (a mix of </w:t>
            </w:r>
            <w:r w:rsidRPr="00173FBA">
              <w:rPr>
                <w:i/>
                <w:iCs/>
                <w:lang w:val="es-ES"/>
              </w:rPr>
              <w:t>Undaria</w:t>
            </w:r>
            <w:r w:rsidRPr="00173FBA">
              <w:rPr>
                <w:lang w:val="es-ES"/>
              </w:rPr>
              <w:t xml:space="preserve"> </w:t>
            </w:r>
            <w:r w:rsidRPr="00173FBA">
              <w:rPr>
                <w:i/>
                <w:iCs/>
                <w:lang w:val="es-ES"/>
              </w:rPr>
              <w:t>pinnatifida</w:t>
            </w:r>
            <w:r w:rsidRPr="00173FBA">
              <w:rPr>
                <w:lang w:val="es-ES"/>
              </w:rPr>
              <w:t xml:space="preserve">, </w:t>
            </w:r>
            <w:r w:rsidRPr="00173FBA">
              <w:rPr>
                <w:i/>
                <w:iCs/>
                <w:lang w:val="es-ES"/>
              </w:rPr>
              <w:t>Laminaria</w:t>
            </w:r>
            <w:r w:rsidRPr="00173FBA">
              <w:rPr>
                <w:lang w:val="es-ES"/>
              </w:rPr>
              <w:t xml:space="preserve"> </w:t>
            </w:r>
            <w:r w:rsidRPr="00173FBA">
              <w:rPr>
                <w:i/>
                <w:iCs/>
                <w:lang w:val="es-ES"/>
              </w:rPr>
              <w:t>ochroleuca</w:t>
            </w:r>
            <w:r w:rsidRPr="00173FBA">
              <w:rPr>
                <w:lang w:val="es-ES"/>
              </w:rPr>
              <w:t xml:space="preserve">, and </w:t>
            </w:r>
            <w:r w:rsidRPr="00173FBA">
              <w:rPr>
                <w:i/>
                <w:iCs/>
                <w:lang w:val="es-ES"/>
              </w:rPr>
              <w:t>Himanthalia</w:t>
            </w:r>
            <w:r w:rsidRPr="00173FBA">
              <w:rPr>
                <w:lang w:val="es-ES"/>
              </w:rPr>
              <w:t xml:space="preserve"> </w:t>
            </w:r>
            <w:r w:rsidRPr="00173FBA">
              <w:rPr>
                <w:i/>
                <w:iCs/>
                <w:lang w:val="es-ES"/>
              </w:rPr>
              <w:t>elongata</w:t>
            </w:r>
            <w:r w:rsidRPr="00173FBA">
              <w:rPr>
                <w:lang w:val="es-ES"/>
              </w:rPr>
              <w:t>)</w:t>
            </w:r>
          </w:p>
        </w:tc>
        <w:tc>
          <w:tcPr>
            <w:tcW w:w="2605" w:type="dxa"/>
          </w:tcPr>
          <w:p w14:paraId="5E1B35F7" w14:textId="1B065A7A" w:rsidR="008D7F48" w:rsidRDefault="008D7F48" w:rsidP="008D7F48">
            <w:r>
              <w:t>Paz et al., 2019</w:t>
            </w:r>
          </w:p>
        </w:tc>
      </w:tr>
      <w:tr w:rsidR="008D7F48" w14:paraId="4EC9E782" w14:textId="77777777" w:rsidTr="000B3FDE">
        <w:tc>
          <w:tcPr>
            <w:tcW w:w="2636" w:type="dxa"/>
          </w:tcPr>
          <w:p w14:paraId="6B48CDA5" w14:textId="0FB3E8A3" w:rsidR="008D7F48" w:rsidRDefault="008D7F48" w:rsidP="008D7F48">
            <w:r>
              <w:t>Cadmium (Cd)</w:t>
            </w:r>
          </w:p>
        </w:tc>
        <w:tc>
          <w:tcPr>
            <w:tcW w:w="7709" w:type="dxa"/>
          </w:tcPr>
          <w:p w14:paraId="63061518" w14:textId="4E9E82C6" w:rsidR="008D7F48" w:rsidRDefault="008D7F48" w:rsidP="008D7F48">
            <w:r w:rsidRPr="008D7F48">
              <w:rPr>
                <w:i/>
                <w:iCs/>
              </w:rPr>
              <w:t>Saccharina</w:t>
            </w:r>
            <w:r w:rsidR="00E04503">
              <w:rPr>
                <w:i/>
                <w:iCs/>
              </w:rPr>
              <w:t>;</w:t>
            </w:r>
            <w:r>
              <w:t xml:space="preserve"> </w:t>
            </w:r>
            <w:r w:rsidRPr="008D7F48">
              <w:rPr>
                <w:i/>
                <w:iCs/>
              </w:rPr>
              <w:t>Himanthalia</w:t>
            </w:r>
            <w:r w:rsidR="00E04503">
              <w:t>;</w:t>
            </w:r>
            <w:r>
              <w:t xml:space="preserve"> </w:t>
            </w:r>
            <w:r w:rsidRPr="008D7F48">
              <w:rPr>
                <w:i/>
                <w:iCs/>
              </w:rPr>
              <w:t>Laminaria</w:t>
            </w:r>
            <w:r w:rsidR="00E04503">
              <w:t>;</w:t>
            </w:r>
            <w:r>
              <w:t xml:space="preserve"> </w:t>
            </w:r>
            <w:r w:rsidRPr="008D7F48">
              <w:rPr>
                <w:i/>
                <w:iCs/>
              </w:rPr>
              <w:t>Ascophyllum</w:t>
            </w:r>
            <w:r w:rsidR="00E04503">
              <w:rPr>
                <w:i/>
                <w:iCs/>
              </w:rPr>
              <w:t>;</w:t>
            </w:r>
            <w:r>
              <w:t xml:space="preserve"> </w:t>
            </w:r>
            <w:r w:rsidRPr="008D7F48">
              <w:rPr>
                <w:i/>
                <w:iCs/>
              </w:rPr>
              <w:t>Undaria</w:t>
            </w:r>
            <w:r w:rsidR="00E04503">
              <w:t xml:space="preserve">; </w:t>
            </w:r>
            <w:r w:rsidRPr="008D7F48">
              <w:rPr>
                <w:i/>
                <w:iCs/>
              </w:rPr>
              <w:t>Porphyra</w:t>
            </w:r>
            <w:r w:rsidR="00E04503">
              <w:t xml:space="preserve">; </w:t>
            </w:r>
            <w:r w:rsidRPr="008D7F48">
              <w:rPr>
                <w:i/>
                <w:iCs/>
              </w:rPr>
              <w:t>Palmaria</w:t>
            </w:r>
            <w:r w:rsidR="00E04503">
              <w:t xml:space="preserve">; </w:t>
            </w:r>
            <w:r w:rsidRPr="008D7F48">
              <w:rPr>
                <w:i/>
                <w:iCs/>
              </w:rPr>
              <w:t>Ulva</w:t>
            </w:r>
            <w:r w:rsidR="00E04503">
              <w:rPr>
                <w:i/>
                <w:iCs/>
              </w:rPr>
              <w:t xml:space="preserve"> </w:t>
            </w:r>
            <w:r w:rsidR="00E04503" w:rsidRPr="00E04503">
              <w:t>species</w:t>
            </w:r>
            <w:r w:rsidR="00E04503">
              <w:t xml:space="preserve">; </w:t>
            </w:r>
            <w:r>
              <w:t>Mixed samples (combining various seaweed types).</w:t>
            </w:r>
          </w:p>
        </w:tc>
        <w:tc>
          <w:tcPr>
            <w:tcW w:w="2605" w:type="dxa"/>
          </w:tcPr>
          <w:p w14:paraId="7B64381F" w14:textId="76BBC846" w:rsidR="008D7F48" w:rsidRDefault="008D7F48" w:rsidP="008D7F48">
            <w:r>
              <w:t>Filippini et al., 2021</w:t>
            </w:r>
          </w:p>
        </w:tc>
      </w:tr>
      <w:tr w:rsidR="008D7F48" w14:paraId="3B193F24" w14:textId="77777777" w:rsidTr="000B3FDE">
        <w:tc>
          <w:tcPr>
            <w:tcW w:w="2636" w:type="dxa"/>
          </w:tcPr>
          <w:p w14:paraId="32C355F2" w14:textId="03F07ECC" w:rsidR="008D7F48" w:rsidRDefault="008D7F48" w:rsidP="008D7F48">
            <w:r>
              <w:t>Cadmium (Cd)</w:t>
            </w:r>
          </w:p>
        </w:tc>
        <w:tc>
          <w:tcPr>
            <w:tcW w:w="7709" w:type="dxa"/>
          </w:tcPr>
          <w:p w14:paraId="0AC4F817" w14:textId="3899F91D" w:rsidR="008D7F48" w:rsidRPr="00173FBA" w:rsidRDefault="008D7F48" w:rsidP="008D7F48">
            <w:pPr>
              <w:rPr>
                <w:lang w:val="es-ES"/>
              </w:rPr>
            </w:pPr>
            <w:r w:rsidRPr="00173FBA">
              <w:rPr>
                <w:i/>
                <w:iCs/>
                <w:lang w:val="es-ES"/>
              </w:rPr>
              <w:t>Gracilaria</w:t>
            </w:r>
            <w:r w:rsidRPr="00173FBA">
              <w:rPr>
                <w:lang w:val="es-ES"/>
              </w:rPr>
              <w:t xml:space="preserve"> </w:t>
            </w:r>
            <w:r w:rsidRPr="00173FBA">
              <w:rPr>
                <w:i/>
                <w:iCs/>
                <w:lang w:val="es-ES"/>
              </w:rPr>
              <w:t>chouae</w:t>
            </w:r>
            <w:r w:rsidR="00E04503" w:rsidRPr="00173FBA">
              <w:rPr>
                <w:lang w:val="es-ES"/>
              </w:rPr>
              <w:t>;</w:t>
            </w:r>
            <w:r w:rsidRPr="00173FBA">
              <w:rPr>
                <w:lang w:val="es-ES"/>
              </w:rPr>
              <w:t xml:space="preserve"> </w:t>
            </w:r>
            <w:r w:rsidRPr="00173FBA">
              <w:rPr>
                <w:i/>
                <w:iCs/>
                <w:lang w:val="es-ES"/>
              </w:rPr>
              <w:t>Ulva</w:t>
            </w:r>
            <w:r w:rsidRPr="00173FBA">
              <w:rPr>
                <w:lang w:val="es-ES"/>
              </w:rPr>
              <w:t xml:space="preserve"> </w:t>
            </w:r>
            <w:r w:rsidRPr="00173FBA">
              <w:rPr>
                <w:i/>
                <w:iCs/>
                <w:lang w:val="es-ES"/>
              </w:rPr>
              <w:t>fasciata</w:t>
            </w:r>
            <w:r w:rsidR="00E04503" w:rsidRPr="00173FBA">
              <w:rPr>
                <w:lang w:val="es-ES"/>
              </w:rPr>
              <w:t>;</w:t>
            </w:r>
            <w:r w:rsidRPr="00173FBA">
              <w:rPr>
                <w:lang w:val="es-ES"/>
              </w:rPr>
              <w:t xml:space="preserve"> </w:t>
            </w:r>
            <w:r w:rsidRPr="00173FBA">
              <w:rPr>
                <w:i/>
                <w:iCs/>
                <w:lang w:val="es-ES"/>
              </w:rPr>
              <w:t>Pelvetia</w:t>
            </w:r>
            <w:r w:rsidRPr="00173FBA">
              <w:rPr>
                <w:lang w:val="es-ES"/>
              </w:rPr>
              <w:t xml:space="preserve"> </w:t>
            </w:r>
            <w:r w:rsidRPr="00173FBA">
              <w:rPr>
                <w:i/>
                <w:iCs/>
                <w:lang w:val="es-ES"/>
              </w:rPr>
              <w:t>siliguosa</w:t>
            </w:r>
          </w:p>
        </w:tc>
        <w:tc>
          <w:tcPr>
            <w:tcW w:w="2605" w:type="dxa"/>
          </w:tcPr>
          <w:p w14:paraId="416E2F4C" w14:textId="4E447F1F" w:rsidR="008D7F48" w:rsidRDefault="008D7F48" w:rsidP="008D7F48">
            <w:r>
              <w:t>Sun et al., 2019</w:t>
            </w:r>
          </w:p>
        </w:tc>
      </w:tr>
      <w:tr w:rsidR="008D7F48" w14:paraId="241AEB59" w14:textId="77777777" w:rsidTr="000B3FDE">
        <w:tc>
          <w:tcPr>
            <w:tcW w:w="2636" w:type="dxa"/>
          </w:tcPr>
          <w:p w14:paraId="52981B53" w14:textId="3C3D19D2" w:rsidR="008D7F48" w:rsidRDefault="008D7F48" w:rsidP="008D7F48">
            <w:r>
              <w:t>Cadmium (Cd)</w:t>
            </w:r>
          </w:p>
        </w:tc>
        <w:tc>
          <w:tcPr>
            <w:tcW w:w="7709" w:type="dxa"/>
          </w:tcPr>
          <w:p w14:paraId="305D116D" w14:textId="27A43E1B" w:rsidR="008D7F48" w:rsidRPr="008D7F48" w:rsidRDefault="008D7F48" w:rsidP="008D7F48">
            <w:pPr>
              <w:rPr>
                <w:i/>
                <w:iCs/>
              </w:rPr>
            </w:pPr>
            <w:r>
              <w:rPr>
                <w:i/>
                <w:iCs/>
              </w:rPr>
              <w:t>Fucus vesiculosus</w:t>
            </w:r>
          </w:p>
        </w:tc>
        <w:tc>
          <w:tcPr>
            <w:tcW w:w="2605" w:type="dxa"/>
          </w:tcPr>
          <w:p w14:paraId="7D724701" w14:textId="17AB085A" w:rsidR="008D7F48" w:rsidRDefault="008D7F48" w:rsidP="008D7F48">
            <w:r>
              <w:t>Guisti et al., 2001</w:t>
            </w:r>
          </w:p>
        </w:tc>
      </w:tr>
      <w:tr w:rsidR="008D7F48" w14:paraId="5DFF0973" w14:textId="77777777" w:rsidTr="000B3FDE">
        <w:tc>
          <w:tcPr>
            <w:tcW w:w="2636" w:type="dxa"/>
          </w:tcPr>
          <w:p w14:paraId="37C38415" w14:textId="0F147298" w:rsidR="008D7F48" w:rsidRDefault="008D7F48" w:rsidP="008D7F48">
            <w:r>
              <w:t>Cadmium (Cd)</w:t>
            </w:r>
          </w:p>
        </w:tc>
        <w:tc>
          <w:tcPr>
            <w:tcW w:w="7709" w:type="dxa"/>
          </w:tcPr>
          <w:p w14:paraId="62AEEFCB" w14:textId="02EA5AA5" w:rsidR="008D7F48" w:rsidRDefault="008D7F48" w:rsidP="008D7F48">
            <w:r w:rsidRPr="008D7F48">
              <w:rPr>
                <w:i/>
                <w:iCs/>
              </w:rPr>
              <w:t>Ulva</w:t>
            </w:r>
            <w:r>
              <w:t xml:space="preserve"> species</w:t>
            </w:r>
            <w:r w:rsidR="00E04503">
              <w:t xml:space="preserve">; </w:t>
            </w:r>
            <w:r w:rsidRPr="008D7F48">
              <w:rPr>
                <w:i/>
                <w:iCs/>
              </w:rPr>
              <w:t>Durvillaea</w:t>
            </w:r>
            <w:r>
              <w:t xml:space="preserve"> </w:t>
            </w:r>
            <w:r w:rsidR="00E04503">
              <w:rPr>
                <w:i/>
                <w:iCs/>
              </w:rPr>
              <w:t>incurvate</w:t>
            </w:r>
            <w:r w:rsidR="00E04503">
              <w:t>;</w:t>
            </w:r>
            <w:r>
              <w:t xml:space="preserve"> </w:t>
            </w:r>
            <w:r w:rsidRPr="008D7F48">
              <w:rPr>
                <w:i/>
                <w:iCs/>
              </w:rPr>
              <w:t>Lessonia</w:t>
            </w:r>
            <w:r>
              <w:t xml:space="preserve"> </w:t>
            </w:r>
            <w:r w:rsidRPr="008D7F48">
              <w:rPr>
                <w:i/>
                <w:iCs/>
              </w:rPr>
              <w:t>spicata</w:t>
            </w:r>
            <w:r w:rsidR="00E04503">
              <w:t>;</w:t>
            </w:r>
            <w:r>
              <w:t xml:space="preserve"> </w:t>
            </w:r>
            <w:r w:rsidRPr="008D7F48">
              <w:rPr>
                <w:i/>
                <w:iCs/>
              </w:rPr>
              <w:t>Lessonia</w:t>
            </w:r>
            <w:r>
              <w:t xml:space="preserve"> </w:t>
            </w:r>
            <w:r w:rsidRPr="008D7F48">
              <w:rPr>
                <w:i/>
                <w:iCs/>
              </w:rPr>
              <w:t>berteroana</w:t>
            </w:r>
            <w:r w:rsidR="00E04503">
              <w:t xml:space="preserve">; </w:t>
            </w:r>
            <w:r w:rsidRPr="008D7F48">
              <w:rPr>
                <w:i/>
                <w:iCs/>
              </w:rPr>
              <w:t>Lessonia</w:t>
            </w:r>
            <w:r>
              <w:t xml:space="preserve"> </w:t>
            </w:r>
            <w:r w:rsidR="00E04503">
              <w:rPr>
                <w:i/>
                <w:iCs/>
              </w:rPr>
              <w:t>trabeculate</w:t>
            </w:r>
            <w:r w:rsidR="00E04503">
              <w:t>;</w:t>
            </w:r>
            <w:r>
              <w:t xml:space="preserve"> </w:t>
            </w:r>
            <w:r w:rsidRPr="008D7F48">
              <w:rPr>
                <w:i/>
                <w:iCs/>
              </w:rPr>
              <w:t>Macrocystis</w:t>
            </w:r>
            <w:r>
              <w:t xml:space="preserve"> </w:t>
            </w:r>
            <w:r w:rsidRPr="008D7F48">
              <w:rPr>
                <w:i/>
                <w:iCs/>
              </w:rPr>
              <w:t>pyrifera</w:t>
            </w:r>
            <w:r w:rsidR="00E04503">
              <w:rPr>
                <w:i/>
                <w:iCs/>
              </w:rPr>
              <w:t xml:space="preserve">; </w:t>
            </w:r>
            <w:r w:rsidRPr="008D7F48">
              <w:rPr>
                <w:i/>
                <w:iCs/>
              </w:rPr>
              <w:t>Gracilaria</w:t>
            </w:r>
            <w:r>
              <w:t xml:space="preserve"> </w:t>
            </w:r>
            <w:r w:rsidRPr="008D7F48">
              <w:rPr>
                <w:i/>
                <w:iCs/>
              </w:rPr>
              <w:t>chilensis</w:t>
            </w:r>
            <w:r w:rsidR="00E04503">
              <w:t xml:space="preserve">; </w:t>
            </w:r>
            <w:r w:rsidRPr="008D7F48">
              <w:rPr>
                <w:i/>
                <w:iCs/>
              </w:rPr>
              <w:t>Chondracanthus</w:t>
            </w:r>
            <w:r>
              <w:t xml:space="preserve"> </w:t>
            </w:r>
            <w:r w:rsidRPr="008D7F48">
              <w:rPr>
                <w:i/>
                <w:iCs/>
              </w:rPr>
              <w:t>chamissoi</w:t>
            </w:r>
            <w:r w:rsidR="00E04503">
              <w:t>;</w:t>
            </w:r>
            <w:r>
              <w:t xml:space="preserve"> </w:t>
            </w:r>
            <w:r w:rsidRPr="008D7F48">
              <w:rPr>
                <w:i/>
                <w:iCs/>
              </w:rPr>
              <w:t>Cryptonemia</w:t>
            </w:r>
            <w:r>
              <w:t xml:space="preserve"> </w:t>
            </w:r>
            <w:r w:rsidR="00E04503">
              <w:rPr>
                <w:i/>
                <w:iCs/>
              </w:rPr>
              <w:t>obovate</w:t>
            </w:r>
            <w:r w:rsidR="00E04503">
              <w:t>;</w:t>
            </w:r>
            <w:r>
              <w:t xml:space="preserve"> </w:t>
            </w:r>
            <w:r w:rsidRPr="008D7F48">
              <w:rPr>
                <w:i/>
                <w:iCs/>
              </w:rPr>
              <w:t>Sarcodiotheca</w:t>
            </w:r>
            <w:r>
              <w:t xml:space="preserve"> </w:t>
            </w:r>
            <w:r w:rsidRPr="008D7F48">
              <w:rPr>
                <w:i/>
                <w:iCs/>
              </w:rPr>
              <w:t>gaudichaudii</w:t>
            </w:r>
            <w:r w:rsidR="00E04503">
              <w:t>;</w:t>
            </w:r>
            <w:r>
              <w:t xml:space="preserve"> </w:t>
            </w:r>
            <w:r w:rsidRPr="008D7F48">
              <w:rPr>
                <w:i/>
                <w:iCs/>
              </w:rPr>
              <w:t>Acrosorium</w:t>
            </w:r>
            <w:r>
              <w:t xml:space="preserve"> species</w:t>
            </w:r>
          </w:p>
        </w:tc>
        <w:tc>
          <w:tcPr>
            <w:tcW w:w="2605" w:type="dxa"/>
          </w:tcPr>
          <w:p w14:paraId="6C323A9A" w14:textId="169FF9BE" w:rsidR="008D7F48" w:rsidRDefault="008D7F48" w:rsidP="008D7F48">
            <w:r w:rsidRPr="008D7F48">
              <w:t>Véliz et al., 2023</w:t>
            </w:r>
          </w:p>
        </w:tc>
      </w:tr>
      <w:tr w:rsidR="008D7F48" w14:paraId="10D2C205" w14:textId="77777777" w:rsidTr="000B3FDE">
        <w:tc>
          <w:tcPr>
            <w:tcW w:w="2636" w:type="dxa"/>
          </w:tcPr>
          <w:p w14:paraId="7B330ABB" w14:textId="1E7CFAE0" w:rsidR="008D7F48" w:rsidRDefault="008D7F48" w:rsidP="008D7F48">
            <w:r>
              <w:t>Cadmium (Cd)</w:t>
            </w:r>
          </w:p>
        </w:tc>
        <w:tc>
          <w:tcPr>
            <w:tcW w:w="7709" w:type="dxa"/>
          </w:tcPr>
          <w:p w14:paraId="487FF0A8" w14:textId="070B8234" w:rsidR="008D7F48" w:rsidRPr="00173FBA" w:rsidRDefault="008D7F48" w:rsidP="008D7F48">
            <w:pPr>
              <w:rPr>
                <w:lang w:val="es-ES"/>
              </w:rPr>
            </w:pPr>
            <w:r w:rsidRPr="00173FBA">
              <w:rPr>
                <w:i/>
                <w:iCs/>
                <w:lang w:val="es-ES"/>
              </w:rPr>
              <w:t>Eisenia</w:t>
            </w:r>
            <w:r w:rsidRPr="00173FBA">
              <w:rPr>
                <w:lang w:val="es-ES"/>
              </w:rPr>
              <w:t xml:space="preserve"> </w:t>
            </w:r>
            <w:r w:rsidRPr="00173FBA">
              <w:rPr>
                <w:i/>
                <w:iCs/>
                <w:lang w:val="es-ES"/>
              </w:rPr>
              <w:t>bicyclis</w:t>
            </w:r>
            <w:r w:rsidR="00E04503" w:rsidRPr="00173FBA">
              <w:rPr>
                <w:lang w:val="es-ES"/>
              </w:rPr>
              <w:t>;</w:t>
            </w:r>
            <w:r w:rsidRPr="00173FBA">
              <w:rPr>
                <w:lang w:val="es-ES"/>
              </w:rPr>
              <w:t xml:space="preserve"> </w:t>
            </w:r>
            <w:r w:rsidRPr="00173FBA">
              <w:rPr>
                <w:i/>
                <w:iCs/>
                <w:lang w:val="es-ES"/>
              </w:rPr>
              <w:t>Himanthalia</w:t>
            </w:r>
            <w:r w:rsidRPr="00173FBA">
              <w:rPr>
                <w:lang w:val="es-ES"/>
              </w:rPr>
              <w:t xml:space="preserve"> </w:t>
            </w:r>
            <w:r w:rsidRPr="00173FBA">
              <w:rPr>
                <w:i/>
                <w:iCs/>
                <w:lang w:val="es-ES"/>
              </w:rPr>
              <w:t>elongata</w:t>
            </w:r>
            <w:r w:rsidR="00E04503" w:rsidRPr="00173FBA">
              <w:rPr>
                <w:i/>
                <w:iCs/>
                <w:lang w:val="es-ES"/>
              </w:rPr>
              <w:t xml:space="preserve">; </w:t>
            </w:r>
            <w:r w:rsidRPr="00173FBA">
              <w:rPr>
                <w:i/>
                <w:iCs/>
                <w:lang w:val="es-ES"/>
              </w:rPr>
              <w:t>Hizikia</w:t>
            </w:r>
            <w:r w:rsidRPr="00173FBA">
              <w:rPr>
                <w:lang w:val="es-ES"/>
              </w:rPr>
              <w:t xml:space="preserve"> </w:t>
            </w:r>
            <w:r w:rsidRPr="00173FBA">
              <w:rPr>
                <w:i/>
                <w:iCs/>
                <w:lang w:val="es-ES"/>
              </w:rPr>
              <w:t>fusiforme</w:t>
            </w:r>
            <w:r w:rsidR="00E04503" w:rsidRPr="00173FBA">
              <w:rPr>
                <w:lang w:val="es-ES"/>
              </w:rPr>
              <w:t>;</w:t>
            </w:r>
            <w:r w:rsidRPr="00173FBA">
              <w:rPr>
                <w:lang w:val="es-ES"/>
              </w:rPr>
              <w:t xml:space="preserve"> </w:t>
            </w:r>
            <w:r w:rsidRPr="00173FBA">
              <w:rPr>
                <w:i/>
                <w:iCs/>
                <w:lang w:val="es-ES"/>
              </w:rPr>
              <w:t>Laminaria</w:t>
            </w:r>
            <w:r w:rsidRPr="00173FBA">
              <w:rPr>
                <w:lang w:val="es-ES"/>
              </w:rPr>
              <w:t xml:space="preserve"> sp</w:t>
            </w:r>
            <w:r w:rsidR="00E04503" w:rsidRPr="00173FBA">
              <w:rPr>
                <w:lang w:val="es-ES"/>
              </w:rPr>
              <w:t xml:space="preserve">ecies; </w:t>
            </w:r>
            <w:r w:rsidRPr="00173FBA">
              <w:rPr>
                <w:i/>
                <w:iCs/>
                <w:lang w:val="es-ES"/>
              </w:rPr>
              <w:t>Undaria</w:t>
            </w:r>
            <w:r w:rsidRPr="00173FBA">
              <w:rPr>
                <w:lang w:val="es-ES"/>
              </w:rPr>
              <w:t xml:space="preserve"> </w:t>
            </w:r>
            <w:r w:rsidRPr="00173FBA">
              <w:rPr>
                <w:i/>
                <w:iCs/>
                <w:lang w:val="es-ES"/>
              </w:rPr>
              <w:t>pinnatifida</w:t>
            </w:r>
            <w:r w:rsidR="00E04503" w:rsidRPr="00173FBA">
              <w:rPr>
                <w:lang w:val="es-ES"/>
              </w:rPr>
              <w:t xml:space="preserve">; </w:t>
            </w:r>
            <w:r w:rsidRPr="00173FBA">
              <w:rPr>
                <w:i/>
                <w:iCs/>
                <w:lang w:val="es-ES"/>
              </w:rPr>
              <w:t>Ulva</w:t>
            </w:r>
            <w:r w:rsidRPr="00173FBA">
              <w:rPr>
                <w:lang w:val="es-ES"/>
              </w:rPr>
              <w:t xml:space="preserve"> </w:t>
            </w:r>
            <w:r w:rsidRPr="00173FBA">
              <w:rPr>
                <w:i/>
                <w:iCs/>
                <w:lang w:val="es-ES"/>
              </w:rPr>
              <w:t>rigida</w:t>
            </w:r>
            <w:r w:rsidR="00E04503" w:rsidRPr="00173FBA">
              <w:rPr>
                <w:lang w:val="es-ES"/>
              </w:rPr>
              <w:t xml:space="preserve">; </w:t>
            </w:r>
            <w:r w:rsidRPr="00173FBA">
              <w:rPr>
                <w:i/>
                <w:iCs/>
                <w:lang w:val="es-ES"/>
              </w:rPr>
              <w:t>Gelidium</w:t>
            </w:r>
            <w:r w:rsidRPr="00173FBA">
              <w:rPr>
                <w:lang w:val="es-ES"/>
              </w:rPr>
              <w:t xml:space="preserve"> species</w:t>
            </w:r>
            <w:r w:rsidR="00E04503" w:rsidRPr="00173FBA">
              <w:rPr>
                <w:lang w:val="es-ES"/>
              </w:rPr>
              <w:t>;</w:t>
            </w:r>
            <w:r w:rsidRPr="00173FBA">
              <w:rPr>
                <w:lang w:val="es-ES"/>
              </w:rPr>
              <w:t xml:space="preserve"> </w:t>
            </w:r>
            <w:r w:rsidRPr="00173FBA">
              <w:rPr>
                <w:i/>
                <w:iCs/>
                <w:lang w:val="es-ES"/>
              </w:rPr>
              <w:t>Chondrus</w:t>
            </w:r>
            <w:r w:rsidRPr="00173FBA">
              <w:rPr>
                <w:lang w:val="es-ES"/>
              </w:rPr>
              <w:t xml:space="preserve"> </w:t>
            </w:r>
            <w:r w:rsidRPr="00173FBA">
              <w:rPr>
                <w:i/>
                <w:iCs/>
                <w:lang w:val="es-ES"/>
              </w:rPr>
              <w:t>crispus</w:t>
            </w:r>
            <w:r w:rsidR="00E04503" w:rsidRPr="00173FBA">
              <w:rPr>
                <w:lang w:val="es-ES"/>
              </w:rPr>
              <w:t xml:space="preserve">; </w:t>
            </w:r>
            <w:r w:rsidRPr="00173FBA">
              <w:rPr>
                <w:i/>
                <w:iCs/>
                <w:lang w:val="es-ES"/>
              </w:rPr>
              <w:t>Porphyra</w:t>
            </w:r>
            <w:r w:rsidRPr="00173FBA">
              <w:rPr>
                <w:lang w:val="es-ES"/>
              </w:rPr>
              <w:t xml:space="preserve"> </w:t>
            </w:r>
            <w:r w:rsidR="006D17D6" w:rsidRPr="00173FBA">
              <w:rPr>
                <w:i/>
                <w:iCs/>
                <w:lang w:val="es-ES"/>
              </w:rPr>
              <w:t>umbilicalis</w:t>
            </w:r>
          </w:p>
          <w:p w14:paraId="702F8EE2" w14:textId="7C1631F9" w:rsidR="008D7F48" w:rsidRDefault="008D7F48" w:rsidP="008D7F48">
            <w:r>
              <w:lastRenderedPageBreak/>
              <w:t xml:space="preserve">Mixed seaweed products: Seaweed salad (mixtures of </w:t>
            </w:r>
            <w:r w:rsidR="00B67A7C">
              <w:t>w</w:t>
            </w:r>
            <w:r>
              <w:t xml:space="preserve">akame, </w:t>
            </w:r>
            <w:r w:rsidR="00B67A7C">
              <w:t>n</w:t>
            </w:r>
            <w:r>
              <w:t xml:space="preserve">ori, and </w:t>
            </w:r>
            <w:r w:rsidR="00B67A7C">
              <w:t>s</w:t>
            </w:r>
            <w:r>
              <w:t xml:space="preserve">ea lettuce) and Algae salad (mixtures of </w:t>
            </w:r>
            <w:r w:rsidR="00B67A7C">
              <w:t>w</w:t>
            </w:r>
            <w:r>
              <w:t xml:space="preserve">akame, </w:t>
            </w:r>
            <w:r w:rsidR="00B67A7C">
              <w:t>o</w:t>
            </w:r>
            <w:r>
              <w:t xml:space="preserve">gonori, </w:t>
            </w:r>
            <w:r w:rsidR="00B67A7C">
              <w:t>k</w:t>
            </w:r>
            <w:r>
              <w:t xml:space="preserve">ombu, </w:t>
            </w:r>
            <w:r w:rsidR="00B67A7C">
              <w:t>a</w:t>
            </w:r>
            <w:r>
              <w:t xml:space="preserve">gar, and </w:t>
            </w:r>
            <w:r w:rsidR="00B67A7C">
              <w:t>a</w:t>
            </w:r>
            <w:r>
              <w:t>kamodoki).</w:t>
            </w:r>
          </w:p>
        </w:tc>
        <w:tc>
          <w:tcPr>
            <w:tcW w:w="2605" w:type="dxa"/>
          </w:tcPr>
          <w:p w14:paraId="6B89641E" w14:textId="48BFC845" w:rsidR="008D7F48" w:rsidRDefault="008D7F48" w:rsidP="008D7F48">
            <w:r w:rsidRPr="008D7F48">
              <w:lastRenderedPageBreak/>
              <w:t>Besada et al., 2009</w:t>
            </w:r>
          </w:p>
        </w:tc>
      </w:tr>
      <w:tr w:rsidR="008D7F48" w14:paraId="2BAEAB75" w14:textId="77777777" w:rsidTr="000B3FDE">
        <w:tc>
          <w:tcPr>
            <w:tcW w:w="2636" w:type="dxa"/>
          </w:tcPr>
          <w:p w14:paraId="0069FBAF" w14:textId="3BB12C0E" w:rsidR="008D7F48" w:rsidRDefault="008D7F48" w:rsidP="008D7F48">
            <w:r>
              <w:t>Cadmium (Cd)</w:t>
            </w:r>
          </w:p>
        </w:tc>
        <w:tc>
          <w:tcPr>
            <w:tcW w:w="7709" w:type="dxa"/>
          </w:tcPr>
          <w:p w14:paraId="7CE90F15" w14:textId="51D48A3E" w:rsidR="008D7F48" w:rsidRPr="00173FBA" w:rsidRDefault="008D7F48" w:rsidP="008D7F48">
            <w:pPr>
              <w:rPr>
                <w:lang w:val="es-ES"/>
              </w:rPr>
            </w:pPr>
            <w:r w:rsidRPr="00173FBA">
              <w:rPr>
                <w:i/>
                <w:iCs/>
                <w:lang w:val="es-ES"/>
              </w:rPr>
              <w:t>Saccharina</w:t>
            </w:r>
            <w:r w:rsidRPr="00173FBA">
              <w:rPr>
                <w:lang w:val="es-ES"/>
              </w:rPr>
              <w:t xml:space="preserve"> </w:t>
            </w:r>
            <w:r w:rsidRPr="00173FBA">
              <w:rPr>
                <w:i/>
                <w:iCs/>
                <w:lang w:val="es-ES"/>
              </w:rPr>
              <w:t>latissima</w:t>
            </w:r>
            <w:r w:rsidR="00E04503" w:rsidRPr="00173FBA">
              <w:rPr>
                <w:i/>
                <w:iCs/>
                <w:lang w:val="es-ES"/>
              </w:rPr>
              <w:t xml:space="preserve">; </w:t>
            </w:r>
            <w:r w:rsidRPr="00173FBA">
              <w:rPr>
                <w:i/>
                <w:iCs/>
                <w:lang w:val="es-ES"/>
              </w:rPr>
              <w:t>Alaria</w:t>
            </w:r>
            <w:r w:rsidRPr="00173FBA">
              <w:rPr>
                <w:lang w:val="es-ES"/>
              </w:rPr>
              <w:t xml:space="preserve"> </w:t>
            </w:r>
            <w:r w:rsidRPr="00173FBA">
              <w:rPr>
                <w:i/>
                <w:iCs/>
                <w:lang w:val="es-ES"/>
              </w:rPr>
              <w:t>esculenta</w:t>
            </w:r>
            <w:r w:rsidR="00E04503" w:rsidRPr="00173FBA">
              <w:rPr>
                <w:i/>
                <w:iCs/>
                <w:lang w:val="es-ES"/>
              </w:rPr>
              <w:t xml:space="preserve">; </w:t>
            </w:r>
            <w:r w:rsidRPr="00173FBA">
              <w:rPr>
                <w:i/>
                <w:iCs/>
                <w:lang w:val="es-ES"/>
              </w:rPr>
              <w:t>Palmaria</w:t>
            </w:r>
            <w:r w:rsidRPr="00173FBA">
              <w:rPr>
                <w:lang w:val="es-ES"/>
              </w:rPr>
              <w:t xml:space="preserve"> </w:t>
            </w:r>
            <w:r w:rsidRPr="00173FBA">
              <w:rPr>
                <w:i/>
                <w:iCs/>
                <w:lang w:val="es-ES"/>
              </w:rPr>
              <w:t>palmata</w:t>
            </w:r>
          </w:p>
        </w:tc>
        <w:tc>
          <w:tcPr>
            <w:tcW w:w="2605" w:type="dxa"/>
          </w:tcPr>
          <w:p w14:paraId="13F4A6C6" w14:textId="3FA29B89" w:rsidR="008D7F48" w:rsidRDefault="008D7F48" w:rsidP="008D7F48">
            <w:r w:rsidRPr="008D7F48">
              <w:t>Roleda et al., 2019</w:t>
            </w:r>
          </w:p>
        </w:tc>
      </w:tr>
      <w:tr w:rsidR="008D7F48" w14:paraId="065ED904" w14:textId="77777777" w:rsidTr="000B3FDE">
        <w:tc>
          <w:tcPr>
            <w:tcW w:w="2636" w:type="dxa"/>
          </w:tcPr>
          <w:p w14:paraId="66F483D0" w14:textId="16F3F645" w:rsidR="008D7F48" w:rsidRDefault="008D7F48" w:rsidP="008D7F48">
            <w:r>
              <w:t>Cadmium (Cd)</w:t>
            </w:r>
          </w:p>
        </w:tc>
        <w:tc>
          <w:tcPr>
            <w:tcW w:w="7709" w:type="dxa"/>
          </w:tcPr>
          <w:p w14:paraId="4D71BA5F" w14:textId="12C03E24" w:rsidR="008D7F48" w:rsidRDefault="008D7F48" w:rsidP="008D7F48">
            <w:r w:rsidRPr="008D7F48">
              <w:rPr>
                <w:i/>
                <w:iCs/>
              </w:rPr>
              <w:t>Ulva</w:t>
            </w:r>
            <w:r>
              <w:t xml:space="preserve"> </w:t>
            </w:r>
            <w:r w:rsidRPr="008D7F48">
              <w:rPr>
                <w:i/>
                <w:iCs/>
              </w:rPr>
              <w:t>lactuca</w:t>
            </w:r>
            <w:r w:rsidR="00E04503">
              <w:rPr>
                <w:i/>
                <w:iCs/>
              </w:rPr>
              <w:t xml:space="preserve">; </w:t>
            </w:r>
            <w:r w:rsidRPr="008D7F48">
              <w:rPr>
                <w:i/>
                <w:iCs/>
              </w:rPr>
              <w:t>Agardhiella</w:t>
            </w:r>
            <w:r>
              <w:t xml:space="preserve"> </w:t>
            </w:r>
            <w:r w:rsidRPr="008D7F48">
              <w:rPr>
                <w:i/>
                <w:iCs/>
              </w:rPr>
              <w:t>subulata</w:t>
            </w:r>
          </w:p>
        </w:tc>
        <w:tc>
          <w:tcPr>
            <w:tcW w:w="2605" w:type="dxa"/>
          </w:tcPr>
          <w:p w14:paraId="1F07B95D" w14:textId="2EDDE1B5" w:rsidR="008D7F48" w:rsidRDefault="008D7F48" w:rsidP="008D7F48">
            <w:r w:rsidRPr="008D7F48">
              <w:t>Jarvis et al., 2015</w:t>
            </w:r>
          </w:p>
        </w:tc>
      </w:tr>
      <w:tr w:rsidR="008D7F48" w14:paraId="30F11BF5" w14:textId="77777777" w:rsidTr="000B3FDE">
        <w:tc>
          <w:tcPr>
            <w:tcW w:w="2636" w:type="dxa"/>
          </w:tcPr>
          <w:p w14:paraId="7FB812B7" w14:textId="283B7F19" w:rsidR="008D7F48" w:rsidRDefault="008D7F48" w:rsidP="008D7F48">
            <w:r>
              <w:t>Cadmium (Cd)</w:t>
            </w:r>
          </w:p>
        </w:tc>
        <w:tc>
          <w:tcPr>
            <w:tcW w:w="7709" w:type="dxa"/>
          </w:tcPr>
          <w:p w14:paraId="53B2F363" w14:textId="06D381A4" w:rsidR="008D7F48" w:rsidRPr="00173FBA" w:rsidRDefault="008D7F48" w:rsidP="008D7F48">
            <w:pPr>
              <w:rPr>
                <w:lang w:val="es-ES"/>
              </w:rPr>
            </w:pPr>
            <w:r w:rsidRPr="00173FBA">
              <w:rPr>
                <w:i/>
                <w:iCs/>
                <w:lang w:val="es-ES"/>
              </w:rPr>
              <w:t>Ulva</w:t>
            </w:r>
            <w:r w:rsidRPr="00173FBA">
              <w:rPr>
                <w:lang w:val="es-ES"/>
              </w:rPr>
              <w:t xml:space="preserve"> </w:t>
            </w:r>
            <w:r w:rsidRPr="00173FBA">
              <w:rPr>
                <w:i/>
                <w:iCs/>
                <w:lang w:val="es-ES"/>
              </w:rPr>
              <w:t>lactuca</w:t>
            </w:r>
            <w:r w:rsidR="00E04503" w:rsidRPr="00173FBA">
              <w:rPr>
                <w:i/>
                <w:iCs/>
                <w:lang w:val="es-ES"/>
              </w:rPr>
              <w:t xml:space="preserve">; </w:t>
            </w:r>
            <w:r w:rsidRPr="00173FBA">
              <w:rPr>
                <w:i/>
                <w:iCs/>
                <w:lang w:val="es-ES"/>
              </w:rPr>
              <w:t>Eisenia</w:t>
            </w:r>
            <w:r w:rsidRPr="00173FBA">
              <w:rPr>
                <w:lang w:val="es-ES"/>
              </w:rPr>
              <w:t xml:space="preserve"> </w:t>
            </w:r>
            <w:r w:rsidRPr="00173FBA">
              <w:rPr>
                <w:i/>
                <w:iCs/>
                <w:lang w:val="es-ES"/>
              </w:rPr>
              <w:t>bicyclis</w:t>
            </w:r>
            <w:r w:rsidR="00E04503" w:rsidRPr="00173FBA">
              <w:rPr>
                <w:i/>
                <w:iCs/>
                <w:lang w:val="es-ES"/>
              </w:rPr>
              <w:t xml:space="preserve">; </w:t>
            </w:r>
            <w:r w:rsidRPr="00173FBA">
              <w:rPr>
                <w:i/>
                <w:iCs/>
                <w:lang w:val="es-ES"/>
              </w:rPr>
              <w:t>Laminaria</w:t>
            </w:r>
            <w:r w:rsidRPr="00173FBA">
              <w:rPr>
                <w:lang w:val="es-ES"/>
              </w:rPr>
              <w:t xml:space="preserve"> </w:t>
            </w:r>
            <w:r w:rsidRPr="00173FBA">
              <w:rPr>
                <w:i/>
                <w:iCs/>
                <w:lang w:val="es-ES"/>
              </w:rPr>
              <w:t>ochroleuca</w:t>
            </w:r>
            <w:r w:rsidR="00E04503" w:rsidRPr="00173FBA">
              <w:rPr>
                <w:lang w:val="es-ES"/>
              </w:rPr>
              <w:t>;</w:t>
            </w:r>
            <w:r w:rsidRPr="00173FBA">
              <w:rPr>
                <w:lang w:val="es-ES"/>
              </w:rPr>
              <w:t xml:space="preserve"> </w:t>
            </w:r>
            <w:r w:rsidRPr="00173FBA">
              <w:rPr>
                <w:i/>
                <w:iCs/>
                <w:lang w:val="es-ES"/>
              </w:rPr>
              <w:t>Undaria</w:t>
            </w:r>
            <w:r w:rsidRPr="00173FBA">
              <w:rPr>
                <w:lang w:val="es-ES"/>
              </w:rPr>
              <w:t xml:space="preserve"> </w:t>
            </w:r>
            <w:r w:rsidRPr="00173FBA">
              <w:rPr>
                <w:i/>
                <w:iCs/>
                <w:lang w:val="es-ES"/>
              </w:rPr>
              <w:t>pinnatifida</w:t>
            </w:r>
            <w:r w:rsidR="00E04503" w:rsidRPr="00173FBA">
              <w:rPr>
                <w:lang w:val="es-ES"/>
              </w:rPr>
              <w:t>;</w:t>
            </w:r>
            <w:r w:rsidRPr="00173FBA">
              <w:rPr>
                <w:lang w:val="es-ES"/>
              </w:rPr>
              <w:t xml:space="preserve"> </w:t>
            </w:r>
            <w:r w:rsidRPr="00173FBA">
              <w:rPr>
                <w:i/>
                <w:iCs/>
                <w:lang w:val="es-ES"/>
              </w:rPr>
              <w:t>Sargassum</w:t>
            </w:r>
            <w:r w:rsidRPr="00173FBA">
              <w:rPr>
                <w:lang w:val="es-ES"/>
              </w:rPr>
              <w:t xml:space="preserve"> </w:t>
            </w:r>
            <w:r w:rsidRPr="00173FBA">
              <w:rPr>
                <w:i/>
                <w:iCs/>
                <w:lang w:val="es-ES"/>
              </w:rPr>
              <w:t>fusiforme</w:t>
            </w:r>
            <w:r w:rsidR="00E04503" w:rsidRPr="00173FBA">
              <w:rPr>
                <w:i/>
                <w:iCs/>
                <w:lang w:val="es-ES"/>
              </w:rPr>
              <w:t xml:space="preserve">; </w:t>
            </w:r>
            <w:r w:rsidRPr="00173FBA">
              <w:rPr>
                <w:i/>
                <w:iCs/>
                <w:lang w:val="es-ES"/>
              </w:rPr>
              <w:t>Himanthalia</w:t>
            </w:r>
            <w:r w:rsidRPr="00173FBA">
              <w:rPr>
                <w:lang w:val="es-ES"/>
              </w:rPr>
              <w:t xml:space="preserve"> </w:t>
            </w:r>
            <w:r w:rsidRPr="00173FBA">
              <w:rPr>
                <w:i/>
                <w:iCs/>
                <w:lang w:val="es-ES"/>
              </w:rPr>
              <w:t>elongata</w:t>
            </w:r>
            <w:r w:rsidR="00E04503" w:rsidRPr="00173FBA">
              <w:rPr>
                <w:i/>
                <w:iCs/>
                <w:lang w:val="es-ES"/>
              </w:rPr>
              <w:t xml:space="preserve">; </w:t>
            </w:r>
            <w:r w:rsidRPr="00173FBA">
              <w:rPr>
                <w:i/>
                <w:iCs/>
                <w:lang w:val="es-ES"/>
              </w:rPr>
              <w:t>Gracilaria</w:t>
            </w:r>
            <w:r w:rsidR="00E04503" w:rsidRPr="00173FBA">
              <w:rPr>
                <w:lang w:val="es-ES"/>
              </w:rPr>
              <w:t>;</w:t>
            </w:r>
            <w:r w:rsidRPr="00173FBA">
              <w:rPr>
                <w:lang w:val="es-ES"/>
              </w:rPr>
              <w:t xml:space="preserve"> </w:t>
            </w:r>
            <w:r w:rsidRPr="00173FBA">
              <w:rPr>
                <w:i/>
                <w:iCs/>
                <w:lang w:val="es-ES"/>
              </w:rPr>
              <w:t>Porphyra</w:t>
            </w:r>
            <w:r w:rsidR="00E04503" w:rsidRPr="00173FBA">
              <w:rPr>
                <w:lang w:val="es-ES"/>
              </w:rPr>
              <w:t>;</w:t>
            </w:r>
            <w:r w:rsidRPr="00173FBA">
              <w:rPr>
                <w:lang w:val="es-ES"/>
              </w:rPr>
              <w:t xml:space="preserve"> </w:t>
            </w:r>
            <w:r w:rsidRPr="00173FBA">
              <w:rPr>
                <w:i/>
                <w:iCs/>
                <w:lang w:val="es-ES"/>
              </w:rPr>
              <w:t>Mastocarpus</w:t>
            </w:r>
            <w:r w:rsidRPr="00173FBA">
              <w:rPr>
                <w:lang w:val="es-ES"/>
              </w:rPr>
              <w:t xml:space="preserve"> </w:t>
            </w:r>
            <w:r w:rsidRPr="00173FBA">
              <w:rPr>
                <w:i/>
                <w:iCs/>
                <w:lang w:val="es-ES"/>
              </w:rPr>
              <w:t>stellatus</w:t>
            </w:r>
          </w:p>
        </w:tc>
        <w:tc>
          <w:tcPr>
            <w:tcW w:w="2605" w:type="dxa"/>
          </w:tcPr>
          <w:p w14:paraId="132FEF04" w14:textId="47D62550" w:rsidR="008D7F48" w:rsidRDefault="008D7F48" w:rsidP="008D7F48">
            <w:r w:rsidRPr="008D7F48">
              <w:t>Martín-León et al., 2021</w:t>
            </w:r>
          </w:p>
        </w:tc>
      </w:tr>
      <w:tr w:rsidR="008D7F48" w14:paraId="7E7B8B84" w14:textId="77777777" w:rsidTr="000B3FDE">
        <w:tc>
          <w:tcPr>
            <w:tcW w:w="2636" w:type="dxa"/>
            <w:tcBorders>
              <w:bottom w:val="single" w:sz="8" w:space="0" w:color="0D0D0D" w:themeColor="text1" w:themeTint="F2"/>
            </w:tcBorders>
          </w:tcPr>
          <w:p w14:paraId="2CCA65FD" w14:textId="0D87A73F" w:rsidR="008D7F48" w:rsidRPr="00F9694B" w:rsidRDefault="008D7F48" w:rsidP="008D7F48">
            <w:r w:rsidRPr="00F9694B">
              <w:t>Cadmium (Cd)</w:t>
            </w:r>
          </w:p>
        </w:tc>
        <w:tc>
          <w:tcPr>
            <w:tcW w:w="7709" w:type="dxa"/>
            <w:tcBorders>
              <w:bottom w:val="single" w:sz="8" w:space="0" w:color="0D0D0D" w:themeColor="text1" w:themeTint="F2"/>
            </w:tcBorders>
          </w:tcPr>
          <w:p w14:paraId="6BB76889" w14:textId="37C21036" w:rsidR="008D7F48" w:rsidRPr="00F9694B" w:rsidRDefault="008D7F48" w:rsidP="008D7F48">
            <w:r w:rsidRPr="00F9694B">
              <w:rPr>
                <w:i/>
                <w:iCs/>
              </w:rPr>
              <w:t>Gelidium</w:t>
            </w:r>
            <w:r w:rsidRPr="00F9694B">
              <w:t xml:space="preserve"> sp</w:t>
            </w:r>
            <w:r w:rsidR="00B8697B" w:rsidRPr="00F9694B">
              <w:t>ecies</w:t>
            </w:r>
            <w:r w:rsidR="00E04503" w:rsidRPr="00F9694B">
              <w:t xml:space="preserve">; </w:t>
            </w:r>
            <w:r w:rsidRPr="00F9694B">
              <w:rPr>
                <w:i/>
                <w:iCs/>
              </w:rPr>
              <w:t>Chondrus</w:t>
            </w:r>
            <w:r w:rsidRPr="00F9694B">
              <w:t xml:space="preserve"> </w:t>
            </w:r>
            <w:r w:rsidRPr="00F9694B">
              <w:rPr>
                <w:i/>
                <w:iCs/>
              </w:rPr>
              <w:t>crispus</w:t>
            </w:r>
            <w:r w:rsidR="00E04503" w:rsidRPr="00F9694B">
              <w:t>;</w:t>
            </w:r>
            <w:r w:rsidRPr="00F9694B">
              <w:t xml:space="preserve"> </w:t>
            </w:r>
            <w:r w:rsidRPr="00F9694B">
              <w:rPr>
                <w:i/>
                <w:iCs/>
              </w:rPr>
              <w:t>Lithothamnium</w:t>
            </w:r>
            <w:r w:rsidRPr="00F9694B">
              <w:t xml:space="preserve"> </w:t>
            </w:r>
            <w:r w:rsidRPr="00F9694B">
              <w:rPr>
                <w:i/>
                <w:iCs/>
              </w:rPr>
              <w:t>calcareum</w:t>
            </w:r>
            <w:r w:rsidR="00E04503" w:rsidRPr="00F9694B">
              <w:rPr>
                <w:i/>
                <w:iCs/>
              </w:rPr>
              <w:t>;</w:t>
            </w:r>
            <w:r w:rsidRPr="00F9694B">
              <w:t xml:space="preserve"> </w:t>
            </w:r>
            <w:r w:rsidRPr="00F9694B">
              <w:rPr>
                <w:i/>
                <w:iCs/>
              </w:rPr>
              <w:t>Palmaria</w:t>
            </w:r>
            <w:r w:rsidRPr="00F9694B">
              <w:t xml:space="preserve"> </w:t>
            </w:r>
            <w:r w:rsidRPr="00F9694B">
              <w:rPr>
                <w:i/>
                <w:iCs/>
              </w:rPr>
              <w:t>palmata</w:t>
            </w:r>
            <w:r w:rsidR="00E04503" w:rsidRPr="00F9694B">
              <w:rPr>
                <w:i/>
                <w:iCs/>
              </w:rPr>
              <w:t xml:space="preserve">; </w:t>
            </w:r>
            <w:r w:rsidRPr="00F9694B">
              <w:rPr>
                <w:i/>
                <w:iCs/>
              </w:rPr>
              <w:t>Porphyra</w:t>
            </w:r>
            <w:r w:rsidRPr="00F9694B">
              <w:t xml:space="preserve"> </w:t>
            </w:r>
            <w:r w:rsidRPr="00F9694B">
              <w:rPr>
                <w:i/>
                <w:iCs/>
              </w:rPr>
              <w:t>umbilicali</w:t>
            </w:r>
            <w:r w:rsidR="00E04503" w:rsidRPr="00F9694B">
              <w:rPr>
                <w:i/>
                <w:iCs/>
              </w:rPr>
              <w:t xml:space="preserve">s; </w:t>
            </w:r>
            <w:r w:rsidRPr="00F9694B">
              <w:rPr>
                <w:i/>
                <w:iCs/>
              </w:rPr>
              <w:t>Ascophyllum</w:t>
            </w:r>
            <w:r w:rsidRPr="00F9694B">
              <w:t xml:space="preserve"> </w:t>
            </w:r>
            <w:r w:rsidRPr="00F9694B">
              <w:rPr>
                <w:i/>
                <w:iCs/>
              </w:rPr>
              <w:t>nodosum</w:t>
            </w:r>
            <w:r w:rsidR="00E04503" w:rsidRPr="00F9694B">
              <w:rPr>
                <w:i/>
                <w:iCs/>
              </w:rPr>
              <w:t>;</w:t>
            </w:r>
            <w:r w:rsidRPr="00F9694B">
              <w:t xml:space="preserve"> </w:t>
            </w:r>
            <w:r w:rsidRPr="00F9694B">
              <w:rPr>
                <w:i/>
                <w:iCs/>
              </w:rPr>
              <w:t>Fucus</w:t>
            </w:r>
            <w:r w:rsidRPr="00F9694B">
              <w:t xml:space="preserve"> </w:t>
            </w:r>
            <w:r w:rsidRPr="00F9694B">
              <w:rPr>
                <w:i/>
                <w:iCs/>
              </w:rPr>
              <w:t>vesiculosus</w:t>
            </w:r>
            <w:r w:rsidR="00E04503" w:rsidRPr="00F9694B">
              <w:rPr>
                <w:i/>
                <w:iCs/>
              </w:rPr>
              <w:t xml:space="preserve">; </w:t>
            </w:r>
            <w:r w:rsidRPr="00F9694B">
              <w:rPr>
                <w:i/>
                <w:iCs/>
              </w:rPr>
              <w:t>Himanthalia</w:t>
            </w:r>
            <w:r w:rsidRPr="00F9694B">
              <w:t xml:space="preserve"> </w:t>
            </w:r>
            <w:r w:rsidRPr="00F9694B">
              <w:rPr>
                <w:i/>
                <w:iCs/>
              </w:rPr>
              <w:t>elongata</w:t>
            </w:r>
            <w:r w:rsidR="00E04503" w:rsidRPr="00F9694B">
              <w:rPr>
                <w:i/>
                <w:iCs/>
              </w:rPr>
              <w:t>;</w:t>
            </w:r>
            <w:r w:rsidRPr="00F9694B">
              <w:t xml:space="preserve"> </w:t>
            </w:r>
            <w:r w:rsidRPr="00F9694B">
              <w:rPr>
                <w:i/>
                <w:iCs/>
              </w:rPr>
              <w:t>Laminaria</w:t>
            </w:r>
            <w:r w:rsidRPr="00F9694B">
              <w:t xml:space="preserve"> </w:t>
            </w:r>
            <w:r w:rsidRPr="00F9694B">
              <w:rPr>
                <w:i/>
                <w:iCs/>
              </w:rPr>
              <w:t>digitata</w:t>
            </w:r>
            <w:r w:rsidR="00E04503" w:rsidRPr="00F9694B">
              <w:t>;</w:t>
            </w:r>
            <w:r w:rsidRPr="00F9694B">
              <w:t xml:space="preserve"> </w:t>
            </w:r>
            <w:r w:rsidRPr="00F9694B">
              <w:rPr>
                <w:i/>
                <w:iCs/>
              </w:rPr>
              <w:t>Undaria</w:t>
            </w:r>
            <w:r w:rsidRPr="00F9694B">
              <w:t xml:space="preserve"> </w:t>
            </w:r>
            <w:r w:rsidRPr="00F9694B">
              <w:rPr>
                <w:i/>
                <w:iCs/>
              </w:rPr>
              <w:t>pinnatifida</w:t>
            </w:r>
            <w:r w:rsidR="00E04503" w:rsidRPr="00F9694B">
              <w:t xml:space="preserve">; </w:t>
            </w:r>
            <w:r w:rsidRPr="00F9694B">
              <w:rPr>
                <w:i/>
                <w:iCs/>
              </w:rPr>
              <w:t>Chlorella</w:t>
            </w:r>
            <w:r w:rsidRPr="00F9694B">
              <w:t xml:space="preserve"> </w:t>
            </w:r>
            <w:r w:rsidRPr="00F9694B">
              <w:rPr>
                <w:i/>
                <w:iCs/>
              </w:rPr>
              <w:t>pyrenoidosa</w:t>
            </w:r>
            <w:r w:rsidR="00E04503" w:rsidRPr="00F9694B">
              <w:rPr>
                <w:i/>
                <w:iCs/>
              </w:rPr>
              <w:t>;</w:t>
            </w:r>
            <w:r w:rsidRPr="00F9694B">
              <w:t xml:space="preserve"> </w:t>
            </w:r>
            <w:r w:rsidRPr="00F9694B">
              <w:rPr>
                <w:i/>
                <w:iCs/>
              </w:rPr>
              <w:t>Ulva</w:t>
            </w:r>
            <w:r w:rsidRPr="00F9694B">
              <w:t xml:space="preserve"> </w:t>
            </w:r>
            <w:r w:rsidRPr="00F9694B">
              <w:rPr>
                <w:i/>
                <w:iCs/>
              </w:rPr>
              <w:t>lactuca</w:t>
            </w:r>
            <w:r w:rsidR="00E04503" w:rsidRPr="00F9694B">
              <w:rPr>
                <w:i/>
                <w:iCs/>
              </w:rPr>
              <w:t xml:space="preserve">; </w:t>
            </w:r>
            <w:r w:rsidRPr="00F9694B">
              <w:rPr>
                <w:i/>
                <w:iCs/>
              </w:rPr>
              <w:t>Ulva</w:t>
            </w:r>
            <w:r w:rsidRPr="00F9694B">
              <w:t>/</w:t>
            </w:r>
            <w:r w:rsidRPr="00F9694B">
              <w:rPr>
                <w:i/>
                <w:iCs/>
              </w:rPr>
              <w:t>Enteromorpha</w:t>
            </w:r>
            <w:r w:rsidRPr="00F9694B">
              <w:t xml:space="preserve"> species</w:t>
            </w:r>
          </w:p>
        </w:tc>
        <w:tc>
          <w:tcPr>
            <w:tcW w:w="2605" w:type="dxa"/>
            <w:tcBorders>
              <w:bottom w:val="single" w:sz="8" w:space="0" w:color="0D0D0D" w:themeColor="text1" w:themeTint="F2"/>
            </w:tcBorders>
          </w:tcPr>
          <w:p w14:paraId="76323080" w14:textId="6E0AC8D6" w:rsidR="008D7F48" w:rsidRDefault="008D7F48" w:rsidP="008D7F48">
            <w:r w:rsidRPr="008D7F48">
              <w:t>Desideri et al., 2016</w:t>
            </w:r>
          </w:p>
        </w:tc>
      </w:tr>
      <w:tr w:rsidR="008D7F48" w14:paraId="0156A749" w14:textId="77777777" w:rsidTr="000B3FDE">
        <w:tc>
          <w:tcPr>
            <w:tcW w:w="2636" w:type="dxa"/>
            <w:tcBorders>
              <w:top w:val="single" w:sz="8" w:space="0" w:color="0D0D0D" w:themeColor="text1" w:themeTint="F2"/>
            </w:tcBorders>
          </w:tcPr>
          <w:p w14:paraId="64A4523E" w14:textId="37AE5A06" w:rsidR="008D7F48" w:rsidRPr="00F9694B" w:rsidRDefault="00B8697B" w:rsidP="008D7F48">
            <w:r w:rsidRPr="00F9694B">
              <w:t>Copper (Cu)</w:t>
            </w:r>
          </w:p>
        </w:tc>
        <w:tc>
          <w:tcPr>
            <w:tcW w:w="7709" w:type="dxa"/>
            <w:tcBorders>
              <w:top w:val="single" w:sz="8" w:space="0" w:color="0D0D0D" w:themeColor="text1" w:themeTint="F2"/>
            </w:tcBorders>
          </w:tcPr>
          <w:p w14:paraId="0EF40824" w14:textId="14E840A0" w:rsidR="008D7F48" w:rsidRPr="00F9694B" w:rsidRDefault="00B8697B" w:rsidP="008D7F48">
            <w:r w:rsidRPr="00F9694B">
              <w:rPr>
                <w:i/>
                <w:iCs/>
              </w:rPr>
              <w:t>Sargassum</w:t>
            </w:r>
            <w:r w:rsidRPr="00F9694B">
              <w:t xml:space="preserve"> species</w:t>
            </w:r>
          </w:p>
        </w:tc>
        <w:tc>
          <w:tcPr>
            <w:tcW w:w="2605" w:type="dxa"/>
            <w:tcBorders>
              <w:top w:val="single" w:sz="8" w:space="0" w:color="0D0D0D" w:themeColor="text1" w:themeTint="F2"/>
            </w:tcBorders>
          </w:tcPr>
          <w:p w14:paraId="42E90AF8" w14:textId="0370800F" w:rsidR="008D7F48" w:rsidRDefault="00B8697B" w:rsidP="00B8697B">
            <w:r w:rsidRPr="00B8697B">
              <w:t>Davis et al., 2000</w:t>
            </w:r>
          </w:p>
        </w:tc>
      </w:tr>
      <w:tr w:rsidR="00B8697B" w14:paraId="782A4CD9" w14:textId="77777777" w:rsidTr="000B3FDE">
        <w:tc>
          <w:tcPr>
            <w:tcW w:w="2636" w:type="dxa"/>
          </w:tcPr>
          <w:p w14:paraId="6898EA0E" w14:textId="2EB5629C" w:rsidR="00B8697B" w:rsidRPr="00F9694B" w:rsidRDefault="00B8697B" w:rsidP="008D7F48">
            <w:r w:rsidRPr="00F9694B">
              <w:t>Copper (Cu)</w:t>
            </w:r>
          </w:p>
        </w:tc>
        <w:tc>
          <w:tcPr>
            <w:tcW w:w="7709" w:type="dxa"/>
          </w:tcPr>
          <w:p w14:paraId="4D581AB0" w14:textId="545221DD" w:rsidR="00B8697B" w:rsidRPr="00F9694B" w:rsidRDefault="00B8697B" w:rsidP="00B8697B">
            <w:r w:rsidRPr="00F9694B">
              <w:rPr>
                <w:i/>
                <w:iCs/>
              </w:rPr>
              <w:t>Ulva</w:t>
            </w:r>
            <w:r w:rsidRPr="00F9694B">
              <w:t xml:space="preserve"> </w:t>
            </w:r>
            <w:r w:rsidRPr="00F9694B">
              <w:rPr>
                <w:i/>
                <w:iCs/>
              </w:rPr>
              <w:t>lactuca</w:t>
            </w:r>
            <w:r w:rsidR="00E04503" w:rsidRPr="00F9694B">
              <w:rPr>
                <w:i/>
                <w:iCs/>
              </w:rPr>
              <w:t xml:space="preserve">; </w:t>
            </w:r>
            <w:r w:rsidRPr="00F9694B">
              <w:rPr>
                <w:i/>
                <w:iCs/>
              </w:rPr>
              <w:t>Agardhiella</w:t>
            </w:r>
            <w:r w:rsidRPr="00F9694B">
              <w:t xml:space="preserve"> </w:t>
            </w:r>
            <w:r w:rsidRPr="00F9694B">
              <w:rPr>
                <w:i/>
                <w:iCs/>
              </w:rPr>
              <w:t>subulata</w:t>
            </w:r>
          </w:p>
        </w:tc>
        <w:tc>
          <w:tcPr>
            <w:tcW w:w="2605" w:type="dxa"/>
          </w:tcPr>
          <w:p w14:paraId="4804B897" w14:textId="0F166E14" w:rsidR="00B8697B" w:rsidRDefault="00B8697B" w:rsidP="008D7F48">
            <w:r w:rsidRPr="00B8697B">
              <w:t>Jarvis et al., 2015</w:t>
            </w:r>
          </w:p>
        </w:tc>
      </w:tr>
      <w:tr w:rsidR="00B8697B" w14:paraId="5DB94C0A" w14:textId="77777777" w:rsidTr="000B3FDE">
        <w:tc>
          <w:tcPr>
            <w:tcW w:w="2636" w:type="dxa"/>
            <w:tcBorders>
              <w:bottom w:val="single" w:sz="8" w:space="0" w:color="0D0D0D" w:themeColor="text1" w:themeTint="F2"/>
            </w:tcBorders>
          </w:tcPr>
          <w:p w14:paraId="63E39D73" w14:textId="07A66729" w:rsidR="00B8697B" w:rsidRPr="00F9694B" w:rsidRDefault="00B8697B" w:rsidP="00B8697B">
            <w:r w:rsidRPr="00F9694B">
              <w:t>Copper (Cu)</w:t>
            </w:r>
          </w:p>
        </w:tc>
        <w:tc>
          <w:tcPr>
            <w:tcW w:w="7709" w:type="dxa"/>
            <w:tcBorders>
              <w:bottom w:val="single" w:sz="8" w:space="0" w:color="0D0D0D" w:themeColor="text1" w:themeTint="F2"/>
            </w:tcBorders>
          </w:tcPr>
          <w:p w14:paraId="2E1C2357" w14:textId="15D03BCE" w:rsidR="00B8697B" w:rsidRPr="00173FBA" w:rsidRDefault="00B8697B" w:rsidP="00B8697B">
            <w:pPr>
              <w:rPr>
                <w:lang w:val="es-ES"/>
              </w:rPr>
            </w:pPr>
            <w:r w:rsidRPr="00173FBA">
              <w:rPr>
                <w:i/>
                <w:iCs/>
                <w:lang w:val="es-ES"/>
              </w:rPr>
              <w:t xml:space="preserve">Enteromorpha intestinalis; Enteromorpha linza; Ulva lactuca; Corrallina mediterranea; Pterocladia capillacea; Sargassum </w:t>
            </w:r>
            <w:r w:rsidRPr="00173FBA">
              <w:rPr>
                <w:lang w:val="es-ES"/>
              </w:rPr>
              <w:t>species</w:t>
            </w:r>
          </w:p>
        </w:tc>
        <w:tc>
          <w:tcPr>
            <w:tcW w:w="2605" w:type="dxa"/>
            <w:tcBorders>
              <w:bottom w:val="single" w:sz="8" w:space="0" w:color="0D0D0D" w:themeColor="text1" w:themeTint="F2"/>
            </w:tcBorders>
          </w:tcPr>
          <w:p w14:paraId="08847CED" w14:textId="7093123E" w:rsidR="00B8697B" w:rsidRPr="00B8697B" w:rsidRDefault="00B8697B" w:rsidP="00B8697B">
            <w:r w:rsidRPr="00B8697B">
              <w:t xml:space="preserve">Mohammed </w:t>
            </w:r>
            <w:r>
              <w:t>&amp;</w:t>
            </w:r>
            <w:r w:rsidRPr="00B8697B">
              <w:t xml:space="preserve"> Khaled, 2005</w:t>
            </w:r>
          </w:p>
        </w:tc>
      </w:tr>
      <w:tr w:rsidR="00B8697B" w14:paraId="6CD02A74" w14:textId="77777777" w:rsidTr="000B3FDE">
        <w:tc>
          <w:tcPr>
            <w:tcW w:w="2636" w:type="dxa"/>
            <w:tcBorders>
              <w:top w:val="single" w:sz="8" w:space="0" w:color="0D0D0D" w:themeColor="text1" w:themeTint="F2"/>
            </w:tcBorders>
          </w:tcPr>
          <w:p w14:paraId="755420EC" w14:textId="415DD3DD" w:rsidR="00B8697B" w:rsidRPr="00F9694B" w:rsidRDefault="00B8697B" w:rsidP="008D7F48">
            <w:r w:rsidRPr="00F9694B">
              <w:t>Lead (Pb)</w:t>
            </w:r>
          </w:p>
        </w:tc>
        <w:tc>
          <w:tcPr>
            <w:tcW w:w="7709" w:type="dxa"/>
            <w:tcBorders>
              <w:top w:val="single" w:sz="8" w:space="0" w:color="0D0D0D" w:themeColor="text1" w:themeTint="F2"/>
            </w:tcBorders>
          </w:tcPr>
          <w:p w14:paraId="377FED4E" w14:textId="792B1458" w:rsidR="00B8697B" w:rsidRPr="00F9694B" w:rsidRDefault="00B8697B" w:rsidP="00B8697B">
            <w:r w:rsidRPr="00F9694B">
              <w:rPr>
                <w:i/>
                <w:iCs/>
              </w:rPr>
              <w:t>Saccharina</w:t>
            </w:r>
            <w:r w:rsidR="00E04503" w:rsidRPr="00F9694B">
              <w:rPr>
                <w:i/>
                <w:iCs/>
              </w:rPr>
              <w:t>;</w:t>
            </w:r>
            <w:r w:rsidRPr="00F9694B">
              <w:t xml:space="preserve"> </w:t>
            </w:r>
            <w:r w:rsidRPr="00F9694B">
              <w:rPr>
                <w:i/>
                <w:iCs/>
              </w:rPr>
              <w:t>Himanthalia</w:t>
            </w:r>
            <w:r w:rsidR="00E04503" w:rsidRPr="00F9694B">
              <w:rPr>
                <w:i/>
                <w:iCs/>
              </w:rPr>
              <w:t>;</w:t>
            </w:r>
            <w:r w:rsidRPr="00F9694B">
              <w:t xml:space="preserve"> </w:t>
            </w:r>
            <w:r w:rsidRPr="00F9694B">
              <w:rPr>
                <w:i/>
                <w:iCs/>
              </w:rPr>
              <w:t>Laminaria</w:t>
            </w:r>
            <w:r w:rsidR="00E04503" w:rsidRPr="00F9694B">
              <w:rPr>
                <w:i/>
                <w:iCs/>
              </w:rPr>
              <w:t>;</w:t>
            </w:r>
            <w:r w:rsidRPr="00F9694B">
              <w:t xml:space="preserve"> </w:t>
            </w:r>
            <w:r w:rsidRPr="00F9694B">
              <w:rPr>
                <w:i/>
                <w:iCs/>
              </w:rPr>
              <w:t>Ascophyllum</w:t>
            </w:r>
            <w:r w:rsidR="00E04503" w:rsidRPr="00F9694B">
              <w:rPr>
                <w:i/>
                <w:iCs/>
              </w:rPr>
              <w:t>;</w:t>
            </w:r>
            <w:r w:rsidRPr="00F9694B">
              <w:t xml:space="preserve"> </w:t>
            </w:r>
            <w:r w:rsidRPr="00F9694B">
              <w:rPr>
                <w:i/>
                <w:iCs/>
              </w:rPr>
              <w:t>Undaria</w:t>
            </w:r>
            <w:r w:rsidR="00E04503" w:rsidRPr="00F9694B">
              <w:rPr>
                <w:i/>
                <w:iCs/>
              </w:rPr>
              <w:t xml:space="preserve">; </w:t>
            </w:r>
            <w:r w:rsidRPr="00F9694B">
              <w:rPr>
                <w:i/>
                <w:iCs/>
              </w:rPr>
              <w:t>Porphyra</w:t>
            </w:r>
            <w:r w:rsidR="00E04503" w:rsidRPr="00F9694B">
              <w:t xml:space="preserve">; </w:t>
            </w:r>
            <w:r w:rsidRPr="00F9694B">
              <w:rPr>
                <w:i/>
                <w:iCs/>
              </w:rPr>
              <w:t>Palmaria</w:t>
            </w:r>
            <w:r w:rsidR="00E04503" w:rsidRPr="00F9694B">
              <w:t xml:space="preserve">; </w:t>
            </w:r>
            <w:r w:rsidRPr="00F9694B">
              <w:rPr>
                <w:i/>
                <w:iCs/>
              </w:rPr>
              <w:t>Ulva</w:t>
            </w:r>
            <w:r w:rsidR="00E04503" w:rsidRPr="00F9694B">
              <w:t xml:space="preserve"> species; </w:t>
            </w:r>
            <w:r w:rsidRPr="00F9694B">
              <w:t>Mixed samples (combining various seaweed types).</w:t>
            </w:r>
          </w:p>
        </w:tc>
        <w:tc>
          <w:tcPr>
            <w:tcW w:w="2605" w:type="dxa"/>
            <w:tcBorders>
              <w:top w:val="single" w:sz="8" w:space="0" w:color="0D0D0D" w:themeColor="text1" w:themeTint="F2"/>
            </w:tcBorders>
          </w:tcPr>
          <w:p w14:paraId="41BF8EA5" w14:textId="5489A480" w:rsidR="00B8697B" w:rsidRDefault="00B8697B" w:rsidP="008D7F48">
            <w:r w:rsidRPr="00B8697B">
              <w:t>Filippini et al., 2021</w:t>
            </w:r>
          </w:p>
        </w:tc>
      </w:tr>
      <w:tr w:rsidR="00B8697B" w14:paraId="3255E52C" w14:textId="77777777" w:rsidTr="000B3FDE">
        <w:tc>
          <w:tcPr>
            <w:tcW w:w="2636" w:type="dxa"/>
          </w:tcPr>
          <w:p w14:paraId="7CE1CD29" w14:textId="4EA328C2" w:rsidR="00B8697B" w:rsidRDefault="00B8697B" w:rsidP="008D7F48">
            <w:r>
              <w:t>Lead (Pb)</w:t>
            </w:r>
          </w:p>
        </w:tc>
        <w:tc>
          <w:tcPr>
            <w:tcW w:w="7709" w:type="dxa"/>
          </w:tcPr>
          <w:p w14:paraId="7D88A523" w14:textId="06DE3CCC" w:rsidR="00B8697B" w:rsidRDefault="00B8697B" w:rsidP="00B8697B">
            <w:r w:rsidRPr="00B8697B">
              <w:rPr>
                <w:i/>
                <w:iCs/>
              </w:rPr>
              <w:t>Fucus</w:t>
            </w:r>
            <w:r>
              <w:t xml:space="preserve"> </w:t>
            </w:r>
            <w:r w:rsidRPr="00B8697B">
              <w:rPr>
                <w:i/>
                <w:iCs/>
              </w:rPr>
              <w:t>vesiculosus</w:t>
            </w:r>
          </w:p>
        </w:tc>
        <w:tc>
          <w:tcPr>
            <w:tcW w:w="2605" w:type="dxa"/>
          </w:tcPr>
          <w:p w14:paraId="7E342AAB" w14:textId="15071F0E" w:rsidR="00B8697B" w:rsidRDefault="00B8697B" w:rsidP="008D7F48">
            <w:r w:rsidRPr="00B8697B">
              <w:t>Guisti et al., 2001</w:t>
            </w:r>
          </w:p>
        </w:tc>
      </w:tr>
      <w:tr w:rsidR="00B8697B" w14:paraId="0FBBD1EA" w14:textId="77777777" w:rsidTr="000B3FDE">
        <w:tc>
          <w:tcPr>
            <w:tcW w:w="2636" w:type="dxa"/>
          </w:tcPr>
          <w:p w14:paraId="018DC1B0" w14:textId="645F804D" w:rsidR="00B8697B" w:rsidRDefault="00B8697B" w:rsidP="008D7F48">
            <w:r>
              <w:t>Lead (Pb)</w:t>
            </w:r>
          </w:p>
        </w:tc>
        <w:tc>
          <w:tcPr>
            <w:tcW w:w="7709" w:type="dxa"/>
          </w:tcPr>
          <w:p w14:paraId="364C35A9" w14:textId="50F6B43B" w:rsidR="00B8697B" w:rsidRDefault="00B8697B" w:rsidP="00B8697B">
            <w:r w:rsidRPr="00B8697B">
              <w:rPr>
                <w:i/>
                <w:iCs/>
              </w:rPr>
              <w:t>Ulva</w:t>
            </w:r>
            <w:r>
              <w:t xml:space="preserve"> </w:t>
            </w:r>
            <w:r w:rsidRPr="00B8697B">
              <w:rPr>
                <w:i/>
                <w:iCs/>
              </w:rPr>
              <w:t>lactuca</w:t>
            </w:r>
            <w:r w:rsidR="00E04503">
              <w:rPr>
                <w:i/>
                <w:iCs/>
              </w:rPr>
              <w:t xml:space="preserve">; </w:t>
            </w:r>
            <w:r w:rsidRPr="00B8697B">
              <w:rPr>
                <w:i/>
                <w:iCs/>
              </w:rPr>
              <w:t>Agardhiella</w:t>
            </w:r>
            <w:r>
              <w:t xml:space="preserve"> </w:t>
            </w:r>
            <w:r w:rsidRPr="00B8697B">
              <w:rPr>
                <w:i/>
                <w:iCs/>
              </w:rPr>
              <w:t>subulata</w:t>
            </w:r>
          </w:p>
        </w:tc>
        <w:tc>
          <w:tcPr>
            <w:tcW w:w="2605" w:type="dxa"/>
          </w:tcPr>
          <w:p w14:paraId="24B35B21" w14:textId="089081A8" w:rsidR="00B8697B" w:rsidRDefault="00B8697B" w:rsidP="008D7F48">
            <w:r w:rsidRPr="00B8697B">
              <w:t>Jarvis et al., 2015</w:t>
            </w:r>
          </w:p>
        </w:tc>
      </w:tr>
      <w:tr w:rsidR="00B8697B" w14:paraId="1D7924DE" w14:textId="77777777" w:rsidTr="000B3FDE">
        <w:tc>
          <w:tcPr>
            <w:tcW w:w="2636" w:type="dxa"/>
          </w:tcPr>
          <w:p w14:paraId="3370B814" w14:textId="3ECA0468" w:rsidR="00B8697B" w:rsidRDefault="00B8697B" w:rsidP="008D7F48">
            <w:r>
              <w:lastRenderedPageBreak/>
              <w:t>Lead (Pb)</w:t>
            </w:r>
          </w:p>
        </w:tc>
        <w:tc>
          <w:tcPr>
            <w:tcW w:w="7709" w:type="dxa"/>
          </w:tcPr>
          <w:p w14:paraId="0652A858" w14:textId="281081D9" w:rsidR="00B8697B" w:rsidRPr="00173FBA" w:rsidRDefault="00B8697B" w:rsidP="00B8697B">
            <w:pPr>
              <w:rPr>
                <w:lang w:val="es-ES"/>
              </w:rPr>
            </w:pPr>
            <w:r w:rsidRPr="00173FBA">
              <w:rPr>
                <w:i/>
                <w:iCs/>
                <w:lang w:val="es-ES"/>
              </w:rPr>
              <w:t>Ulva</w:t>
            </w:r>
            <w:r w:rsidRPr="00173FBA">
              <w:rPr>
                <w:lang w:val="es-ES"/>
              </w:rPr>
              <w:t xml:space="preserve"> </w:t>
            </w:r>
            <w:r w:rsidRPr="00173FBA">
              <w:rPr>
                <w:i/>
                <w:iCs/>
                <w:lang w:val="es-ES"/>
              </w:rPr>
              <w:t>lactuca</w:t>
            </w:r>
            <w:r w:rsidR="00E04503" w:rsidRPr="00173FBA">
              <w:rPr>
                <w:lang w:val="es-ES"/>
              </w:rPr>
              <w:t xml:space="preserve">; </w:t>
            </w:r>
            <w:r w:rsidRPr="00173FBA">
              <w:rPr>
                <w:i/>
                <w:iCs/>
                <w:lang w:val="es-ES"/>
              </w:rPr>
              <w:t>Eisenia</w:t>
            </w:r>
            <w:r w:rsidRPr="00173FBA">
              <w:rPr>
                <w:lang w:val="es-ES"/>
              </w:rPr>
              <w:t xml:space="preserve"> </w:t>
            </w:r>
            <w:r w:rsidRPr="00173FBA">
              <w:rPr>
                <w:i/>
                <w:iCs/>
                <w:lang w:val="es-ES"/>
              </w:rPr>
              <w:t>bicyclis</w:t>
            </w:r>
            <w:r w:rsidR="00E04503" w:rsidRPr="00173FBA">
              <w:rPr>
                <w:lang w:val="es-ES"/>
              </w:rPr>
              <w:t>;</w:t>
            </w:r>
            <w:r w:rsidRPr="00173FBA">
              <w:rPr>
                <w:lang w:val="es-ES"/>
              </w:rPr>
              <w:t xml:space="preserve"> </w:t>
            </w:r>
            <w:r w:rsidRPr="00173FBA">
              <w:rPr>
                <w:i/>
                <w:iCs/>
                <w:lang w:val="es-ES"/>
              </w:rPr>
              <w:t>Laminaria</w:t>
            </w:r>
            <w:r w:rsidRPr="00173FBA">
              <w:rPr>
                <w:lang w:val="es-ES"/>
              </w:rPr>
              <w:t xml:space="preserve"> </w:t>
            </w:r>
            <w:r w:rsidRPr="00173FBA">
              <w:rPr>
                <w:i/>
                <w:iCs/>
                <w:lang w:val="es-ES"/>
              </w:rPr>
              <w:t>ochroleuca</w:t>
            </w:r>
            <w:r w:rsidR="00E04503" w:rsidRPr="00173FBA">
              <w:rPr>
                <w:lang w:val="es-ES"/>
              </w:rPr>
              <w:t>;</w:t>
            </w:r>
            <w:r w:rsidRPr="00173FBA">
              <w:rPr>
                <w:lang w:val="es-ES"/>
              </w:rPr>
              <w:t xml:space="preserve"> </w:t>
            </w:r>
            <w:r w:rsidRPr="00173FBA">
              <w:rPr>
                <w:i/>
                <w:iCs/>
                <w:lang w:val="es-ES"/>
              </w:rPr>
              <w:t>Undaria</w:t>
            </w:r>
            <w:r w:rsidRPr="00173FBA">
              <w:rPr>
                <w:lang w:val="es-ES"/>
              </w:rPr>
              <w:t xml:space="preserve"> </w:t>
            </w:r>
            <w:r w:rsidRPr="00173FBA">
              <w:rPr>
                <w:i/>
                <w:iCs/>
                <w:lang w:val="es-ES"/>
              </w:rPr>
              <w:t>pinnatifida</w:t>
            </w:r>
            <w:r w:rsidR="00E04503" w:rsidRPr="00173FBA">
              <w:rPr>
                <w:i/>
                <w:iCs/>
                <w:lang w:val="es-ES"/>
              </w:rPr>
              <w:t>;</w:t>
            </w:r>
            <w:r w:rsidRPr="00173FBA">
              <w:rPr>
                <w:lang w:val="es-ES"/>
              </w:rPr>
              <w:t xml:space="preserve"> </w:t>
            </w:r>
            <w:r w:rsidRPr="00173FBA">
              <w:rPr>
                <w:i/>
                <w:iCs/>
                <w:lang w:val="es-ES"/>
              </w:rPr>
              <w:t>Sargassum</w:t>
            </w:r>
            <w:r w:rsidRPr="00173FBA">
              <w:rPr>
                <w:lang w:val="es-ES"/>
              </w:rPr>
              <w:t xml:space="preserve"> </w:t>
            </w:r>
            <w:r w:rsidRPr="00173FBA">
              <w:rPr>
                <w:i/>
                <w:iCs/>
                <w:lang w:val="es-ES"/>
              </w:rPr>
              <w:t>fusiforme</w:t>
            </w:r>
            <w:r w:rsidR="00E04503" w:rsidRPr="00173FBA">
              <w:rPr>
                <w:lang w:val="es-ES"/>
              </w:rPr>
              <w:t>;</w:t>
            </w:r>
            <w:r w:rsidRPr="00173FBA">
              <w:rPr>
                <w:lang w:val="es-ES"/>
              </w:rPr>
              <w:t xml:space="preserve"> </w:t>
            </w:r>
            <w:r w:rsidRPr="00173FBA">
              <w:rPr>
                <w:i/>
                <w:iCs/>
                <w:lang w:val="es-ES"/>
              </w:rPr>
              <w:t>Himanthalia</w:t>
            </w:r>
            <w:r w:rsidRPr="00173FBA">
              <w:rPr>
                <w:lang w:val="es-ES"/>
              </w:rPr>
              <w:t xml:space="preserve"> </w:t>
            </w:r>
            <w:r w:rsidRPr="00173FBA">
              <w:rPr>
                <w:i/>
                <w:iCs/>
                <w:lang w:val="es-ES"/>
              </w:rPr>
              <w:t>elongata</w:t>
            </w:r>
            <w:r w:rsidR="00E04503" w:rsidRPr="00173FBA">
              <w:rPr>
                <w:lang w:val="es-ES"/>
              </w:rPr>
              <w:t xml:space="preserve">; </w:t>
            </w:r>
            <w:r w:rsidRPr="00173FBA">
              <w:rPr>
                <w:i/>
                <w:iCs/>
                <w:lang w:val="es-ES"/>
              </w:rPr>
              <w:t>Gracilaria</w:t>
            </w:r>
            <w:r w:rsidR="00E04503" w:rsidRPr="00173FBA">
              <w:rPr>
                <w:lang w:val="es-ES"/>
              </w:rPr>
              <w:t>;</w:t>
            </w:r>
            <w:r w:rsidRPr="00173FBA">
              <w:rPr>
                <w:lang w:val="es-ES"/>
              </w:rPr>
              <w:t xml:space="preserve"> </w:t>
            </w:r>
            <w:r w:rsidRPr="00173FBA">
              <w:rPr>
                <w:i/>
                <w:iCs/>
                <w:lang w:val="es-ES"/>
              </w:rPr>
              <w:t>Porphyra</w:t>
            </w:r>
            <w:r w:rsidR="00E04503" w:rsidRPr="00173FBA">
              <w:rPr>
                <w:lang w:val="es-ES"/>
              </w:rPr>
              <w:t>;</w:t>
            </w:r>
            <w:r w:rsidRPr="00173FBA">
              <w:rPr>
                <w:lang w:val="es-ES"/>
              </w:rPr>
              <w:t xml:space="preserve"> </w:t>
            </w:r>
            <w:r w:rsidRPr="00173FBA">
              <w:rPr>
                <w:i/>
                <w:iCs/>
                <w:lang w:val="es-ES"/>
              </w:rPr>
              <w:t>Mastocarpus</w:t>
            </w:r>
            <w:r w:rsidRPr="00173FBA">
              <w:rPr>
                <w:lang w:val="es-ES"/>
              </w:rPr>
              <w:t xml:space="preserve"> </w:t>
            </w:r>
            <w:r w:rsidRPr="00173FBA">
              <w:rPr>
                <w:i/>
                <w:iCs/>
                <w:lang w:val="es-ES"/>
              </w:rPr>
              <w:t>stellatus</w:t>
            </w:r>
          </w:p>
        </w:tc>
        <w:tc>
          <w:tcPr>
            <w:tcW w:w="2605" w:type="dxa"/>
          </w:tcPr>
          <w:p w14:paraId="2C10D99D" w14:textId="1D8CD799" w:rsidR="00B8697B" w:rsidRDefault="00B8697B" w:rsidP="008D7F48">
            <w:r w:rsidRPr="00B8697B">
              <w:t>Martín-León et al., 2021</w:t>
            </w:r>
          </w:p>
        </w:tc>
      </w:tr>
      <w:tr w:rsidR="00B8697B" w14:paraId="405771D0" w14:textId="77777777" w:rsidTr="000B3FDE">
        <w:tc>
          <w:tcPr>
            <w:tcW w:w="2636" w:type="dxa"/>
          </w:tcPr>
          <w:p w14:paraId="4B882167" w14:textId="6717DBFA" w:rsidR="00B8697B" w:rsidRDefault="00B8697B" w:rsidP="008D7F48">
            <w:r>
              <w:t>Lead (Pb)</w:t>
            </w:r>
          </w:p>
        </w:tc>
        <w:tc>
          <w:tcPr>
            <w:tcW w:w="7709" w:type="dxa"/>
          </w:tcPr>
          <w:p w14:paraId="40765492" w14:textId="38D5325D" w:rsidR="00B8697B" w:rsidRPr="00173FBA" w:rsidRDefault="00B8697B" w:rsidP="00B8697B">
            <w:pPr>
              <w:rPr>
                <w:lang w:val="es-ES"/>
              </w:rPr>
            </w:pPr>
            <w:r w:rsidRPr="00173FBA">
              <w:rPr>
                <w:i/>
                <w:iCs/>
                <w:lang w:val="es-ES"/>
              </w:rPr>
              <w:t>Enteromorpha</w:t>
            </w:r>
            <w:r w:rsidRPr="00173FBA">
              <w:rPr>
                <w:lang w:val="es-ES"/>
              </w:rPr>
              <w:t xml:space="preserve"> </w:t>
            </w:r>
            <w:r w:rsidRPr="00173FBA">
              <w:rPr>
                <w:i/>
                <w:iCs/>
                <w:lang w:val="es-ES"/>
              </w:rPr>
              <w:t>intestinalis</w:t>
            </w:r>
            <w:r w:rsidRPr="00173FBA">
              <w:rPr>
                <w:lang w:val="es-ES"/>
              </w:rPr>
              <w:t xml:space="preserve">; </w:t>
            </w:r>
            <w:r w:rsidRPr="00173FBA">
              <w:rPr>
                <w:i/>
                <w:iCs/>
                <w:lang w:val="es-ES"/>
              </w:rPr>
              <w:t>Enteromorpha</w:t>
            </w:r>
            <w:r w:rsidRPr="00173FBA">
              <w:rPr>
                <w:lang w:val="es-ES"/>
              </w:rPr>
              <w:t xml:space="preserve"> </w:t>
            </w:r>
            <w:r w:rsidRPr="00173FBA">
              <w:rPr>
                <w:i/>
                <w:iCs/>
                <w:lang w:val="es-ES"/>
              </w:rPr>
              <w:t>linza</w:t>
            </w:r>
            <w:r w:rsidRPr="00173FBA">
              <w:rPr>
                <w:lang w:val="es-ES"/>
              </w:rPr>
              <w:t xml:space="preserve">; </w:t>
            </w:r>
            <w:r w:rsidRPr="00173FBA">
              <w:rPr>
                <w:i/>
                <w:iCs/>
                <w:lang w:val="es-ES"/>
              </w:rPr>
              <w:t>Ulva</w:t>
            </w:r>
            <w:r w:rsidRPr="00173FBA">
              <w:rPr>
                <w:lang w:val="es-ES"/>
              </w:rPr>
              <w:t xml:space="preserve"> </w:t>
            </w:r>
            <w:r w:rsidRPr="00173FBA">
              <w:rPr>
                <w:i/>
                <w:iCs/>
                <w:lang w:val="es-ES"/>
              </w:rPr>
              <w:t>lactuca</w:t>
            </w:r>
            <w:r w:rsidRPr="00173FBA">
              <w:rPr>
                <w:lang w:val="es-ES"/>
              </w:rPr>
              <w:t xml:space="preserve">; </w:t>
            </w:r>
            <w:r w:rsidRPr="00173FBA">
              <w:rPr>
                <w:i/>
                <w:iCs/>
                <w:lang w:val="es-ES"/>
              </w:rPr>
              <w:t>Corrallina</w:t>
            </w:r>
            <w:r w:rsidRPr="00173FBA">
              <w:rPr>
                <w:lang w:val="es-ES"/>
              </w:rPr>
              <w:t xml:space="preserve"> </w:t>
            </w:r>
            <w:r w:rsidRPr="00173FBA">
              <w:rPr>
                <w:i/>
                <w:iCs/>
                <w:lang w:val="es-ES"/>
              </w:rPr>
              <w:t>mediterranea</w:t>
            </w:r>
            <w:r w:rsidRPr="00173FBA">
              <w:rPr>
                <w:lang w:val="es-ES"/>
              </w:rPr>
              <w:t xml:space="preserve">; </w:t>
            </w:r>
            <w:r w:rsidRPr="00173FBA">
              <w:rPr>
                <w:i/>
                <w:iCs/>
                <w:lang w:val="es-ES"/>
              </w:rPr>
              <w:t>Pterocladia</w:t>
            </w:r>
            <w:r w:rsidRPr="00173FBA">
              <w:rPr>
                <w:lang w:val="es-ES"/>
              </w:rPr>
              <w:t xml:space="preserve"> </w:t>
            </w:r>
            <w:r w:rsidRPr="00173FBA">
              <w:rPr>
                <w:i/>
                <w:iCs/>
                <w:lang w:val="es-ES"/>
              </w:rPr>
              <w:t>capillacea</w:t>
            </w:r>
            <w:r w:rsidRPr="00173FBA">
              <w:rPr>
                <w:lang w:val="es-ES"/>
              </w:rPr>
              <w:t xml:space="preserve">; </w:t>
            </w:r>
            <w:r w:rsidRPr="00173FBA">
              <w:rPr>
                <w:i/>
                <w:iCs/>
                <w:lang w:val="es-ES"/>
              </w:rPr>
              <w:t>Porphyra</w:t>
            </w:r>
            <w:r w:rsidRPr="00173FBA">
              <w:rPr>
                <w:lang w:val="es-ES"/>
              </w:rPr>
              <w:t xml:space="preserve"> species; </w:t>
            </w:r>
            <w:r w:rsidRPr="00173FBA">
              <w:rPr>
                <w:i/>
                <w:iCs/>
                <w:lang w:val="es-ES"/>
              </w:rPr>
              <w:t>Ecklonia</w:t>
            </w:r>
            <w:r w:rsidRPr="00173FBA">
              <w:rPr>
                <w:lang w:val="es-ES"/>
              </w:rPr>
              <w:t xml:space="preserve"> </w:t>
            </w:r>
            <w:r w:rsidRPr="00173FBA">
              <w:rPr>
                <w:i/>
                <w:iCs/>
                <w:lang w:val="es-ES"/>
              </w:rPr>
              <w:t>radiata</w:t>
            </w:r>
            <w:r w:rsidRPr="00173FBA">
              <w:rPr>
                <w:lang w:val="es-ES"/>
              </w:rPr>
              <w:t xml:space="preserve">; </w:t>
            </w:r>
            <w:r w:rsidRPr="00173FBA">
              <w:rPr>
                <w:i/>
                <w:iCs/>
                <w:lang w:val="es-ES"/>
              </w:rPr>
              <w:t>Macrocystis</w:t>
            </w:r>
            <w:r w:rsidRPr="00173FBA">
              <w:rPr>
                <w:lang w:val="es-ES"/>
              </w:rPr>
              <w:t xml:space="preserve"> </w:t>
            </w:r>
            <w:r w:rsidRPr="00173FBA">
              <w:rPr>
                <w:i/>
                <w:iCs/>
                <w:lang w:val="es-ES"/>
              </w:rPr>
              <w:t>pyrifera</w:t>
            </w:r>
            <w:r w:rsidRPr="00173FBA">
              <w:rPr>
                <w:lang w:val="es-ES"/>
              </w:rPr>
              <w:t xml:space="preserve">; </w:t>
            </w:r>
            <w:r w:rsidR="006D17D6" w:rsidRPr="00173FBA">
              <w:rPr>
                <w:i/>
                <w:iCs/>
                <w:lang w:val="es-ES"/>
              </w:rPr>
              <w:t>Undaria</w:t>
            </w:r>
            <w:r w:rsidRPr="00173FBA">
              <w:rPr>
                <w:lang w:val="es-ES"/>
              </w:rPr>
              <w:t xml:space="preserve"> </w:t>
            </w:r>
            <w:r w:rsidRPr="00173FBA">
              <w:rPr>
                <w:i/>
                <w:iCs/>
                <w:lang w:val="es-ES"/>
              </w:rPr>
              <w:t>pinnatifida</w:t>
            </w:r>
          </w:p>
        </w:tc>
        <w:tc>
          <w:tcPr>
            <w:tcW w:w="2605" w:type="dxa"/>
          </w:tcPr>
          <w:p w14:paraId="16972AF3" w14:textId="5942B015" w:rsidR="00B8697B" w:rsidRDefault="00B8697B" w:rsidP="008D7F48">
            <w:r w:rsidRPr="00B8697B">
              <w:t>Mohammed &amp; Khaled, 2005; Smitha et al., 2010</w:t>
            </w:r>
          </w:p>
        </w:tc>
      </w:tr>
      <w:tr w:rsidR="00B8697B" w14:paraId="74BAC418" w14:textId="77777777" w:rsidTr="000B3FDE">
        <w:tc>
          <w:tcPr>
            <w:tcW w:w="2636" w:type="dxa"/>
          </w:tcPr>
          <w:p w14:paraId="7D40A1EE" w14:textId="195EE9A1" w:rsidR="00B8697B" w:rsidRDefault="00B8697B" w:rsidP="008D7F48">
            <w:r>
              <w:t>Lead (Pb)</w:t>
            </w:r>
          </w:p>
        </w:tc>
        <w:tc>
          <w:tcPr>
            <w:tcW w:w="7709" w:type="dxa"/>
          </w:tcPr>
          <w:p w14:paraId="33912711" w14:textId="7483E665" w:rsidR="00B8697B" w:rsidRPr="00173FBA" w:rsidRDefault="00B8697B" w:rsidP="00B8697B">
            <w:pPr>
              <w:rPr>
                <w:i/>
                <w:iCs/>
                <w:lang w:val="es-ES"/>
              </w:rPr>
            </w:pPr>
            <w:r w:rsidRPr="00173FBA">
              <w:rPr>
                <w:i/>
                <w:iCs/>
                <w:lang w:val="es-ES"/>
              </w:rPr>
              <w:t>Undaria</w:t>
            </w:r>
            <w:r w:rsidRPr="00173FBA">
              <w:rPr>
                <w:lang w:val="es-ES"/>
              </w:rPr>
              <w:t xml:space="preserve"> </w:t>
            </w:r>
            <w:r w:rsidRPr="00173FBA">
              <w:rPr>
                <w:i/>
                <w:iCs/>
                <w:lang w:val="es-ES"/>
              </w:rPr>
              <w:t>pinnatifida</w:t>
            </w:r>
            <w:r w:rsidR="00E04503" w:rsidRPr="00173FBA">
              <w:rPr>
                <w:i/>
                <w:iCs/>
                <w:lang w:val="es-ES"/>
              </w:rPr>
              <w:t xml:space="preserve">; </w:t>
            </w:r>
            <w:r w:rsidRPr="00173FBA">
              <w:rPr>
                <w:i/>
                <w:iCs/>
                <w:lang w:val="es-ES"/>
              </w:rPr>
              <w:t>Himanthalia</w:t>
            </w:r>
            <w:r w:rsidRPr="00173FBA">
              <w:rPr>
                <w:lang w:val="es-ES"/>
              </w:rPr>
              <w:t xml:space="preserve"> </w:t>
            </w:r>
            <w:r w:rsidRPr="00173FBA">
              <w:rPr>
                <w:i/>
                <w:iCs/>
                <w:lang w:val="es-ES"/>
              </w:rPr>
              <w:t>elongata</w:t>
            </w:r>
            <w:r w:rsidR="00E04503" w:rsidRPr="00173FBA">
              <w:rPr>
                <w:i/>
                <w:iCs/>
                <w:lang w:val="es-ES"/>
              </w:rPr>
              <w:t>;</w:t>
            </w:r>
            <w:r w:rsidR="00E04503" w:rsidRPr="00173FBA">
              <w:rPr>
                <w:lang w:val="es-ES"/>
              </w:rPr>
              <w:t xml:space="preserve"> </w:t>
            </w:r>
            <w:r w:rsidRPr="00173FBA">
              <w:rPr>
                <w:i/>
                <w:iCs/>
                <w:lang w:val="es-ES"/>
              </w:rPr>
              <w:t>Laminaria</w:t>
            </w:r>
            <w:r w:rsidRPr="00173FBA">
              <w:rPr>
                <w:lang w:val="es-ES"/>
              </w:rPr>
              <w:t xml:space="preserve"> </w:t>
            </w:r>
            <w:r w:rsidRPr="00173FBA">
              <w:rPr>
                <w:i/>
                <w:iCs/>
                <w:lang w:val="es-ES"/>
              </w:rPr>
              <w:t>ochroleuca</w:t>
            </w:r>
            <w:r w:rsidR="00E04503" w:rsidRPr="00173FBA">
              <w:rPr>
                <w:lang w:val="es-ES"/>
              </w:rPr>
              <w:t xml:space="preserve">; </w:t>
            </w:r>
            <w:r w:rsidRPr="00173FBA">
              <w:rPr>
                <w:lang w:val="es-ES"/>
              </w:rPr>
              <w:t xml:space="preserve">Seaweed Salad (a mix of </w:t>
            </w:r>
            <w:r w:rsidRPr="00173FBA">
              <w:rPr>
                <w:i/>
                <w:iCs/>
                <w:lang w:val="es-ES"/>
              </w:rPr>
              <w:t>Undaria</w:t>
            </w:r>
            <w:r w:rsidRPr="00173FBA">
              <w:rPr>
                <w:lang w:val="es-ES"/>
              </w:rPr>
              <w:t xml:space="preserve"> </w:t>
            </w:r>
            <w:r w:rsidRPr="00173FBA">
              <w:rPr>
                <w:i/>
                <w:iCs/>
                <w:lang w:val="es-ES"/>
              </w:rPr>
              <w:t>pinnatifida</w:t>
            </w:r>
            <w:r w:rsidRPr="00173FBA">
              <w:rPr>
                <w:lang w:val="es-ES"/>
              </w:rPr>
              <w:t xml:space="preserve">, </w:t>
            </w:r>
            <w:r w:rsidRPr="00173FBA">
              <w:rPr>
                <w:i/>
                <w:iCs/>
                <w:lang w:val="es-ES"/>
              </w:rPr>
              <w:t>Laminaria</w:t>
            </w:r>
            <w:r w:rsidRPr="00173FBA">
              <w:rPr>
                <w:lang w:val="es-ES"/>
              </w:rPr>
              <w:t xml:space="preserve"> </w:t>
            </w:r>
            <w:r w:rsidRPr="00173FBA">
              <w:rPr>
                <w:i/>
                <w:iCs/>
                <w:lang w:val="es-ES"/>
              </w:rPr>
              <w:t>ochroleuca</w:t>
            </w:r>
            <w:r w:rsidRPr="00173FBA">
              <w:rPr>
                <w:lang w:val="es-ES"/>
              </w:rPr>
              <w:t xml:space="preserve">, and </w:t>
            </w:r>
            <w:r w:rsidRPr="00173FBA">
              <w:rPr>
                <w:i/>
                <w:iCs/>
                <w:lang w:val="es-ES"/>
              </w:rPr>
              <w:t>Himanthalia</w:t>
            </w:r>
            <w:r w:rsidRPr="00173FBA">
              <w:rPr>
                <w:lang w:val="es-ES"/>
              </w:rPr>
              <w:t xml:space="preserve"> </w:t>
            </w:r>
            <w:r w:rsidRPr="00173FBA">
              <w:rPr>
                <w:i/>
                <w:iCs/>
                <w:lang w:val="es-ES"/>
              </w:rPr>
              <w:t>elongata</w:t>
            </w:r>
            <w:r w:rsidRPr="00173FBA">
              <w:rPr>
                <w:lang w:val="es-ES"/>
              </w:rPr>
              <w:t>)</w:t>
            </w:r>
          </w:p>
        </w:tc>
        <w:tc>
          <w:tcPr>
            <w:tcW w:w="2605" w:type="dxa"/>
          </w:tcPr>
          <w:p w14:paraId="6294778A" w14:textId="581B8058" w:rsidR="00B8697B" w:rsidRDefault="00B8697B" w:rsidP="008D7F48">
            <w:r w:rsidRPr="00B8697B">
              <w:t>Paz et al. 2019</w:t>
            </w:r>
          </w:p>
        </w:tc>
      </w:tr>
      <w:tr w:rsidR="00B8697B" w14:paraId="1692B369" w14:textId="77777777" w:rsidTr="000B3FDE">
        <w:tc>
          <w:tcPr>
            <w:tcW w:w="2636" w:type="dxa"/>
          </w:tcPr>
          <w:p w14:paraId="3C01BA31" w14:textId="693576DD" w:rsidR="00B8697B" w:rsidRDefault="00B8697B" w:rsidP="008D7F48">
            <w:r>
              <w:t>Lead (Pb)</w:t>
            </w:r>
          </w:p>
        </w:tc>
        <w:tc>
          <w:tcPr>
            <w:tcW w:w="7709" w:type="dxa"/>
          </w:tcPr>
          <w:p w14:paraId="2950ABD0" w14:textId="199D4FB7" w:rsidR="00B8697B" w:rsidRPr="00173FBA" w:rsidRDefault="00B8697B" w:rsidP="00B8697B">
            <w:pPr>
              <w:rPr>
                <w:lang w:val="es-ES"/>
              </w:rPr>
            </w:pPr>
            <w:r w:rsidRPr="00173FBA">
              <w:rPr>
                <w:i/>
                <w:iCs/>
                <w:lang w:val="es-ES"/>
              </w:rPr>
              <w:t>Gracilaria</w:t>
            </w:r>
            <w:r w:rsidRPr="00173FBA">
              <w:rPr>
                <w:lang w:val="es-ES"/>
              </w:rPr>
              <w:t xml:space="preserve"> </w:t>
            </w:r>
            <w:r w:rsidRPr="00173FBA">
              <w:rPr>
                <w:i/>
                <w:iCs/>
                <w:lang w:val="es-ES"/>
              </w:rPr>
              <w:t>lemaneiformis</w:t>
            </w:r>
            <w:r w:rsidR="00E04503" w:rsidRPr="00173FBA">
              <w:rPr>
                <w:i/>
                <w:iCs/>
                <w:lang w:val="es-ES"/>
              </w:rPr>
              <w:t>;</w:t>
            </w:r>
            <w:r w:rsidRPr="00173FBA">
              <w:rPr>
                <w:lang w:val="es-ES"/>
              </w:rPr>
              <w:t xml:space="preserve"> </w:t>
            </w:r>
            <w:r w:rsidRPr="00173FBA">
              <w:rPr>
                <w:i/>
                <w:iCs/>
                <w:lang w:val="es-ES"/>
              </w:rPr>
              <w:t>Gracilaria</w:t>
            </w:r>
            <w:r w:rsidRPr="00173FBA">
              <w:rPr>
                <w:lang w:val="es-ES"/>
              </w:rPr>
              <w:t xml:space="preserve"> </w:t>
            </w:r>
            <w:r w:rsidRPr="00173FBA">
              <w:rPr>
                <w:i/>
                <w:iCs/>
                <w:lang w:val="es-ES"/>
              </w:rPr>
              <w:t>chouae</w:t>
            </w:r>
            <w:r w:rsidR="00E04503" w:rsidRPr="00173FBA">
              <w:rPr>
                <w:lang w:val="es-ES"/>
              </w:rPr>
              <w:t xml:space="preserve">; </w:t>
            </w:r>
            <w:r w:rsidRPr="00173FBA">
              <w:rPr>
                <w:i/>
                <w:iCs/>
                <w:lang w:val="es-ES"/>
              </w:rPr>
              <w:t>Ulva</w:t>
            </w:r>
            <w:r w:rsidRPr="00173FBA">
              <w:rPr>
                <w:lang w:val="es-ES"/>
              </w:rPr>
              <w:t xml:space="preserve"> </w:t>
            </w:r>
            <w:r w:rsidRPr="00173FBA">
              <w:rPr>
                <w:i/>
                <w:iCs/>
                <w:lang w:val="es-ES"/>
              </w:rPr>
              <w:t>fasciata</w:t>
            </w:r>
            <w:r w:rsidR="00E04503" w:rsidRPr="00173FBA">
              <w:rPr>
                <w:i/>
                <w:iCs/>
                <w:lang w:val="es-ES"/>
              </w:rPr>
              <w:t xml:space="preserve">; </w:t>
            </w:r>
            <w:r w:rsidRPr="00173FBA">
              <w:rPr>
                <w:i/>
                <w:iCs/>
                <w:lang w:val="es-ES"/>
              </w:rPr>
              <w:t>Sargassum</w:t>
            </w:r>
            <w:r w:rsidRPr="00173FBA">
              <w:rPr>
                <w:lang w:val="es-ES"/>
              </w:rPr>
              <w:t xml:space="preserve"> </w:t>
            </w:r>
            <w:r w:rsidRPr="00173FBA">
              <w:rPr>
                <w:i/>
                <w:iCs/>
                <w:lang w:val="es-ES"/>
              </w:rPr>
              <w:t>thunbergii</w:t>
            </w:r>
            <w:r w:rsidR="00E04503" w:rsidRPr="00173FBA">
              <w:rPr>
                <w:i/>
                <w:iCs/>
                <w:lang w:val="es-ES"/>
              </w:rPr>
              <w:t>;</w:t>
            </w:r>
            <w:r w:rsidRPr="00173FBA">
              <w:rPr>
                <w:lang w:val="es-ES"/>
              </w:rPr>
              <w:t xml:space="preserve"> </w:t>
            </w:r>
            <w:r w:rsidRPr="00173FBA">
              <w:rPr>
                <w:i/>
                <w:iCs/>
                <w:lang w:val="es-ES"/>
              </w:rPr>
              <w:t>Sargassum</w:t>
            </w:r>
            <w:r w:rsidRPr="00173FBA">
              <w:rPr>
                <w:lang w:val="es-ES"/>
              </w:rPr>
              <w:t xml:space="preserve"> </w:t>
            </w:r>
            <w:r w:rsidRPr="00173FBA">
              <w:rPr>
                <w:i/>
                <w:iCs/>
                <w:lang w:val="es-ES"/>
              </w:rPr>
              <w:t>fusiforme</w:t>
            </w:r>
            <w:r w:rsidR="00E04503" w:rsidRPr="00173FBA">
              <w:rPr>
                <w:i/>
                <w:iCs/>
                <w:lang w:val="es-ES"/>
              </w:rPr>
              <w:t>;</w:t>
            </w:r>
            <w:r w:rsidRPr="00173FBA">
              <w:rPr>
                <w:lang w:val="es-ES"/>
              </w:rPr>
              <w:t xml:space="preserve"> </w:t>
            </w:r>
            <w:r w:rsidRPr="00173FBA">
              <w:rPr>
                <w:i/>
                <w:iCs/>
                <w:lang w:val="es-ES"/>
              </w:rPr>
              <w:t>Sargassum</w:t>
            </w:r>
            <w:r w:rsidRPr="00173FBA">
              <w:rPr>
                <w:lang w:val="es-ES"/>
              </w:rPr>
              <w:t xml:space="preserve"> </w:t>
            </w:r>
            <w:r w:rsidRPr="00173FBA">
              <w:rPr>
                <w:i/>
                <w:iCs/>
                <w:lang w:val="es-ES"/>
              </w:rPr>
              <w:t>horneri</w:t>
            </w:r>
            <w:r w:rsidR="00E04503" w:rsidRPr="00173FBA">
              <w:rPr>
                <w:i/>
                <w:iCs/>
                <w:lang w:val="es-ES"/>
              </w:rPr>
              <w:t>;</w:t>
            </w:r>
            <w:r w:rsidRPr="00173FBA">
              <w:rPr>
                <w:lang w:val="es-ES"/>
              </w:rPr>
              <w:t xml:space="preserve"> </w:t>
            </w:r>
            <w:r w:rsidRPr="00173FBA">
              <w:rPr>
                <w:i/>
                <w:iCs/>
                <w:lang w:val="es-ES"/>
              </w:rPr>
              <w:t>Pelvetia</w:t>
            </w:r>
            <w:r w:rsidRPr="00173FBA">
              <w:rPr>
                <w:lang w:val="es-ES"/>
              </w:rPr>
              <w:t xml:space="preserve"> </w:t>
            </w:r>
            <w:r w:rsidRPr="00173FBA">
              <w:rPr>
                <w:i/>
                <w:iCs/>
                <w:lang w:val="es-ES"/>
              </w:rPr>
              <w:t>siliguosa</w:t>
            </w:r>
            <w:r w:rsidR="00E04503" w:rsidRPr="00173FBA">
              <w:rPr>
                <w:i/>
                <w:iCs/>
                <w:lang w:val="es-ES"/>
              </w:rPr>
              <w:t>;</w:t>
            </w:r>
            <w:r w:rsidRPr="00173FBA">
              <w:rPr>
                <w:lang w:val="es-ES"/>
              </w:rPr>
              <w:t xml:space="preserve"> </w:t>
            </w:r>
            <w:r w:rsidRPr="00173FBA">
              <w:rPr>
                <w:i/>
                <w:iCs/>
                <w:lang w:val="es-ES"/>
              </w:rPr>
              <w:t>Laminaria</w:t>
            </w:r>
            <w:r w:rsidRPr="00173FBA">
              <w:rPr>
                <w:lang w:val="es-ES"/>
              </w:rPr>
              <w:t xml:space="preserve"> </w:t>
            </w:r>
            <w:r w:rsidRPr="00173FBA">
              <w:rPr>
                <w:i/>
                <w:iCs/>
                <w:lang w:val="es-ES"/>
              </w:rPr>
              <w:t>japonica</w:t>
            </w:r>
          </w:p>
        </w:tc>
        <w:tc>
          <w:tcPr>
            <w:tcW w:w="2605" w:type="dxa"/>
          </w:tcPr>
          <w:p w14:paraId="16DC2561" w14:textId="67239927" w:rsidR="00B8697B" w:rsidRDefault="00B8697B" w:rsidP="008D7F48">
            <w:r w:rsidRPr="00B8697B">
              <w:t>Sun et al., 2019</w:t>
            </w:r>
          </w:p>
        </w:tc>
      </w:tr>
      <w:tr w:rsidR="00B8697B" w14:paraId="4418B225" w14:textId="77777777" w:rsidTr="000B3FDE">
        <w:tc>
          <w:tcPr>
            <w:tcW w:w="2636" w:type="dxa"/>
            <w:tcBorders>
              <w:bottom w:val="single" w:sz="8" w:space="0" w:color="0D0D0D" w:themeColor="text1" w:themeTint="F2"/>
            </w:tcBorders>
          </w:tcPr>
          <w:p w14:paraId="14F98D54" w14:textId="431DF106" w:rsidR="00B8697B" w:rsidRDefault="00B8697B" w:rsidP="008D7F48">
            <w:r>
              <w:t>Lead (Pb)</w:t>
            </w:r>
          </w:p>
        </w:tc>
        <w:tc>
          <w:tcPr>
            <w:tcW w:w="7709" w:type="dxa"/>
            <w:tcBorders>
              <w:bottom w:val="single" w:sz="8" w:space="0" w:color="0D0D0D" w:themeColor="text1" w:themeTint="F2"/>
            </w:tcBorders>
          </w:tcPr>
          <w:p w14:paraId="44AF7C3F" w14:textId="17ED027E" w:rsidR="00B8697B" w:rsidRDefault="00B8697B" w:rsidP="00B8697B">
            <w:r w:rsidRPr="00B8697B">
              <w:rPr>
                <w:i/>
                <w:iCs/>
              </w:rPr>
              <w:t>Ulva</w:t>
            </w:r>
            <w:r>
              <w:t xml:space="preserve"> species</w:t>
            </w:r>
            <w:r w:rsidR="00E04503">
              <w:t xml:space="preserve">; </w:t>
            </w:r>
            <w:r w:rsidRPr="00B8697B">
              <w:rPr>
                <w:i/>
                <w:iCs/>
              </w:rPr>
              <w:t>Durvillaea</w:t>
            </w:r>
            <w:r>
              <w:t xml:space="preserve"> </w:t>
            </w:r>
            <w:r w:rsidR="00E04503">
              <w:rPr>
                <w:i/>
                <w:iCs/>
              </w:rPr>
              <w:t>incurvate;</w:t>
            </w:r>
            <w:r>
              <w:t xml:space="preserve"> </w:t>
            </w:r>
            <w:r w:rsidRPr="00B8697B">
              <w:rPr>
                <w:i/>
                <w:iCs/>
              </w:rPr>
              <w:t>Lessonia</w:t>
            </w:r>
            <w:r>
              <w:t xml:space="preserve"> </w:t>
            </w:r>
            <w:r w:rsidRPr="00B8697B">
              <w:rPr>
                <w:i/>
                <w:iCs/>
              </w:rPr>
              <w:t>spicata</w:t>
            </w:r>
            <w:r w:rsidR="00E04503">
              <w:rPr>
                <w:i/>
                <w:iCs/>
              </w:rPr>
              <w:t>;</w:t>
            </w:r>
            <w:r>
              <w:t xml:space="preserve"> </w:t>
            </w:r>
            <w:r w:rsidRPr="00B8697B">
              <w:rPr>
                <w:i/>
                <w:iCs/>
              </w:rPr>
              <w:t>Lessonia</w:t>
            </w:r>
            <w:r>
              <w:t xml:space="preserve"> </w:t>
            </w:r>
            <w:r w:rsidRPr="00B8697B">
              <w:rPr>
                <w:i/>
                <w:iCs/>
              </w:rPr>
              <w:t>berteroana</w:t>
            </w:r>
            <w:r w:rsidR="00E04503">
              <w:rPr>
                <w:i/>
                <w:iCs/>
              </w:rPr>
              <w:t xml:space="preserve">; </w:t>
            </w:r>
            <w:r w:rsidRPr="00B8697B">
              <w:rPr>
                <w:i/>
                <w:iCs/>
              </w:rPr>
              <w:t>Lessonia</w:t>
            </w:r>
            <w:r>
              <w:t xml:space="preserve"> </w:t>
            </w:r>
            <w:r w:rsidR="00E04503">
              <w:rPr>
                <w:i/>
                <w:iCs/>
              </w:rPr>
              <w:t>trabeculate;</w:t>
            </w:r>
            <w:r>
              <w:t xml:space="preserve"> </w:t>
            </w:r>
            <w:r w:rsidRPr="00B8697B">
              <w:rPr>
                <w:i/>
                <w:iCs/>
              </w:rPr>
              <w:t>Macrocystis</w:t>
            </w:r>
            <w:r>
              <w:t xml:space="preserve"> </w:t>
            </w:r>
            <w:r w:rsidRPr="00B8697B">
              <w:rPr>
                <w:i/>
                <w:iCs/>
              </w:rPr>
              <w:t>pyrifera</w:t>
            </w:r>
            <w:r w:rsidR="00E04503">
              <w:rPr>
                <w:i/>
                <w:iCs/>
              </w:rPr>
              <w:t xml:space="preserve">; </w:t>
            </w:r>
            <w:r w:rsidRPr="00B8697B">
              <w:rPr>
                <w:i/>
                <w:iCs/>
              </w:rPr>
              <w:t>Gracilaria</w:t>
            </w:r>
            <w:r>
              <w:t xml:space="preserve"> </w:t>
            </w:r>
            <w:r w:rsidRPr="00B8697B">
              <w:rPr>
                <w:i/>
                <w:iCs/>
              </w:rPr>
              <w:t>chilensis</w:t>
            </w:r>
            <w:r w:rsidR="00E04503">
              <w:rPr>
                <w:i/>
                <w:iCs/>
              </w:rPr>
              <w:t>;</w:t>
            </w:r>
            <w:r>
              <w:t xml:space="preserve"> </w:t>
            </w:r>
            <w:r w:rsidRPr="00B8697B">
              <w:rPr>
                <w:i/>
                <w:iCs/>
              </w:rPr>
              <w:t>Chondracanthus</w:t>
            </w:r>
            <w:r>
              <w:t xml:space="preserve"> </w:t>
            </w:r>
            <w:r w:rsidRPr="00B8697B">
              <w:rPr>
                <w:i/>
                <w:iCs/>
              </w:rPr>
              <w:t>chamissoi</w:t>
            </w:r>
            <w:r w:rsidR="00E04503">
              <w:rPr>
                <w:i/>
                <w:iCs/>
              </w:rPr>
              <w:t>;</w:t>
            </w:r>
            <w:r>
              <w:t xml:space="preserve"> </w:t>
            </w:r>
            <w:r w:rsidRPr="00B8697B">
              <w:rPr>
                <w:i/>
                <w:iCs/>
              </w:rPr>
              <w:t>Cryptonemia</w:t>
            </w:r>
            <w:r>
              <w:t xml:space="preserve"> </w:t>
            </w:r>
            <w:r w:rsidR="00E04503">
              <w:rPr>
                <w:i/>
                <w:iCs/>
              </w:rPr>
              <w:t>obovate;</w:t>
            </w:r>
            <w:r>
              <w:t xml:space="preserve"> </w:t>
            </w:r>
            <w:r w:rsidRPr="00B8697B">
              <w:rPr>
                <w:i/>
                <w:iCs/>
              </w:rPr>
              <w:t>Sarcodiotheca</w:t>
            </w:r>
            <w:r>
              <w:t xml:space="preserve"> </w:t>
            </w:r>
            <w:r w:rsidRPr="00B8697B">
              <w:rPr>
                <w:i/>
                <w:iCs/>
              </w:rPr>
              <w:t>gaudichaudii</w:t>
            </w:r>
            <w:r w:rsidR="00E04503">
              <w:rPr>
                <w:i/>
                <w:iCs/>
              </w:rPr>
              <w:t>;</w:t>
            </w:r>
            <w:r>
              <w:t xml:space="preserve"> </w:t>
            </w:r>
            <w:r w:rsidRPr="00B8697B">
              <w:rPr>
                <w:i/>
                <w:iCs/>
              </w:rPr>
              <w:t>Acrosorium</w:t>
            </w:r>
            <w:r>
              <w:t xml:space="preserve"> species</w:t>
            </w:r>
          </w:p>
        </w:tc>
        <w:tc>
          <w:tcPr>
            <w:tcW w:w="2605" w:type="dxa"/>
            <w:tcBorders>
              <w:bottom w:val="single" w:sz="8" w:space="0" w:color="0D0D0D" w:themeColor="text1" w:themeTint="F2"/>
            </w:tcBorders>
          </w:tcPr>
          <w:p w14:paraId="1B3E6796" w14:textId="6A89C7B7" w:rsidR="00B8697B" w:rsidRDefault="00B8697B" w:rsidP="008D7F48">
            <w:r w:rsidRPr="00B8697B">
              <w:t>Véliz et al., 2023</w:t>
            </w:r>
          </w:p>
        </w:tc>
      </w:tr>
      <w:tr w:rsidR="00B8697B" w14:paraId="3E03DF31" w14:textId="77777777" w:rsidTr="000B3FDE">
        <w:tc>
          <w:tcPr>
            <w:tcW w:w="2636" w:type="dxa"/>
            <w:tcBorders>
              <w:top w:val="single" w:sz="8" w:space="0" w:color="0D0D0D" w:themeColor="text1" w:themeTint="F2"/>
            </w:tcBorders>
          </w:tcPr>
          <w:p w14:paraId="08F98E2B" w14:textId="774732B2" w:rsidR="00B8697B" w:rsidRDefault="00B8697B" w:rsidP="008D7F48">
            <w:r>
              <w:t>Mercury/Methylmercury</w:t>
            </w:r>
          </w:p>
        </w:tc>
        <w:tc>
          <w:tcPr>
            <w:tcW w:w="7709" w:type="dxa"/>
            <w:tcBorders>
              <w:top w:val="single" w:sz="8" w:space="0" w:color="0D0D0D" w:themeColor="text1" w:themeTint="F2"/>
            </w:tcBorders>
          </w:tcPr>
          <w:p w14:paraId="68CFBBFE" w14:textId="7BB358A2" w:rsidR="00B8697B" w:rsidRDefault="005C7BC8" w:rsidP="005C7BC8">
            <w:r w:rsidRPr="005C7BC8">
              <w:rPr>
                <w:i/>
                <w:iCs/>
              </w:rPr>
              <w:t>Saccharina</w:t>
            </w:r>
            <w:r w:rsidR="00E04503">
              <w:rPr>
                <w:i/>
                <w:iCs/>
              </w:rPr>
              <w:t>;</w:t>
            </w:r>
            <w:r>
              <w:t xml:space="preserve"> </w:t>
            </w:r>
            <w:r w:rsidRPr="005C7BC8">
              <w:rPr>
                <w:i/>
                <w:iCs/>
              </w:rPr>
              <w:t>Himanthalia</w:t>
            </w:r>
            <w:r w:rsidR="00E04503">
              <w:rPr>
                <w:i/>
                <w:iCs/>
              </w:rPr>
              <w:t>;</w:t>
            </w:r>
            <w:r>
              <w:t xml:space="preserve"> </w:t>
            </w:r>
            <w:r w:rsidRPr="005C7BC8">
              <w:rPr>
                <w:i/>
                <w:iCs/>
              </w:rPr>
              <w:t>Laminaria</w:t>
            </w:r>
            <w:r w:rsidR="00E04503">
              <w:rPr>
                <w:i/>
                <w:iCs/>
              </w:rPr>
              <w:t>;</w:t>
            </w:r>
            <w:r>
              <w:t xml:space="preserve"> </w:t>
            </w:r>
            <w:r w:rsidRPr="005C7BC8">
              <w:rPr>
                <w:i/>
                <w:iCs/>
              </w:rPr>
              <w:t>Ascophyllum</w:t>
            </w:r>
            <w:r w:rsidR="00E04503">
              <w:rPr>
                <w:i/>
                <w:iCs/>
              </w:rPr>
              <w:t>;</w:t>
            </w:r>
            <w:r>
              <w:t xml:space="preserve"> </w:t>
            </w:r>
            <w:r w:rsidRPr="005C7BC8">
              <w:rPr>
                <w:i/>
                <w:iCs/>
              </w:rPr>
              <w:t>Undaria</w:t>
            </w:r>
            <w:r w:rsidR="00E04503">
              <w:rPr>
                <w:i/>
                <w:iCs/>
              </w:rPr>
              <w:t>;</w:t>
            </w:r>
            <w:r w:rsidR="00E04503">
              <w:t xml:space="preserve"> </w:t>
            </w:r>
            <w:r w:rsidRPr="005C7BC8">
              <w:rPr>
                <w:i/>
                <w:iCs/>
              </w:rPr>
              <w:t>Porphyra</w:t>
            </w:r>
            <w:r w:rsidR="00E04503">
              <w:t xml:space="preserve">; </w:t>
            </w:r>
            <w:r w:rsidRPr="005C7BC8">
              <w:rPr>
                <w:i/>
                <w:iCs/>
              </w:rPr>
              <w:t>Palmaria</w:t>
            </w:r>
            <w:r w:rsidR="00E04503">
              <w:t xml:space="preserve">; </w:t>
            </w:r>
            <w:r w:rsidRPr="005C7BC8">
              <w:rPr>
                <w:i/>
                <w:iCs/>
              </w:rPr>
              <w:t>Ulva</w:t>
            </w:r>
            <w:r w:rsidR="00E04503" w:rsidRPr="00E04503">
              <w:t xml:space="preserve"> species</w:t>
            </w:r>
            <w:r w:rsidR="00E04503">
              <w:t xml:space="preserve">; </w:t>
            </w:r>
            <w:r>
              <w:t>Mixed samples (combining various seaweed types)</w:t>
            </w:r>
          </w:p>
        </w:tc>
        <w:tc>
          <w:tcPr>
            <w:tcW w:w="2605" w:type="dxa"/>
            <w:tcBorders>
              <w:top w:val="single" w:sz="8" w:space="0" w:color="0D0D0D" w:themeColor="text1" w:themeTint="F2"/>
            </w:tcBorders>
          </w:tcPr>
          <w:p w14:paraId="046BFE35" w14:textId="188E39CF" w:rsidR="00B8697B" w:rsidRDefault="00B8697B" w:rsidP="008D7F48">
            <w:r w:rsidRPr="00B8697B">
              <w:t>Filippini et al., 2021</w:t>
            </w:r>
          </w:p>
        </w:tc>
      </w:tr>
      <w:tr w:rsidR="00B8697B" w14:paraId="15169F8B" w14:textId="77777777" w:rsidTr="000B3FDE">
        <w:tc>
          <w:tcPr>
            <w:tcW w:w="2636" w:type="dxa"/>
          </w:tcPr>
          <w:p w14:paraId="35962D86" w14:textId="0183499D" w:rsidR="00B8697B" w:rsidRDefault="005C7BC8" w:rsidP="008D7F48">
            <w:r>
              <w:t>Mercury/Methylmercury</w:t>
            </w:r>
          </w:p>
        </w:tc>
        <w:tc>
          <w:tcPr>
            <w:tcW w:w="7709" w:type="dxa"/>
          </w:tcPr>
          <w:p w14:paraId="5D5D3589" w14:textId="622044C0" w:rsidR="00B8697B" w:rsidRPr="00173FBA" w:rsidRDefault="005C7BC8" w:rsidP="005C7BC8">
            <w:pPr>
              <w:rPr>
                <w:lang w:val="es-ES"/>
              </w:rPr>
            </w:pPr>
            <w:r w:rsidRPr="00173FBA">
              <w:rPr>
                <w:i/>
                <w:iCs/>
                <w:lang w:val="es-ES"/>
              </w:rPr>
              <w:t>Ulva</w:t>
            </w:r>
            <w:r w:rsidRPr="00173FBA">
              <w:rPr>
                <w:lang w:val="es-ES"/>
              </w:rPr>
              <w:t xml:space="preserve"> </w:t>
            </w:r>
            <w:r w:rsidRPr="00173FBA">
              <w:rPr>
                <w:i/>
                <w:iCs/>
                <w:lang w:val="es-ES"/>
              </w:rPr>
              <w:t>lactuca</w:t>
            </w:r>
            <w:r w:rsidR="00E04503" w:rsidRPr="00173FBA">
              <w:rPr>
                <w:i/>
                <w:iCs/>
                <w:lang w:val="es-ES"/>
              </w:rPr>
              <w:t xml:space="preserve">; </w:t>
            </w:r>
            <w:r w:rsidRPr="00173FBA">
              <w:rPr>
                <w:i/>
                <w:iCs/>
                <w:lang w:val="es-ES"/>
              </w:rPr>
              <w:t>Eisenia</w:t>
            </w:r>
            <w:r w:rsidRPr="00173FBA">
              <w:rPr>
                <w:lang w:val="es-ES"/>
              </w:rPr>
              <w:t xml:space="preserve"> </w:t>
            </w:r>
            <w:r w:rsidRPr="00173FBA">
              <w:rPr>
                <w:i/>
                <w:iCs/>
                <w:lang w:val="es-ES"/>
              </w:rPr>
              <w:t>bicyclis</w:t>
            </w:r>
            <w:r w:rsidR="00E04503" w:rsidRPr="00173FBA">
              <w:rPr>
                <w:i/>
                <w:iCs/>
                <w:lang w:val="es-ES"/>
              </w:rPr>
              <w:t>;</w:t>
            </w:r>
            <w:r w:rsidRPr="00173FBA">
              <w:rPr>
                <w:lang w:val="es-ES"/>
              </w:rPr>
              <w:t xml:space="preserve"> </w:t>
            </w:r>
            <w:r w:rsidRPr="00173FBA">
              <w:rPr>
                <w:i/>
                <w:iCs/>
                <w:lang w:val="es-ES"/>
              </w:rPr>
              <w:t>Laminaria</w:t>
            </w:r>
            <w:r w:rsidRPr="00173FBA">
              <w:rPr>
                <w:lang w:val="es-ES"/>
              </w:rPr>
              <w:t xml:space="preserve"> </w:t>
            </w:r>
            <w:r w:rsidRPr="00173FBA">
              <w:rPr>
                <w:i/>
                <w:iCs/>
                <w:lang w:val="es-ES"/>
              </w:rPr>
              <w:t>ochroleuca</w:t>
            </w:r>
            <w:r w:rsidR="00E04503" w:rsidRPr="00173FBA">
              <w:rPr>
                <w:i/>
                <w:iCs/>
                <w:lang w:val="es-ES"/>
              </w:rPr>
              <w:t>;</w:t>
            </w:r>
            <w:r w:rsidRPr="00173FBA">
              <w:rPr>
                <w:lang w:val="es-ES"/>
              </w:rPr>
              <w:t xml:space="preserve"> </w:t>
            </w:r>
            <w:r w:rsidRPr="00173FBA">
              <w:rPr>
                <w:i/>
                <w:iCs/>
                <w:lang w:val="es-ES"/>
              </w:rPr>
              <w:t>Undaria</w:t>
            </w:r>
            <w:r w:rsidRPr="00173FBA">
              <w:rPr>
                <w:lang w:val="es-ES"/>
              </w:rPr>
              <w:t xml:space="preserve"> </w:t>
            </w:r>
            <w:r w:rsidRPr="00173FBA">
              <w:rPr>
                <w:i/>
                <w:iCs/>
                <w:lang w:val="es-ES"/>
              </w:rPr>
              <w:t>pinnatifida</w:t>
            </w:r>
            <w:r w:rsidR="00E04503" w:rsidRPr="00173FBA">
              <w:rPr>
                <w:i/>
                <w:iCs/>
                <w:lang w:val="es-ES"/>
              </w:rPr>
              <w:t>;</w:t>
            </w:r>
            <w:r w:rsidRPr="00173FBA">
              <w:rPr>
                <w:lang w:val="es-ES"/>
              </w:rPr>
              <w:t xml:space="preserve"> </w:t>
            </w:r>
            <w:r w:rsidRPr="00173FBA">
              <w:rPr>
                <w:i/>
                <w:iCs/>
                <w:lang w:val="es-ES"/>
              </w:rPr>
              <w:t>Sargassum</w:t>
            </w:r>
            <w:r w:rsidRPr="00173FBA">
              <w:rPr>
                <w:lang w:val="es-ES"/>
              </w:rPr>
              <w:t xml:space="preserve"> </w:t>
            </w:r>
            <w:r w:rsidRPr="00173FBA">
              <w:rPr>
                <w:i/>
                <w:iCs/>
                <w:lang w:val="es-ES"/>
              </w:rPr>
              <w:t>fusiforme</w:t>
            </w:r>
            <w:r w:rsidR="00E04503" w:rsidRPr="00173FBA">
              <w:rPr>
                <w:i/>
                <w:iCs/>
                <w:lang w:val="es-ES"/>
              </w:rPr>
              <w:t>;</w:t>
            </w:r>
            <w:r w:rsidRPr="00173FBA">
              <w:rPr>
                <w:lang w:val="es-ES"/>
              </w:rPr>
              <w:t xml:space="preserve"> </w:t>
            </w:r>
            <w:r w:rsidRPr="00173FBA">
              <w:rPr>
                <w:i/>
                <w:iCs/>
                <w:lang w:val="es-ES"/>
              </w:rPr>
              <w:t>Himanthalia</w:t>
            </w:r>
            <w:r w:rsidRPr="00173FBA">
              <w:rPr>
                <w:lang w:val="es-ES"/>
              </w:rPr>
              <w:t xml:space="preserve"> </w:t>
            </w:r>
            <w:r w:rsidRPr="00173FBA">
              <w:rPr>
                <w:i/>
                <w:iCs/>
                <w:lang w:val="es-ES"/>
              </w:rPr>
              <w:t>elongata</w:t>
            </w:r>
            <w:r w:rsidR="00E04503" w:rsidRPr="00173FBA">
              <w:rPr>
                <w:i/>
                <w:iCs/>
                <w:lang w:val="es-ES"/>
              </w:rPr>
              <w:t xml:space="preserve">; </w:t>
            </w:r>
            <w:r w:rsidRPr="00173FBA">
              <w:rPr>
                <w:i/>
                <w:iCs/>
                <w:lang w:val="es-ES"/>
              </w:rPr>
              <w:t>Gracilaria</w:t>
            </w:r>
            <w:r w:rsidR="00E04503" w:rsidRPr="00173FBA">
              <w:rPr>
                <w:lang w:val="es-ES"/>
              </w:rPr>
              <w:t>;</w:t>
            </w:r>
            <w:r w:rsidRPr="00173FBA">
              <w:rPr>
                <w:lang w:val="es-ES"/>
              </w:rPr>
              <w:t xml:space="preserve"> </w:t>
            </w:r>
            <w:r w:rsidRPr="00173FBA">
              <w:rPr>
                <w:i/>
                <w:iCs/>
                <w:lang w:val="es-ES"/>
              </w:rPr>
              <w:t>Porphyra</w:t>
            </w:r>
            <w:r w:rsidR="00E04503" w:rsidRPr="00173FBA">
              <w:rPr>
                <w:lang w:val="es-ES"/>
              </w:rPr>
              <w:t xml:space="preserve">; </w:t>
            </w:r>
            <w:r w:rsidRPr="00173FBA">
              <w:rPr>
                <w:i/>
                <w:iCs/>
                <w:lang w:val="es-ES"/>
              </w:rPr>
              <w:t>Mastocarpus</w:t>
            </w:r>
            <w:r w:rsidRPr="00173FBA">
              <w:rPr>
                <w:lang w:val="es-ES"/>
              </w:rPr>
              <w:t xml:space="preserve"> </w:t>
            </w:r>
            <w:r w:rsidRPr="00173FBA">
              <w:rPr>
                <w:i/>
                <w:iCs/>
                <w:lang w:val="es-ES"/>
              </w:rPr>
              <w:t>stellatus</w:t>
            </w:r>
          </w:p>
        </w:tc>
        <w:tc>
          <w:tcPr>
            <w:tcW w:w="2605" w:type="dxa"/>
          </w:tcPr>
          <w:p w14:paraId="5BDBAA06" w14:textId="2274C623" w:rsidR="00B8697B" w:rsidRDefault="005C7BC8" w:rsidP="008D7F48">
            <w:r w:rsidRPr="005C7BC8">
              <w:t>Martín-León et al., 2021</w:t>
            </w:r>
          </w:p>
        </w:tc>
      </w:tr>
      <w:tr w:rsidR="00B8697B" w14:paraId="5C888698" w14:textId="77777777" w:rsidTr="000B3FDE">
        <w:tc>
          <w:tcPr>
            <w:tcW w:w="2636" w:type="dxa"/>
          </w:tcPr>
          <w:p w14:paraId="54AFEF2A" w14:textId="24ABC116" w:rsidR="00B8697B" w:rsidRDefault="005C7BC8" w:rsidP="008D7F48">
            <w:r>
              <w:t>Mercury/Methylmercury</w:t>
            </w:r>
          </w:p>
        </w:tc>
        <w:tc>
          <w:tcPr>
            <w:tcW w:w="7709" w:type="dxa"/>
          </w:tcPr>
          <w:p w14:paraId="7C76F8C5" w14:textId="573E43F6" w:rsidR="00B8697B" w:rsidRPr="00173FBA" w:rsidRDefault="005C7BC8" w:rsidP="008D7F48">
            <w:pPr>
              <w:rPr>
                <w:i/>
                <w:iCs/>
                <w:lang w:val="es-ES"/>
              </w:rPr>
            </w:pPr>
            <w:r w:rsidRPr="00173FBA">
              <w:rPr>
                <w:i/>
                <w:iCs/>
                <w:lang w:val="es-ES"/>
              </w:rPr>
              <w:t>Enteromorpha intestinalis; Enteromorpha linza; Ulva lactuca; Corrallina mediterranea; Pterocladia capillacea; Porphyra spp.; Ecklonia radiata; Macrocystis pyrifera; Undaria pinnatifida</w:t>
            </w:r>
          </w:p>
        </w:tc>
        <w:tc>
          <w:tcPr>
            <w:tcW w:w="2605" w:type="dxa"/>
          </w:tcPr>
          <w:p w14:paraId="7B328796" w14:textId="113BE045" w:rsidR="00B8697B" w:rsidRDefault="005C7BC8" w:rsidP="005C7BC8">
            <w:r w:rsidRPr="005C7BC8">
              <w:t>Mohammed and Khaled, 2005; Smitha et al., 2010</w:t>
            </w:r>
          </w:p>
        </w:tc>
      </w:tr>
      <w:tr w:rsidR="00B8697B" w14:paraId="2BB03B64" w14:textId="77777777" w:rsidTr="000B3FDE">
        <w:tc>
          <w:tcPr>
            <w:tcW w:w="2636" w:type="dxa"/>
          </w:tcPr>
          <w:p w14:paraId="7CA04DDB" w14:textId="6C1B338B" w:rsidR="00B8697B" w:rsidRDefault="005C7BC8" w:rsidP="008D7F48">
            <w:r>
              <w:lastRenderedPageBreak/>
              <w:t>Mercury/Methylmercury</w:t>
            </w:r>
          </w:p>
        </w:tc>
        <w:tc>
          <w:tcPr>
            <w:tcW w:w="7709" w:type="dxa"/>
          </w:tcPr>
          <w:p w14:paraId="2CD7C631" w14:textId="6FB581E3" w:rsidR="00B8697B" w:rsidRPr="00173FBA" w:rsidRDefault="005C7BC8" w:rsidP="005C7BC8">
            <w:pPr>
              <w:rPr>
                <w:lang w:val="es-ES"/>
              </w:rPr>
            </w:pPr>
            <w:r w:rsidRPr="00173FBA">
              <w:rPr>
                <w:i/>
                <w:iCs/>
                <w:lang w:val="es-ES"/>
              </w:rPr>
              <w:t>Undaria</w:t>
            </w:r>
            <w:r w:rsidRPr="00173FBA">
              <w:rPr>
                <w:lang w:val="es-ES"/>
              </w:rPr>
              <w:t xml:space="preserve"> </w:t>
            </w:r>
            <w:r w:rsidRPr="00173FBA">
              <w:rPr>
                <w:i/>
                <w:iCs/>
                <w:lang w:val="es-ES"/>
              </w:rPr>
              <w:t>pinnatifida</w:t>
            </w:r>
            <w:r w:rsidR="00E04503" w:rsidRPr="00173FBA">
              <w:rPr>
                <w:i/>
                <w:iCs/>
                <w:lang w:val="es-ES"/>
              </w:rPr>
              <w:t xml:space="preserve">; </w:t>
            </w:r>
            <w:r w:rsidRPr="00173FBA">
              <w:rPr>
                <w:i/>
                <w:iCs/>
                <w:lang w:val="es-ES"/>
              </w:rPr>
              <w:t>Himanthalia</w:t>
            </w:r>
            <w:r w:rsidRPr="00173FBA">
              <w:rPr>
                <w:lang w:val="es-ES"/>
              </w:rPr>
              <w:t xml:space="preserve"> </w:t>
            </w:r>
            <w:r w:rsidRPr="00173FBA">
              <w:rPr>
                <w:i/>
                <w:iCs/>
                <w:lang w:val="es-ES"/>
              </w:rPr>
              <w:t>elongata</w:t>
            </w:r>
            <w:r w:rsidR="00E04503" w:rsidRPr="00173FBA">
              <w:rPr>
                <w:i/>
                <w:iCs/>
                <w:lang w:val="es-ES"/>
              </w:rPr>
              <w:t xml:space="preserve">; </w:t>
            </w:r>
            <w:r w:rsidRPr="00173FBA">
              <w:rPr>
                <w:i/>
                <w:iCs/>
                <w:lang w:val="es-ES"/>
              </w:rPr>
              <w:t>Laminaria</w:t>
            </w:r>
            <w:r w:rsidRPr="00173FBA">
              <w:rPr>
                <w:lang w:val="es-ES"/>
              </w:rPr>
              <w:t xml:space="preserve"> </w:t>
            </w:r>
            <w:r w:rsidRPr="00173FBA">
              <w:rPr>
                <w:i/>
                <w:iCs/>
                <w:lang w:val="es-ES"/>
              </w:rPr>
              <w:t>ochroleuca</w:t>
            </w:r>
          </w:p>
        </w:tc>
        <w:tc>
          <w:tcPr>
            <w:tcW w:w="2605" w:type="dxa"/>
          </w:tcPr>
          <w:p w14:paraId="6CDB148C" w14:textId="35D5DEFB" w:rsidR="00B8697B" w:rsidRDefault="005C7BC8" w:rsidP="008D7F48">
            <w:r w:rsidRPr="005C7BC8">
              <w:t>Paz et al., 2019</w:t>
            </w:r>
          </w:p>
        </w:tc>
      </w:tr>
      <w:tr w:rsidR="00B8697B" w14:paraId="6066A216" w14:textId="77777777" w:rsidTr="000B3FDE">
        <w:tc>
          <w:tcPr>
            <w:tcW w:w="2636" w:type="dxa"/>
          </w:tcPr>
          <w:p w14:paraId="22E340F9" w14:textId="6A955CEF" w:rsidR="00B8697B" w:rsidRDefault="005C7BC8" w:rsidP="008D7F48">
            <w:r>
              <w:t>Mercury/Methylmercury</w:t>
            </w:r>
          </w:p>
        </w:tc>
        <w:tc>
          <w:tcPr>
            <w:tcW w:w="7709" w:type="dxa"/>
          </w:tcPr>
          <w:p w14:paraId="03405B8A" w14:textId="768A0D3B" w:rsidR="00B8697B" w:rsidRDefault="005C7BC8" w:rsidP="005C7BC8">
            <w:r w:rsidRPr="005C7BC8">
              <w:rPr>
                <w:i/>
                <w:iCs/>
              </w:rPr>
              <w:t>Ulva</w:t>
            </w:r>
            <w:r>
              <w:t xml:space="preserve"> species</w:t>
            </w:r>
            <w:r w:rsidR="00E04503">
              <w:t xml:space="preserve">; </w:t>
            </w:r>
            <w:r w:rsidRPr="005C7BC8">
              <w:rPr>
                <w:i/>
                <w:iCs/>
              </w:rPr>
              <w:t>Durvillaea</w:t>
            </w:r>
            <w:r>
              <w:t xml:space="preserve"> </w:t>
            </w:r>
            <w:r w:rsidR="00E04503">
              <w:rPr>
                <w:i/>
                <w:iCs/>
              </w:rPr>
              <w:t>incurvate;</w:t>
            </w:r>
            <w:r>
              <w:t xml:space="preserve"> </w:t>
            </w:r>
            <w:r w:rsidRPr="005C7BC8">
              <w:rPr>
                <w:i/>
                <w:iCs/>
              </w:rPr>
              <w:t>Lessonia</w:t>
            </w:r>
            <w:r>
              <w:t xml:space="preserve"> </w:t>
            </w:r>
            <w:r w:rsidRPr="005C7BC8">
              <w:rPr>
                <w:i/>
                <w:iCs/>
              </w:rPr>
              <w:t>spicata</w:t>
            </w:r>
            <w:r w:rsidR="00E04503">
              <w:t>;</w:t>
            </w:r>
            <w:r>
              <w:t xml:space="preserve"> </w:t>
            </w:r>
            <w:r w:rsidRPr="005C7BC8">
              <w:rPr>
                <w:i/>
                <w:iCs/>
              </w:rPr>
              <w:t>Lessonia</w:t>
            </w:r>
            <w:r>
              <w:t xml:space="preserve"> </w:t>
            </w:r>
            <w:r w:rsidRPr="005C7BC8">
              <w:rPr>
                <w:i/>
                <w:iCs/>
              </w:rPr>
              <w:t>berteroana</w:t>
            </w:r>
            <w:r w:rsidR="00E04503">
              <w:rPr>
                <w:i/>
                <w:iCs/>
              </w:rPr>
              <w:t>;</w:t>
            </w:r>
            <w:r>
              <w:t xml:space="preserve"> </w:t>
            </w:r>
            <w:r w:rsidRPr="005C7BC8">
              <w:rPr>
                <w:i/>
                <w:iCs/>
              </w:rPr>
              <w:t>Lessonia</w:t>
            </w:r>
            <w:r>
              <w:t xml:space="preserve"> </w:t>
            </w:r>
            <w:r w:rsidR="00E04503">
              <w:rPr>
                <w:i/>
                <w:iCs/>
              </w:rPr>
              <w:t>trabeculate;</w:t>
            </w:r>
            <w:r>
              <w:t xml:space="preserve"> </w:t>
            </w:r>
            <w:r w:rsidRPr="005C7BC8">
              <w:rPr>
                <w:i/>
                <w:iCs/>
              </w:rPr>
              <w:t>Macrocystis</w:t>
            </w:r>
            <w:r>
              <w:t xml:space="preserve"> </w:t>
            </w:r>
            <w:r w:rsidRPr="005C7BC8">
              <w:rPr>
                <w:i/>
                <w:iCs/>
              </w:rPr>
              <w:t>pyrifera</w:t>
            </w:r>
            <w:r w:rsidR="00E04503">
              <w:rPr>
                <w:i/>
                <w:iCs/>
              </w:rPr>
              <w:t xml:space="preserve">; </w:t>
            </w:r>
            <w:r w:rsidRPr="005C7BC8">
              <w:rPr>
                <w:i/>
                <w:iCs/>
              </w:rPr>
              <w:t>Gracilaria</w:t>
            </w:r>
            <w:r>
              <w:t xml:space="preserve"> </w:t>
            </w:r>
            <w:r w:rsidRPr="005C7BC8">
              <w:rPr>
                <w:i/>
                <w:iCs/>
              </w:rPr>
              <w:t>chilensis</w:t>
            </w:r>
            <w:r w:rsidR="00E04503">
              <w:rPr>
                <w:i/>
                <w:iCs/>
              </w:rPr>
              <w:t xml:space="preserve">; </w:t>
            </w:r>
            <w:r w:rsidRPr="005C7BC8">
              <w:rPr>
                <w:i/>
                <w:iCs/>
              </w:rPr>
              <w:t>Chondracanthus</w:t>
            </w:r>
            <w:r>
              <w:t xml:space="preserve"> </w:t>
            </w:r>
            <w:r w:rsidRPr="005C7BC8">
              <w:rPr>
                <w:i/>
                <w:iCs/>
              </w:rPr>
              <w:t>chamissoi</w:t>
            </w:r>
            <w:r w:rsidR="00E04503">
              <w:rPr>
                <w:i/>
                <w:iCs/>
              </w:rPr>
              <w:t>;</w:t>
            </w:r>
            <w:r>
              <w:t xml:space="preserve"> </w:t>
            </w:r>
            <w:r w:rsidRPr="005C7BC8">
              <w:rPr>
                <w:i/>
                <w:iCs/>
              </w:rPr>
              <w:t>Cryptonemia</w:t>
            </w:r>
            <w:r>
              <w:t xml:space="preserve"> </w:t>
            </w:r>
            <w:r w:rsidR="00E04503">
              <w:rPr>
                <w:i/>
                <w:iCs/>
              </w:rPr>
              <w:t>obovate</w:t>
            </w:r>
            <w:r w:rsidR="00E04503">
              <w:t>;</w:t>
            </w:r>
            <w:r>
              <w:t xml:space="preserve"> </w:t>
            </w:r>
            <w:r w:rsidRPr="005C7BC8">
              <w:rPr>
                <w:i/>
                <w:iCs/>
              </w:rPr>
              <w:t>Sarcodiotheca</w:t>
            </w:r>
            <w:r>
              <w:t xml:space="preserve"> </w:t>
            </w:r>
            <w:r w:rsidRPr="005C7BC8">
              <w:rPr>
                <w:i/>
                <w:iCs/>
              </w:rPr>
              <w:t>gaudichaudii</w:t>
            </w:r>
            <w:r w:rsidR="00E04503">
              <w:rPr>
                <w:i/>
                <w:iCs/>
              </w:rPr>
              <w:t>;</w:t>
            </w:r>
            <w:r>
              <w:t xml:space="preserve"> </w:t>
            </w:r>
            <w:r w:rsidRPr="005C7BC8">
              <w:rPr>
                <w:i/>
                <w:iCs/>
              </w:rPr>
              <w:t>Acrosorium</w:t>
            </w:r>
            <w:r>
              <w:t xml:space="preserve"> species</w:t>
            </w:r>
          </w:p>
        </w:tc>
        <w:tc>
          <w:tcPr>
            <w:tcW w:w="2605" w:type="dxa"/>
          </w:tcPr>
          <w:p w14:paraId="570470C2" w14:textId="74D857E5" w:rsidR="00B8697B" w:rsidRDefault="005C7BC8" w:rsidP="008D7F48">
            <w:r w:rsidRPr="005C7BC8">
              <w:t>Véliz et al., 2023</w:t>
            </w:r>
          </w:p>
        </w:tc>
      </w:tr>
    </w:tbl>
    <w:p w14:paraId="1F590D7E" w14:textId="77777777" w:rsidR="00D27879" w:rsidRDefault="00D27879" w:rsidP="00C54E07">
      <w:pPr>
        <w:pStyle w:val="Caption"/>
        <w:rPr>
          <w:b/>
          <w:bCs/>
        </w:rPr>
      </w:pPr>
    </w:p>
    <w:p w14:paraId="3961C32D" w14:textId="77777777" w:rsidR="00D27879" w:rsidRDefault="00D27879">
      <w:pPr>
        <w:rPr>
          <w:b/>
          <w:bCs/>
          <w:i/>
          <w:iCs/>
          <w:color w:val="0E2841" w:themeColor="text2"/>
          <w:szCs w:val="18"/>
        </w:rPr>
      </w:pPr>
      <w:r>
        <w:rPr>
          <w:b/>
          <w:bCs/>
        </w:rPr>
        <w:br w:type="page"/>
      </w:r>
    </w:p>
    <w:p w14:paraId="31A77C09" w14:textId="7EC71A51" w:rsidR="00045395" w:rsidRDefault="00045395" w:rsidP="00C54E07">
      <w:pPr>
        <w:pStyle w:val="Caption"/>
      </w:pPr>
      <w:r w:rsidRPr="00045395">
        <w:rPr>
          <w:b/>
          <w:bCs/>
        </w:rPr>
        <w:lastRenderedPageBreak/>
        <w:t>Table B-</w:t>
      </w:r>
      <w:r w:rsidRPr="00045395">
        <w:rPr>
          <w:b/>
          <w:bCs/>
        </w:rPr>
        <w:fldChar w:fldCharType="begin"/>
      </w:r>
      <w:r w:rsidRPr="00045395">
        <w:rPr>
          <w:b/>
          <w:bCs/>
        </w:rPr>
        <w:instrText xml:space="preserve"> SEQ Table_B- \* ARABIC </w:instrText>
      </w:r>
      <w:r w:rsidRPr="00045395">
        <w:rPr>
          <w:b/>
          <w:bCs/>
        </w:rPr>
        <w:fldChar w:fldCharType="separate"/>
      </w:r>
      <w:r w:rsidR="00A042AD">
        <w:rPr>
          <w:b/>
          <w:bCs/>
          <w:noProof/>
        </w:rPr>
        <w:t>2</w:t>
      </w:r>
      <w:r w:rsidRPr="00045395">
        <w:rPr>
          <w:b/>
          <w:bCs/>
        </w:rPr>
        <w:fldChar w:fldCharType="end"/>
      </w:r>
      <w:r>
        <w:t xml:space="preserve">: </w:t>
      </w:r>
      <w:r w:rsidRPr="00C672B2">
        <w:t>Radionuclides identified in seaweeds.</w:t>
      </w:r>
    </w:p>
    <w:tbl>
      <w:tblPr>
        <w:tblStyle w:val="TableGrid"/>
        <w:tblW w:w="0" w:type="auto"/>
        <w:tbl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insideH w:val="single" w:sz="6" w:space="0" w:color="0D0D0D" w:themeColor="text1" w:themeTint="F2"/>
          <w:insideV w:val="single" w:sz="6" w:space="0" w:color="0D0D0D" w:themeColor="text1" w:themeTint="F2"/>
        </w:tblBorders>
        <w:tblCellMar>
          <w:top w:w="86" w:type="dxa"/>
          <w:bottom w:w="86" w:type="dxa"/>
        </w:tblCellMar>
        <w:tblLook w:val="04A0" w:firstRow="1" w:lastRow="0" w:firstColumn="1" w:lastColumn="0" w:noHBand="0" w:noVBand="1"/>
      </w:tblPr>
      <w:tblGrid>
        <w:gridCol w:w="2694"/>
        <w:gridCol w:w="5485"/>
        <w:gridCol w:w="4761"/>
      </w:tblGrid>
      <w:tr w:rsidR="005C7BC8" w14:paraId="53B98041" w14:textId="77777777" w:rsidTr="000B3FDE">
        <w:trPr>
          <w:trHeight w:val="404"/>
          <w:tblHeader/>
        </w:trPr>
        <w:tc>
          <w:tcPr>
            <w:tcW w:w="2695" w:type="dxa"/>
            <w:shd w:val="clear" w:color="auto" w:fill="28666E"/>
            <w:vAlign w:val="center"/>
          </w:tcPr>
          <w:p w14:paraId="49F2F0BB" w14:textId="586D0479" w:rsidR="005C7BC8" w:rsidRPr="00F9694B" w:rsidRDefault="005C7BC8" w:rsidP="00F9694B">
            <w:pPr>
              <w:rPr>
                <w:b/>
                <w:bCs/>
                <w:color w:val="FFFFFF" w:themeColor="background1"/>
              </w:rPr>
            </w:pPr>
            <w:r w:rsidRPr="00F9694B">
              <w:rPr>
                <w:b/>
                <w:bCs/>
                <w:color w:val="FFFFFF" w:themeColor="background1"/>
              </w:rPr>
              <w:t>Radionuclide</w:t>
            </w:r>
          </w:p>
        </w:tc>
        <w:tc>
          <w:tcPr>
            <w:tcW w:w="5490" w:type="dxa"/>
            <w:shd w:val="clear" w:color="auto" w:fill="28666E"/>
            <w:vAlign w:val="center"/>
          </w:tcPr>
          <w:p w14:paraId="080A0C68" w14:textId="7FD0ECDE" w:rsidR="005C7BC8" w:rsidRPr="00F9694B" w:rsidRDefault="005C7BC8" w:rsidP="00F9694B">
            <w:pPr>
              <w:rPr>
                <w:b/>
                <w:bCs/>
                <w:color w:val="FFFFFF" w:themeColor="background1"/>
              </w:rPr>
            </w:pPr>
            <w:r w:rsidRPr="00F9694B">
              <w:rPr>
                <w:b/>
                <w:bCs/>
                <w:color w:val="FFFFFF" w:themeColor="background1"/>
              </w:rPr>
              <w:t>Seaweed Species</w:t>
            </w:r>
          </w:p>
        </w:tc>
        <w:tc>
          <w:tcPr>
            <w:tcW w:w="4765" w:type="dxa"/>
            <w:shd w:val="clear" w:color="auto" w:fill="28666E"/>
            <w:vAlign w:val="center"/>
          </w:tcPr>
          <w:p w14:paraId="048A966D" w14:textId="67D31A2D" w:rsidR="005C7BC8" w:rsidRPr="00F9694B" w:rsidRDefault="005C7BC8" w:rsidP="00F9694B">
            <w:pPr>
              <w:rPr>
                <w:b/>
                <w:bCs/>
                <w:color w:val="FFFFFF" w:themeColor="background1"/>
              </w:rPr>
            </w:pPr>
            <w:r w:rsidRPr="00F9694B">
              <w:rPr>
                <w:b/>
                <w:bCs/>
                <w:color w:val="FFFFFF" w:themeColor="background1"/>
              </w:rPr>
              <w:t>Reference</w:t>
            </w:r>
            <w:r w:rsidR="00DC1FB2" w:rsidRPr="00F9694B">
              <w:rPr>
                <w:b/>
                <w:bCs/>
                <w:color w:val="FFFFFF" w:themeColor="background1"/>
              </w:rPr>
              <w:t>(s)</w:t>
            </w:r>
          </w:p>
        </w:tc>
      </w:tr>
      <w:tr w:rsidR="005C7BC8" w14:paraId="78D7ABB4" w14:textId="77777777" w:rsidTr="000B3FDE">
        <w:tc>
          <w:tcPr>
            <w:tcW w:w="2695" w:type="dxa"/>
          </w:tcPr>
          <w:p w14:paraId="0E7A2159" w14:textId="0B4F95C9" w:rsidR="005C7BC8" w:rsidRDefault="005C7BC8" w:rsidP="005C7BC8">
            <w:pPr>
              <w:jc w:val="right"/>
            </w:pPr>
            <w:r w:rsidRPr="005C7BC8">
              <w:rPr>
                <w:vertAlign w:val="superscript"/>
              </w:rPr>
              <w:t>125</w:t>
            </w:r>
            <w:r>
              <w:t xml:space="preserve"> </w:t>
            </w:r>
            <w:r w:rsidRPr="00D753C4">
              <w:t>Antimony (Sb)</w:t>
            </w:r>
          </w:p>
        </w:tc>
        <w:tc>
          <w:tcPr>
            <w:tcW w:w="5490" w:type="dxa"/>
          </w:tcPr>
          <w:p w14:paraId="7E5DFDBD" w14:textId="4743C8FB" w:rsidR="005C7BC8" w:rsidRDefault="005C7BC8" w:rsidP="005C7BC8">
            <w:r>
              <w:t>Various Species</w:t>
            </w:r>
          </w:p>
        </w:tc>
        <w:tc>
          <w:tcPr>
            <w:tcW w:w="4765" w:type="dxa"/>
          </w:tcPr>
          <w:p w14:paraId="76DC3484" w14:textId="2E4ADD85" w:rsidR="005C7BC8" w:rsidRDefault="005C7BC8" w:rsidP="005C7BC8">
            <w:r w:rsidRPr="005C7BC8">
              <w:t>Masson et al., 1995</w:t>
            </w:r>
          </w:p>
        </w:tc>
      </w:tr>
      <w:tr w:rsidR="005C7BC8" w14:paraId="3179A13C" w14:textId="77777777" w:rsidTr="000B3FDE">
        <w:tc>
          <w:tcPr>
            <w:tcW w:w="2695" w:type="dxa"/>
          </w:tcPr>
          <w:p w14:paraId="04E30D0F" w14:textId="0731F958" w:rsidR="005C7BC8" w:rsidRDefault="005C7BC8" w:rsidP="005C7BC8">
            <w:pPr>
              <w:jc w:val="right"/>
            </w:pPr>
            <w:r w:rsidRPr="005C7BC8">
              <w:rPr>
                <w:vertAlign w:val="superscript"/>
              </w:rPr>
              <w:t>7</w:t>
            </w:r>
            <w:r>
              <w:t xml:space="preserve"> </w:t>
            </w:r>
            <w:r w:rsidRPr="00D753C4">
              <w:t>Beryllium (Be)</w:t>
            </w:r>
          </w:p>
        </w:tc>
        <w:tc>
          <w:tcPr>
            <w:tcW w:w="5490" w:type="dxa"/>
          </w:tcPr>
          <w:p w14:paraId="1578A4E2" w14:textId="6D7D1051" w:rsidR="005C7BC8" w:rsidRPr="005C7BC8" w:rsidRDefault="005C7BC8" w:rsidP="005C7BC8">
            <w:pPr>
              <w:rPr>
                <w:i/>
                <w:iCs/>
              </w:rPr>
            </w:pPr>
            <w:r>
              <w:rPr>
                <w:i/>
                <w:iCs/>
              </w:rPr>
              <w:t>H. virgatum</w:t>
            </w:r>
          </w:p>
        </w:tc>
        <w:tc>
          <w:tcPr>
            <w:tcW w:w="4765" w:type="dxa"/>
          </w:tcPr>
          <w:p w14:paraId="505A40ED" w14:textId="126F01A0" w:rsidR="005C7BC8" w:rsidRDefault="005C7BC8" w:rsidP="005C7BC8">
            <w:r w:rsidRPr="005C7BC8">
              <w:t>Tejera et al., 2019</w:t>
            </w:r>
          </w:p>
        </w:tc>
      </w:tr>
      <w:tr w:rsidR="005C7BC8" w14:paraId="4CCED3DF" w14:textId="77777777" w:rsidTr="000B3FDE">
        <w:tc>
          <w:tcPr>
            <w:tcW w:w="2695" w:type="dxa"/>
          </w:tcPr>
          <w:p w14:paraId="222B4C2C" w14:textId="0D90E937" w:rsidR="005C7BC8" w:rsidRDefault="005C7BC8" w:rsidP="005C7BC8">
            <w:pPr>
              <w:jc w:val="right"/>
            </w:pPr>
            <w:r w:rsidRPr="005C7BC8">
              <w:rPr>
                <w:vertAlign w:val="superscript"/>
              </w:rPr>
              <w:t>134 &amp; 137</w:t>
            </w:r>
            <w:r w:rsidRPr="00D753C4">
              <w:t xml:space="preserve"> Caesium (Cs)</w:t>
            </w:r>
          </w:p>
        </w:tc>
        <w:tc>
          <w:tcPr>
            <w:tcW w:w="5490" w:type="dxa"/>
          </w:tcPr>
          <w:p w14:paraId="7215F17F" w14:textId="0DE72D61" w:rsidR="005C7BC8" w:rsidRPr="00173FBA" w:rsidRDefault="005C7BC8" w:rsidP="005C7BC8">
            <w:pPr>
              <w:rPr>
                <w:i/>
                <w:iCs/>
                <w:lang w:val="es-ES"/>
              </w:rPr>
            </w:pPr>
            <w:r w:rsidRPr="00173FBA">
              <w:rPr>
                <w:i/>
                <w:iCs/>
                <w:lang w:val="es-ES"/>
              </w:rPr>
              <w:t>Kappaphycus; Dictyota dichotoma &amp; Laminaria digitata</w:t>
            </w:r>
          </w:p>
        </w:tc>
        <w:tc>
          <w:tcPr>
            <w:tcW w:w="4765" w:type="dxa"/>
          </w:tcPr>
          <w:p w14:paraId="4EDE9A35" w14:textId="3AD95E1C" w:rsidR="005C7BC8" w:rsidRDefault="005C7BC8" w:rsidP="005C7BC8">
            <w:r w:rsidRPr="005C7BC8">
              <w:t>Wan Mahmood et al., 2018; Abbasi et al., 2023</w:t>
            </w:r>
          </w:p>
        </w:tc>
      </w:tr>
      <w:tr w:rsidR="005C7BC8" w14:paraId="51311777" w14:textId="77777777" w:rsidTr="000B3FDE">
        <w:tc>
          <w:tcPr>
            <w:tcW w:w="2695" w:type="dxa"/>
          </w:tcPr>
          <w:p w14:paraId="35A2EC14" w14:textId="48F7E3BF" w:rsidR="005C7BC8" w:rsidRDefault="005C7BC8" w:rsidP="005C7BC8">
            <w:pPr>
              <w:jc w:val="right"/>
            </w:pPr>
            <w:r w:rsidRPr="005C7BC8">
              <w:rPr>
                <w:vertAlign w:val="superscript"/>
              </w:rPr>
              <w:t>127, 129, &amp; 131</w:t>
            </w:r>
            <w:r w:rsidRPr="00D753C4">
              <w:t xml:space="preserve"> Iodine (I)</w:t>
            </w:r>
          </w:p>
        </w:tc>
        <w:tc>
          <w:tcPr>
            <w:tcW w:w="5490" w:type="dxa"/>
          </w:tcPr>
          <w:p w14:paraId="46477B7B" w14:textId="782CAD27" w:rsidR="005C7BC8" w:rsidRPr="005C7BC8" w:rsidRDefault="005C7BC8" w:rsidP="005C7BC8">
            <w:pPr>
              <w:rPr>
                <w:i/>
                <w:iCs/>
              </w:rPr>
            </w:pPr>
            <w:r w:rsidRPr="005C7BC8">
              <w:rPr>
                <w:i/>
                <w:iCs/>
              </w:rPr>
              <w:t xml:space="preserve">Fucus vesiculosus &amp; Fucus distichus; </w:t>
            </w:r>
            <w:r w:rsidRPr="005C7BC8">
              <w:t>Various Species</w:t>
            </w:r>
          </w:p>
        </w:tc>
        <w:tc>
          <w:tcPr>
            <w:tcW w:w="4765" w:type="dxa"/>
          </w:tcPr>
          <w:p w14:paraId="3F58EAB6" w14:textId="7565945F" w:rsidR="005C7BC8" w:rsidRDefault="005C7BC8" w:rsidP="005C7BC8">
            <w:r w:rsidRPr="005C7BC8">
              <w:t>Hou et al., 2000; Chester et al., 2013</w:t>
            </w:r>
          </w:p>
        </w:tc>
      </w:tr>
      <w:tr w:rsidR="005C7BC8" w14:paraId="75CEE310" w14:textId="77777777" w:rsidTr="000B3FDE">
        <w:tc>
          <w:tcPr>
            <w:tcW w:w="2695" w:type="dxa"/>
          </w:tcPr>
          <w:p w14:paraId="1FF95BC3" w14:textId="4D431C7F" w:rsidR="005C7BC8" w:rsidRDefault="005C7BC8" w:rsidP="005C7BC8">
            <w:pPr>
              <w:jc w:val="right"/>
            </w:pPr>
            <w:r w:rsidRPr="005C7BC8">
              <w:rPr>
                <w:vertAlign w:val="superscript"/>
              </w:rPr>
              <w:t>210</w:t>
            </w:r>
            <w:r w:rsidRPr="00D753C4">
              <w:t xml:space="preserve"> Lead (Pb)</w:t>
            </w:r>
          </w:p>
        </w:tc>
        <w:tc>
          <w:tcPr>
            <w:tcW w:w="5490" w:type="dxa"/>
          </w:tcPr>
          <w:p w14:paraId="3C421910" w14:textId="3639C313" w:rsidR="005C7BC8" w:rsidRDefault="005C7BC8" w:rsidP="005C7BC8">
            <w:r w:rsidRPr="005C7BC8">
              <w:t>Various Species</w:t>
            </w:r>
          </w:p>
        </w:tc>
        <w:tc>
          <w:tcPr>
            <w:tcW w:w="4765" w:type="dxa"/>
          </w:tcPr>
          <w:p w14:paraId="4EC850C1" w14:textId="2AF72FAD" w:rsidR="005C7BC8" w:rsidRDefault="005C7BC8" w:rsidP="005C7BC8">
            <w:pPr>
              <w:tabs>
                <w:tab w:val="left" w:pos="931"/>
              </w:tabs>
            </w:pPr>
            <w:r w:rsidRPr="005C7BC8">
              <w:t>Tejera et al., 2019</w:t>
            </w:r>
          </w:p>
        </w:tc>
      </w:tr>
      <w:tr w:rsidR="005C7BC8" w14:paraId="14FFCA5E" w14:textId="77777777" w:rsidTr="000B3FDE">
        <w:tc>
          <w:tcPr>
            <w:tcW w:w="2695" w:type="dxa"/>
          </w:tcPr>
          <w:p w14:paraId="1CE9CCAF" w14:textId="4D7B1F9C" w:rsidR="005C7BC8" w:rsidRDefault="005C7BC8" w:rsidP="005C7BC8">
            <w:pPr>
              <w:jc w:val="right"/>
            </w:pPr>
            <w:r w:rsidRPr="005C7BC8">
              <w:rPr>
                <w:vertAlign w:val="superscript"/>
              </w:rPr>
              <w:t>238</w:t>
            </w:r>
            <w:r w:rsidRPr="00D753C4">
              <w:t xml:space="preserve"> Plutonium</w:t>
            </w:r>
          </w:p>
        </w:tc>
        <w:tc>
          <w:tcPr>
            <w:tcW w:w="5490" w:type="dxa"/>
          </w:tcPr>
          <w:p w14:paraId="505E1064" w14:textId="0098E1C3" w:rsidR="005C7BC8" w:rsidRDefault="005C7BC8" w:rsidP="005C7BC8">
            <w:pPr>
              <w:tabs>
                <w:tab w:val="left" w:pos="3214"/>
              </w:tabs>
            </w:pPr>
            <w:r w:rsidRPr="005C7BC8">
              <w:rPr>
                <w:i/>
                <w:iCs/>
              </w:rPr>
              <w:t>Fucus</w:t>
            </w:r>
            <w:r w:rsidRPr="005C7BC8">
              <w:t xml:space="preserve"> </w:t>
            </w:r>
            <w:r w:rsidRPr="005C7BC8">
              <w:rPr>
                <w:i/>
                <w:iCs/>
              </w:rPr>
              <w:t>vesiculosus</w:t>
            </w:r>
          </w:p>
        </w:tc>
        <w:tc>
          <w:tcPr>
            <w:tcW w:w="4765" w:type="dxa"/>
          </w:tcPr>
          <w:p w14:paraId="43A7BCB8" w14:textId="57DC8A12" w:rsidR="005C7BC8" w:rsidRDefault="005C7BC8" w:rsidP="005C7BC8">
            <w:r w:rsidRPr="005C7BC8">
              <w:t>Ryan et al., 1999</w:t>
            </w:r>
          </w:p>
        </w:tc>
      </w:tr>
      <w:tr w:rsidR="005C7BC8" w:rsidRPr="00F85DE5" w14:paraId="1A0F09A8" w14:textId="77777777" w:rsidTr="000B3FDE">
        <w:tc>
          <w:tcPr>
            <w:tcW w:w="2695" w:type="dxa"/>
          </w:tcPr>
          <w:p w14:paraId="340344BA" w14:textId="20A99A15" w:rsidR="005C7BC8" w:rsidRDefault="005C7BC8" w:rsidP="005C7BC8">
            <w:pPr>
              <w:jc w:val="right"/>
            </w:pPr>
            <w:r w:rsidRPr="005C7BC8">
              <w:rPr>
                <w:vertAlign w:val="superscript"/>
              </w:rPr>
              <w:t>210</w:t>
            </w:r>
            <w:r w:rsidRPr="00D753C4">
              <w:t xml:space="preserve"> Polonium (Po)</w:t>
            </w:r>
          </w:p>
        </w:tc>
        <w:tc>
          <w:tcPr>
            <w:tcW w:w="5490" w:type="dxa"/>
          </w:tcPr>
          <w:p w14:paraId="7C705F78" w14:textId="09EACFB4" w:rsidR="005C7BC8" w:rsidRDefault="005C7BC8" w:rsidP="005C7BC8">
            <w:r w:rsidRPr="005C7BC8">
              <w:t>Various Species</w:t>
            </w:r>
          </w:p>
        </w:tc>
        <w:tc>
          <w:tcPr>
            <w:tcW w:w="4765" w:type="dxa"/>
          </w:tcPr>
          <w:p w14:paraId="7E0B7EDE" w14:textId="5A27C42E" w:rsidR="005C7BC8" w:rsidRPr="00173FBA" w:rsidRDefault="005C7BC8" w:rsidP="005C7BC8">
            <w:pPr>
              <w:rPr>
                <w:lang w:val="es-ES"/>
              </w:rPr>
            </w:pPr>
            <w:r w:rsidRPr="00173FBA">
              <w:rPr>
                <w:lang w:val="es-ES"/>
              </w:rPr>
              <w:t>Akakçe et al., 2023; Tejera et al., 2019</w:t>
            </w:r>
          </w:p>
        </w:tc>
      </w:tr>
      <w:tr w:rsidR="005C7BC8" w:rsidRPr="00F85DE5" w14:paraId="4578BAF9" w14:textId="77777777" w:rsidTr="000B3FDE">
        <w:tc>
          <w:tcPr>
            <w:tcW w:w="2695" w:type="dxa"/>
          </w:tcPr>
          <w:p w14:paraId="4DF22103" w14:textId="2CB5F6F0" w:rsidR="005C7BC8" w:rsidRDefault="005C7BC8" w:rsidP="005C7BC8">
            <w:pPr>
              <w:jc w:val="right"/>
            </w:pPr>
            <w:r w:rsidRPr="005C7BC8">
              <w:rPr>
                <w:vertAlign w:val="superscript"/>
              </w:rPr>
              <w:t>40</w:t>
            </w:r>
            <w:r w:rsidRPr="00D753C4">
              <w:t xml:space="preserve"> Potassium (K)</w:t>
            </w:r>
          </w:p>
        </w:tc>
        <w:tc>
          <w:tcPr>
            <w:tcW w:w="5490" w:type="dxa"/>
          </w:tcPr>
          <w:p w14:paraId="5CE945A8" w14:textId="0FBBB86C" w:rsidR="005C7BC8" w:rsidRDefault="005C7BC8" w:rsidP="005C7BC8">
            <w:r w:rsidRPr="005C7BC8">
              <w:rPr>
                <w:i/>
                <w:iCs/>
              </w:rPr>
              <w:t>Eucheuma</w:t>
            </w:r>
            <w:r w:rsidRPr="005C7BC8">
              <w:t xml:space="preserve"> </w:t>
            </w:r>
            <w:r w:rsidRPr="005C7BC8">
              <w:rPr>
                <w:i/>
                <w:iCs/>
              </w:rPr>
              <w:t>Cottoni</w:t>
            </w:r>
            <w:r>
              <w:rPr>
                <w:i/>
                <w:iCs/>
              </w:rPr>
              <w:t>;</w:t>
            </w:r>
            <w:r w:rsidRPr="005C7BC8">
              <w:t xml:space="preserve"> Various Species</w:t>
            </w:r>
          </w:p>
        </w:tc>
        <w:tc>
          <w:tcPr>
            <w:tcW w:w="4765" w:type="dxa"/>
          </w:tcPr>
          <w:p w14:paraId="7C222880" w14:textId="6B6BA895" w:rsidR="005C7BC8" w:rsidRPr="00173FBA" w:rsidRDefault="005C7BC8" w:rsidP="005C7BC8">
            <w:pPr>
              <w:rPr>
                <w:lang w:val="es-ES"/>
              </w:rPr>
            </w:pPr>
            <w:r w:rsidRPr="00173FBA">
              <w:rPr>
                <w:lang w:val="es-ES"/>
              </w:rPr>
              <w:t>Khandaker et al., 2019; Tejera et al., 2019</w:t>
            </w:r>
          </w:p>
        </w:tc>
      </w:tr>
      <w:tr w:rsidR="005C7BC8" w:rsidRPr="00F85DE5" w14:paraId="31B916A9" w14:textId="77777777" w:rsidTr="000B3FDE">
        <w:tc>
          <w:tcPr>
            <w:tcW w:w="2695" w:type="dxa"/>
          </w:tcPr>
          <w:p w14:paraId="73B3D7AE" w14:textId="362972C5" w:rsidR="005C7BC8" w:rsidRDefault="005C7BC8" w:rsidP="005C7BC8">
            <w:pPr>
              <w:jc w:val="right"/>
            </w:pPr>
            <w:r w:rsidRPr="005C7BC8">
              <w:rPr>
                <w:vertAlign w:val="superscript"/>
              </w:rPr>
              <w:t>224, 226 &amp; 228</w:t>
            </w:r>
            <w:r w:rsidRPr="00D753C4">
              <w:t xml:space="preserve"> Radon (RA)</w:t>
            </w:r>
          </w:p>
        </w:tc>
        <w:tc>
          <w:tcPr>
            <w:tcW w:w="5490" w:type="dxa"/>
          </w:tcPr>
          <w:p w14:paraId="55662F50" w14:textId="7905D76C" w:rsidR="005C7BC8" w:rsidRDefault="005C7BC8" w:rsidP="005C7BC8">
            <w:r w:rsidRPr="005C7BC8">
              <w:rPr>
                <w:i/>
                <w:iCs/>
              </w:rPr>
              <w:t>Eucheuma</w:t>
            </w:r>
            <w:r w:rsidRPr="005C7BC8">
              <w:t xml:space="preserve"> </w:t>
            </w:r>
            <w:r w:rsidRPr="005C7BC8">
              <w:rPr>
                <w:i/>
                <w:iCs/>
              </w:rPr>
              <w:t>Cottoni</w:t>
            </w:r>
            <w:r>
              <w:rPr>
                <w:i/>
                <w:iCs/>
              </w:rPr>
              <w:t>;</w:t>
            </w:r>
            <w:r w:rsidRPr="005C7BC8">
              <w:t xml:space="preserve"> Various Species</w:t>
            </w:r>
          </w:p>
        </w:tc>
        <w:tc>
          <w:tcPr>
            <w:tcW w:w="4765" w:type="dxa"/>
          </w:tcPr>
          <w:p w14:paraId="4C31E8B4" w14:textId="71EB20F4" w:rsidR="005C7BC8" w:rsidRPr="00173FBA" w:rsidRDefault="005C7BC8" w:rsidP="005C7BC8">
            <w:pPr>
              <w:rPr>
                <w:lang w:val="es-ES"/>
              </w:rPr>
            </w:pPr>
            <w:r w:rsidRPr="00173FBA">
              <w:rPr>
                <w:lang w:val="es-ES"/>
              </w:rPr>
              <w:t>Khandaker et al., 2019; Tejera et al., 2019</w:t>
            </w:r>
          </w:p>
        </w:tc>
      </w:tr>
      <w:tr w:rsidR="005C7BC8" w14:paraId="2AF4F55C" w14:textId="77777777" w:rsidTr="000B3FDE">
        <w:tc>
          <w:tcPr>
            <w:tcW w:w="2695" w:type="dxa"/>
          </w:tcPr>
          <w:p w14:paraId="24A71FFF" w14:textId="6D27DC4D" w:rsidR="005C7BC8" w:rsidRDefault="005C7BC8" w:rsidP="005C7BC8">
            <w:pPr>
              <w:jc w:val="right"/>
            </w:pPr>
            <w:r w:rsidRPr="005C7BC8">
              <w:rPr>
                <w:vertAlign w:val="superscript"/>
              </w:rPr>
              <w:t>99</w:t>
            </w:r>
            <w:r w:rsidRPr="00D753C4">
              <w:t xml:space="preserve"> </w:t>
            </w:r>
            <w:proofErr w:type="spellStart"/>
            <w:r w:rsidRPr="00D753C4">
              <w:t>Technitium</w:t>
            </w:r>
            <w:proofErr w:type="spellEnd"/>
            <w:r w:rsidRPr="00D753C4">
              <w:t xml:space="preserve"> (Tc)</w:t>
            </w:r>
          </w:p>
        </w:tc>
        <w:tc>
          <w:tcPr>
            <w:tcW w:w="5490" w:type="dxa"/>
          </w:tcPr>
          <w:p w14:paraId="3A8341DE" w14:textId="35E71973" w:rsidR="005C7BC8" w:rsidRDefault="005C7BC8" w:rsidP="005C7BC8">
            <w:r w:rsidRPr="005C7BC8">
              <w:t>Various Species</w:t>
            </w:r>
          </w:p>
        </w:tc>
        <w:tc>
          <w:tcPr>
            <w:tcW w:w="4765" w:type="dxa"/>
          </w:tcPr>
          <w:p w14:paraId="5882BF62" w14:textId="6971A13F" w:rsidR="005C7BC8" w:rsidRDefault="005C7BC8" w:rsidP="005C7BC8">
            <w:r w:rsidRPr="005C7BC8">
              <w:t>Masson et al., 1995</w:t>
            </w:r>
          </w:p>
        </w:tc>
      </w:tr>
      <w:tr w:rsidR="005C7BC8" w14:paraId="30CEEADD" w14:textId="77777777" w:rsidTr="000B3FDE">
        <w:tc>
          <w:tcPr>
            <w:tcW w:w="2695" w:type="dxa"/>
          </w:tcPr>
          <w:p w14:paraId="12758D56" w14:textId="5BAA7FAE" w:rsidR="005C7BC8" w:rsidRDefault="005C7BC8" w:rsidP="005C7BC8">
            <w:pPr>
              <w:jc w:val="right"/>
            </w:pPr>
            <w:r w:rsidRPr="005C7BC8">
              <w:rPr>
                <w:vertAlign w:val="superscript"/>
              </w:rPr>
              <w:t>228 &amp; 234</w:t>
            </w:r>
            <w:r w:rsidRPr="00D753C4">
              <w:t xml:space="preserve"> Thorium (Th)</w:t>
            </w:r>
          </w:p>
        </w:tc>
        <w:tc>
          <w:tcPr>
            <w:tcW w:w="5490" w:type="dxa"/>
          </w:tcPr>
          <w:p w14:paraId="42BBD796" w14:textId="10205E8D" w:rsidR="005C7BC8" w:rsidRDefault="005C7BC8" w:rsidP="005C7BC8">
            <w:r w:rsidRPr="005C7BC8">
              <w:t>Various Species</w:t>
            </w:r>
          </w:p>
        </w:tc>
        <w:tc>
          <w:tcPr>
            <w:tcW w:w="4765" w:type="dxa"/>
          </w:tcPr>
          <w:p w14:paraId="3B4A69F0" w14:textId="697350D0" w:rsidR="005C7BC8" w:rsidRDefault="005C7BC8" w:rsidP="005C7BC8">
            <w:r w:rsidRPr="005C7BC8">
              <w:t>Tejera et al., 2019</w:t>
            </w:r>
          </w:p>
        </w:tc>
      </w:tr>
      <w:tr w:rsidR="005C7BC8" w14:paraId="4F0AA182" w14:textId="77777777" w:rsidTr="000B3FDE">
        <w:tc>
          <w:tcPr>
            <w:tcW w:w="2695" w:type="dxa"/>
          </w:tcPr>
          <w:p w14:paraId="0D14EF7D" w14:textId="6ECA3183" w:rsidR="005C7BC8" w:rsidRDefault="005C7BC8" w:rsidP="005C7BC8">
            <w:pPr>
              <w:jc w:val="right"/>
            </w:pPr>
            <w:r w:rsidRPr="005C7BC8">
              <w:rPr>
                <w:vertAlign w:val="superscript"/>
              </w:rPr>
              <w:t>238</w:t>
            </w:r>
            <w:r w:rsidRPr="005C7BC8">
              <w:t xml:space="preserve"> Uranium (U)</w:t>
            </w:r>
          </w:p>
        </w:tc>
        <w:tc>
          <w:tcPr>
            <w:tcW w:w="5490" w:type="dxa"/>
          </w:tcPr>
          <w:p w14:paraId="773441A8" w14:textId="5B19EB34" w:rsidR="005C7BC8" w:rsidRDefault="005C7BC8" w:rsidP="005C7BC8">
            <w:r w:rsidRPr="005C7BC8">
              <w:t>Various Species</w:t>
            </w:r>
          </w:p>
        </w:tc>
        <w:tc>
          <w:tcPr>
            <w:tcW w:w="4765" w:type="dxa"/>
          </w:tcPr>
          <w:p w14:paraId="2AC7D387" w14:textId="55BC7DB1" w:rsidR="005C7BC8" w:rsidRDefault="005C7BC8" w:rsidP="00045395">
            <w:pPr>
              <w:keepNext/>
            </w:pPr>
            <w:r w:rsidRPr="005C7BC8">
              <w:t>Tejera et al., 2019</w:t>
            </w:r>
          </w:p>
        </w:tc>
      </w:tr>
    </w:tbl>
    <w:p w14:paraId="05FF2721" w14:textId="77777777" w:rsidR="002B4698" w:rsidRDefault="002B4698" w:rsidP="008D7F48">
      <w:pPr>
        <w:sectPr w:rsidR="002B4698" w:rsidSect="005003BC">
          <w:pgSz w:w="15840" w:h="12240" w:orient="landscape"/>
          <w:pgMar w:top="1440" w:right="1440" w:bottom="1440" w:left="1440" w:header="720" w:footer="720" w:gutter="0"/>
          <w:pgNumType w:start="1" w:chapStyle="6"/>
          <w:cols w:space="720"/>
          <w:docGrid w:linePitch="360"/>
        </w:sectPr>
      </w:pPr>
    </w:p>
    <w:p w14:paraId="620B97F1" w14:textId="3D06712D" w:rsidR="00DC1FB2" w:rsidRDefault="002B4698" w:rsidP="002B4698">
      <w:pPr>
        <w:pStyle w:val="Heading7"/>
      </w:pPr>
      <w:r>
        <w:lastRenderedPageBreak/>
        <w:t>References</w:t>
      </w:r>
    </w:p>
    <w:p w14:paraId="1FC738EA" w14:textId="77777777" w:rsidR="002B4698" w:rsidRDefault="002B4698" w:rsidP="002B4698">
      <w:r>
        <w:t>Abbasi, A., Almousa, N., &amp; Zakaly, H. M. H. (2023). The distribution of radiotoxic 137Cs concentrations in seaweed and mussel species in the Mediterranean Sea. Marine Pollution Bulletin, 197(August), 115737. https://doi.org/10.1016/j.marpolbul.2023.115737</w:t>
      </w:r>
    </w:p>
    <w:p w14:paraId="38DF379C" w14:textId="77777777" w:rsidR="002B4698" w:rsidRDefault="002B4698" w:rsidP="002B4698">
      <w:r>
        <w:t>Akakçe, N., Uğur Görgün, A., Tuney Kizilkaya, İ., &amp; Öztürk Atay, N. (2023). Effect of Radionuclides and Trace Elements on Antioxidant System of Brown Seaweeds. Bulletin of Environmental Contamination and Toxicology, 110(2). https://doi.org/10.1007/s00128-022-03677-2</w:t>
      </w:r>
    </w:p>
    <w:p w14:paraId="66652F67" w14:textId="77777777" w:rsidR="002B4698" w:rsidRDefault="002B4698" w:rsidP="002B4698">
      <w:r w:rsidRPr="000B1F22">
        <w:rPr>
          <w:lang w:val="es-ES"/>
        </w:rPr>
        <w:t xml:space="preserve">Besada, V., Andrade, J. M., Schultze, F., &amp; González, J. J. (2009). </w:t>
      </w:r>
      <w:r>
        <w:t>Heavy metals in edible seaweeds commercialized for human consumption. Journal of Marine Systems, 75(1–2), 305–313. https://doi.org/10.1016/j.jmarsys.2008.10.010</w:t>
      </w:r>
    </w:p>
    <w:p w14:paraId="52D86EC3" w14:textId="77777777" w:rsidR="002B4698" w:rsidRDefault="002B4698" w:rsidP="002B4698">
      <w:r>
        <w:t>Chester, A., Starosta, K., Andreoiu, C., Ashley, R., Barton, A., Brodovitch, J. C., Brown, M., Domingo, T., Janusson, C., Kucera, H., Myrtle, K., Riddell, D., Scheel, K., Salomon, A., &amp; Voss, P. (2013). Monitoring rainwater and seaweed reveals the presence of 131I insouthwest and central British Columbia, Canada following theFukushima nuclear accident in Japan. Journal of Environmental Radioactivity, 124, 205–213. https://doi.org/10.1016/j.jenvrad.2013.05.013</w:t>
      </w:r>
    </w:p>
    <w:p w14:paraId="541E21B4" w14:textId="77777777" w:rsidR="002B4698" w:rsidRDefault="002B4698" w:rsidP="002B4698">
      <w:r>
        <w:t>Desideri, D., Cantaluppi, C., Ceccotto, F., Meli, M. A., Roselli, C., &amp; Feduzi, L. (2016). Essential and toxic elements in seaweeds for human consumption. Journal of Toxicology and Environmental Health, Part A, 79(3), 112–122.https://doi.org/10.1080/15287394.2015.1113598</w:t>
      </w:r>
    </w:p>
    <w:p w14:paraId="22FFE1B1" w14:textId="77777777" w:rsidR="002B4698" w:rsidRDefault="002B4698" w:rsidP="002B4698">
      <w:r>
        <w:t>Filippini, M., Baldisserotto, A., Menotta, S., Fedrizzi, G., Rubini, S., Gigliotti, D., Valpiani, G., Buzzi, R., Manfredini, S., &amp; Vertuani, S. (2021). Heavy metals and potential risks in edible seaweed on the market in Italy. Chemosphere, 263, 127983. https://doi.org/10.1016/j.chemosphere.2020.127983</w:t>
      </w:r>
    </w:p>
    <w:p w14:paraId="4D81FAF9" w14:textId="77777777" w:rsidR="002B4698" w:rsidRDefault="002B4698" w:rsidP="002B4698">
      <w:r>
        <w:t>Jarvis, T. A., &amp; Bielmyer-Fraser, G. K. (2015). Accumulation and effects of metal mixtures in two seaweed species. Comparative Biochemistry and Physiology, Part C: Toxicology &amp; Pharmacology, 171, 28–33. https://doi.org/10.1016/j.cbpc.2015.03.005</w:t>
      </w:r>
    </w:p>
    <w:p w14:paraId="0E85FABA" w14:textId="77777777" w:rsidR="002B4698" w:rsidRDefault="002B4698" w:rsidP="002B4698">
      <w:r>
        <w:t>Giusti, L. (2001). Heavy metal contamination of brown seaweed and sediments from the UK coastline between the Wear River and the Tees River. Environment International, 26(4), 275–286. https://doi.org/10.1016/S0160-4120(00)00117-3</w:t>
      </w:r>
    </w:p>
    <w:p w14:paraId="44F063FF" w14:textId="77777777" w:rsidR="002B4698" w:rsidRDefault="002B4698" w:rsidP="002B4698">
      <w:r>
        <w:t>Khandaker, M. U., Heffny, N. ‘Adillah B., Amin, Y. M., &amp; Bradley, D. A. (2019). Elevated concentration of radioactive potassium in edible algae cultivated in Malaysian seas and estimation of ingestion dose to humans. Algal Research, 38(November 2018), 101386. https://doi.org/10.1016/j.algal.2018.101386</w:t>
      </w:r>
    </w:p>
    <w:p w14:paraId="553910D7" w14:textId="77777777" w:rsidR="002B4698" w:rsidRDefault="002B4698" w:rsidP="002B4698">
      <w:r>
        <w:lastRenderedPageBreak/>
        <w:t>Khandaker, M. U., Chijioke, N. O., Heffny, N. A. B., Bradley, D. A., Alsubaie, A., Sulieman, A., Faruque, M. R. I., Sayyed, M. I., &amp; Al-Mugren, K. S. (2021). Elevated concentrations of metal(Loids) in seaweed and the concomitant exposure to humans. Foods, 10(2), 1–18. https://doi.org/10.3390/foods10020381</w:t>
      </w:r>
    </w:p>
    <w:p w14:paraId="0947F4D5" w14:textId="77777777" w:rsidR="002B4698" w:rsidRDefault="002B4698" w:rsidP="002B4698">
      <w:r>
        <w:t>Khandaker, M. U., Chijioke, N. O., Heffny, N. A. B., Bradley, D. A., Alsubaie, A., Sulieman, A., Faruque, M. R. I., Sayyed, M. I., &amp; Al-Mugren, K. S. (2021). Elevated concentrations of metal(Loids) in seaweed and the concomitant exposure to humans. Foods, 10(2), 1–18. https://doi.org/10.3390/foods10020381</w:t>
      </w:r>
    </w:p>
    <w:p w14:paraId="288831FF" w14:textId="77777777" w:rsidR="002B4698" w:rsidRDefault="002B4698" w:rsidP="002B4698">
      <w:r>
        <w:t xml:space="preserve">Linsley, G., Sjöblom, K.-L., &amp; Cabianca, T. (2004). Radioactivity in the Environment: Marine Radioactivity. Journal of Radioactivity, 6, 109–138. https://doi.org/10.1039/bk9781849736480-00442 </w:t>
      </w:r>
    </w:p>
    <w:p w14:paraId="0BF2DA55" w14:textId="77777777" w:rsidR="002B4698" w:rsidRPr="000B1F22" w:rsidRDefault="002B4698" w:rsidP="002B4698">
      <w:pPr>
        <w:rPr>
          <w:lang w:val="es-ES"/>
        </w:rPr>
      </w:pPr>
      <w:r>
        <w:t xml:space="preserve">Ma, Z., Lin, L., Wu, M., Yu, H., Shang, T., Zhang, T., &amp; Zhao, M. (2018). Total and inorganic arsenic contents in seaweeds: Absorption, accumulation, transformation, and toxicity. </w:t>
      </w:r>
      <w:r w:rsidRPr="000B1F22">
        <w:rPr>
          <w:lang w:val="es-ES"/>
        </w:rPr>
        <w:t>Aquaculture, 497, 49–55. https://doi.org/10.1016/j.aquaculture.2018.07.040</w:t>
      </w:r>
    </w:p>
    <w:p w14:paraId="7EAEA86C" w14:textId="77777777" w:rsidR="002B4698" w:rsidRDefault="002B4698" w:rsidP="002B4698">
      <w:r w:rsidRPr="000B1F22">
        <w:rPr>
          <w:lang w:val="es-ES"/>
        </w:rPr>
        <w:t xml:space="preserve">Martín-León, V., Paz, S., D’Eufemia, P. A., Plasencia, J. J., Sagratini, G., Marcantoni, G., Navarro-Romero, M., Gutiérrez, Á. J., Hardisson, A., &amp; Rubio-Armendáriz, C. (2021). </w:t>
      </w:r>
      <w:r>
        <w:t>Human Exposure to Toxic Metals (Cd, Pb, Hg) and Nitrates (NO₃⁻) from Seaweed Consumption. Applied Sciences, 11(15), 6934. https://doi.org/10.3390/app11156934</w:t>
      </w:r>
    </w:p>
    <w:p w14:paraId="0D802442" w14:textId="77777777" w:rsidR="002B4698" w:rsidRDefault="002B4698" w:rsidP="002B4698">
      <w:r>
        <w:t>Masson, M., van Weers, A. W., Groothuis, R. E. J., Dahlgaard, H., Ibbett, R. D., &amp; Leonard, K. S. (1995). Time series for sea water and seaweed of 99Tc and 125Sb originating from releases at La Hague. Journal of Marine Systems, 6(5–6), 397–413. https://doi.org/10.1016/0924-7963(95)00016-I</w:t>
      </w:r>
    </w:p>
    <w:p w14:paraId="07FBB68C" w14:textId="77777777" w:rsidR="002B4698" w:rsidRDefault="002B4698" w:rsidP="002B4698">
      <w:r w:rsidRPr="00F85DE5">
        <w:t xml:space="preserve">Paz, S., Rubio, C., Frías, I., Gutiérrez, A. J., González-Weller, D., Martín, V., &amp; </w:t>
      </w:r>
      <w:proofErr w:type="spellStart"/>
      <w:r w:rsidRPr="00F85DE5">
        <w:t>Hardisson</w:t>
      </w:r>
      <w:proofErr w:type="spellEnd"/>
      <w:r w:rsidRPr="00F85DE5">
        <w:t xml:space="preserve">, A. (2019). </w:t>
      </w:r>
      <w:r>
        <w:t>Toxic metals (Al, Cd, Pb and Hg) in the most consumed edible seaweeds in Europe. Chemosphere, 218, 879–884. https://doi.org/10.1016/j.chemosphere.2018.11.165</w:t>
      </w:r>
    </w:p>
    <w:p w14:paraId="5E96BFAC" w14:textId="77777777" w:rsidR="002B4698" w:rsidRDefault="002B4698" w:rsidP="002B4698">
      <w:r>
        <w:t>Roleda, M. Y., Marfaing, H., Desnica, N., Jónsdóttir, R., Skjermo, J., Rebours, C., &amp; Nitschke, U. (2019). Variations in polyphenol and heavy metal contents of wild-harvested and cultivated seaweed bulk biomass: Health risk assessment and implications for food applications. Food Control, 95, 121–134. https://doi.org/10.1016/j.foodcont.2018.07.031</w:t>
      </w:r>
    </w:p>
    <w:p w14:paraId="584406C5" w14:textId="77777777" w:rsidR="002B4698" w:rsidRDefault="002B4698" w:rsidP="002B4698">
      <w:r>
        <w:t>Ryan, T. P., Dowdall, A. M., Long, S., Smith, V., Pollard, D., &amp; Cunningham, J. D. (1999). Plutonium and americium in fish, shellfish and seaweed in the Irish environment and their contribution to dose. Journal of Environmental Radioactivity, 44(2–3), 349–369. https://doi.org/10.1016/S0265-931X(98)00140-4</w:t>
      </w:r>
    </w:p>
    <w:p w14:paraId="44C492E0" w14:textId="77777777" w:rsidR="002B4698" w:rsidRDefault="002B4698" w:rsidP="002B4698">
      <w:r>
        <w:lastRenderedPageBreak/>
        <w:t>Smitha, J. L., Summers, G., &amp; Wong, R. (2010). Nutrient and heavy metal content of edible seaweeds in New Zealand. New Zealand Journal of Crop and Horticultural Science, 38(1), 19–28. https://doi.org/10.1080/01140671003619290</w:t>
      </w:r>
    </w:p>
    <w:p w14:paraId="44437703" w14:textId="77777777" w:rsidR="002B4698" w:rsidRDefault="002B4698" w:rsidP="002B4698">
      <w:r>
        <w:t>Sun, N., Tan, B., Sun, B., Zhang, J., Li, C., &amp; Yang, W. (2022). Evaluation of protein digestibility and iodine bioavailability in raw and cooked Sargassum fusiforme (harvey) setchell using in vitro methods. British Food Journal, 124(9), 2722–2739. https://doi.org/10.1108/BFJ-02-2021-0191</w:t>
      </w:r>
    </w:p>
    <w:p w14:paraId="6B398D8C" w14:textId="77777777" w:rsidR="002B4698" w:rsidRDefault="002B4698" w:rsidP="002B4698">
      <w:r>
        <w:t>Sun, X., Liu, Z., Jiang, Q., &amp; Yang, Y. (2019). Concentrations of various elements in seaweed and seawater from Shen'ao Bay, Nan'ao Island, Guangdong coast, China: Environmental monitoring and the bioremediation potential of the seaweed. Science of the Total Environment, 659, 632–639. https://doi.org/10.1016/j.scitotenv.2018.12.364</w:t>
      </w:r>
    </w:p>
    <w:p w14:paraId="19F81D70" w14:textId="77777777" w:rsidR="002B4698" w:rsidRDefault="002B4698" w:rsidP="002B4698">
      <w:r w:rsidRPr="000B1F22">
        <w:rPr>
          <w:lang w:val="es-ES"/>
        </w:rPr>
        <w:t xml:space="preserve">Tejera, A., Pérez-Sánchez, L., Guerra, G., Arriola-Velásquez, A. C., Alonso, H., Arnedo, M. A., Rubiano, G., &amp; Martel, P. (2019). </w:t>
      </w:r>
      <w:r>
        <w:t>Natural radioactivity in algae arrivals on the Canary coast and dosimetry assessment. Science of the Total Environment, 658, 122–131. https://doi.org/10.1016/j.scitotenv.2018.12.140</w:t>
      </w:r>
    </w:p>
    <w:p w14:paraId="5E8E029D" w14:textId="77777777" w:rsidR="002B4698" w:rsidRDefault="002B4698" w:rsidP="002B4698">
      <w:r>
        <w:t>Trigo, J. P., Stedt, K., Schmidt, A. E. M., Kollander, B., Edlund, U., Nylund, G., Pavia, H., Abdollahi, M., &amp; Undeland, I. (2023). Mild blanching prior to pH-shift processing of Saccharina latissima retains protein extraction yields and amino acid levels of extracts while minimizing iodine content. Food Chemistry, 404(October 2022). https://doi.org/10.1016/j.foodchem.2022.134576</w:t>
      </w:r>
    </w:p>
    <w:p w14:paraId="09073255" w14:textId="77777777" w:rsidR="002B4698" w:rsidRDefault="002B4698" w:rsidP="002B4698">
      <w:r>
        <w:t>U.S. Food and Drug Administration. (2022). Supporting document for guidance levels for radionuclides in domestic and imported foods [Compliance Policy Guide Sec. 560.750]. U.S. Department of Health and Human Services, FDA. https://www.fda.gov/food/process-contaminants-food/supporting-document-guidance-levels-radionuclides-domestic-and-imported-foods#level86</w:t>
      </w:r>
    </w:p>
    <w:p w14:paraId="74228C91" w14:textId="77777777" w:rsidR="002B4698" w:rsidRDefault="002B4698" w:rsidP="002B4698">
      <w:r w:rsidRPr="000B1F22">
        <w:rPr>
          <w:lang w:val="es-ES"/>
        </w:rPr>
        <w:t xml:space="preserve">Véliz, K., Toledo, P., Araya, M., Gómez, M. F., Villalobos, V., &amp; Tala, F. (2023). </w:t>
      </w:r>
      <w:r>
        <w:t>Chemical composition and heavy metal content of Chilean seaweeds: Potential applications of seaweed meal as food and feed ingredients. Food Chemistry, 398, 133866. https://doi.org/10.1016/j.foodchem.2022.133866</w:t>
      </w:r>
    </w:p>
    <w:p w14:paraId="74C20560" w14:textId="6C777E86" w:rsidR="002B4698" w:rsidRDefault="002B4698" w:rsidP="002B4698">
      <w:r>
        <w:t>Wan Mahmood, Z. U., Yii, M. W., Khalid, M. A., Yusof, M. A. W., &amp; Mohamed, N. (2018). Marine radioactivity of Cs-134 and Cs-137 in the Malaysian Economic Exclusive Zone after the Fukushima accident. Journal of Radioanalytical and Nuclear Chemistry, 318(3), 2165–2172. https://doi.org/10.1007/s10967-018-6306-2</w:t>
      </w:r>
    </w:p>
    <w:p w14:paraId="26FE5492" w14:textId="77777777" w:rsidR="002B4698" w:rsidRDefault="002B4698" w:rsidP="008D7F48"/>
    <w:p w14:paraId="1757D04B" w14:textId="77777777" w:rsidR="002B4698" w:rsidRDefault="002B4698" w:rsidP="008D7F48">
      <w:pPr>
        <w:sectPr w:rsidR="002B4698" w:rsidSect="002B4698">
          <w:pgSz w:w="12240" w:h="15840"/>
          <w:pgMar w:top="1440" w:right="1440" w:bottom="1440" w:left="1440" w:header="720" w:footer="720" w:gutter="0"/>
          <w:pgNumType w:chapStyle="6"/>
          <w:cols w:space="720"/>
          <w:docGrid w:linePitch="360"/>
        </w:sectPr>
      </w:pPr>
    </w:p>
    <w:p w14:paraId="0CD71A87" w14:textId="3E009C1E" w:rsidR="00F9694B" w:rsidRDefault="00F27ED2" w:rsidP="00AA56A6">
      <w:pPr>
        <w:pStyle w:val="Heading6"/>
      </w:pPr>
      <w:bookmarkStart w:id="285" w:name="_Toc208503351"/>
      <w:bookmarkStart w:id="286" w:name="_Toc210042868"/>
      <w:r>
        <w:lastRenderedPageBreak/>
        <w:t>Natural Toxins Reference Table</w:t>
      </w:r>
      <w:bookmarkEnd w:id="285"/>
      <w:r w:rsidR="005003BC">
        <w:t>s</w:t>
      </w:r>
      <w:bookmarkEnd w:id="286"/>
    </w:p>
    <w:p w14:paraId="2FADCC8C" w14:textId="05D68F91" w:rsidR="00045395" w:rsidRDefault="00045395" w:rsidP="00C54E07">
      <w:pPr>
        <w:pStyle w:val="Caption"/>
      </w:pPr>
      <w:r w:rsidRPr="00045395">
        <w:rPr>
          <w:b/>
          <w:bCs/>
        </w:rPr>
        <w:t>Table C-</w:t>
      </w:r>
      <w:r w:rsidRPr="00045395">
        <w:rPr>
          <w:b/>
          <w:bCs/>
        </w:rPr>
        <w:fldChar w:fldCharType="begin"/>
      </w:r>
      <w:r w:rsidRPr="00045395">
        <w:rPr>
          <w:b/>
          <w:bCs/>
        </w:rPr>
        <w:instrText xml:space="preserve"> SEQ Table_C- \* ARABIC </w:instrText>
      </w:r>
      <w:r w:rsidRPr="00045395">
        <w:rPr>
          <w:b/>
          <w:bCs/>
        </w:rPr>
        <w:fldChar w:fldCharType="separate"/>
      </w:r>
      <w:r w:rsidR="00A042AD">
        <w:rPr>
          <w:b/>
          <w:bCs/>
          <w:noProof/>
        </w:rPr>
        <w:t>1</w:t>
      </w:r>
      <w:r w:rsidRPr="00045395">
        <w:rPr>
          <w:b/>
          <w:bCs/>
        </w:rPr>
        <w:fldChar w:fldCharType="end"/>
      </w:r>
      <w:r w:rsidRPr="00045395">
        <w:rPr>
          <w:b/>
          <w:bCs/>
        </w:rPr>
        <w:t>:</w:t>
      </w:r>
      <w:r>
        <w:t xml:space="preserve"> </w:t>
      </w:r>
      <w:r w:rsidRPr="00576DD5">
        <w:t>Natural toxins identified in seaweed species. Cells labeled “not quantified” indicate that the toxin was identified, but concentrations were not quantified in the study. Values labeled with an asterisk (*) were converted to ppm.</w:t>
      </w:r>
    </w:p>
    <w:tbl>
      <w:tblPr>
        <w:tblStyle w:val="TableGrid"/>
        <w:tblW w:w="14305" w:type="dxa"/>
        <w:tbl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insideH w:val="single" w:sz="6" w:space="0" w:color="0D0D0D" w:themeColor="text1" w:themeTint="F2"/>
          <w:insideV w:val="single" w:sz="6" w:space="0" w:color="0D0D0D" w:themeColor="text1" w:themeTint="F2"/>
        </w:tblBorders>
        <w:tblCellMar>
          <w:top w:w="86" w:type="dxa"/>
          <w:left w:w="86" w:type="dxa"/>
          <w:bottom w:w="86" w:type="dxa"/>
          <w:right w:w="86" w:type="dxa"/>
        </w:tblCellMar>
        <w:tblLook w:val="04A0" w:firstRow="1" w:lastRow="0" w:firstColumn="1" w:lastColumn="0" w:noHBand="0" w:noVBand="1"/>
      </w:tblPr>
      <w:tblGrid>
        <w:gridCol w:w="3145"/>
        <w:gridCol w:w="3510"/>
        <w:gridCol w:w="4500"/>
        <w:gridCol w:w="3150"/>
      </w:tblGrid>
      <w:tr w:rsidR="00DD0681" w14:paraId="2276E333" w14:textId="77777777" w:rsidTr="000B3FDE">
        <w:trPr>
          <w:tblHeader/>
        </w:trPr>
        <w:tc>
          <w:tcPr>
            <w:tcW w:w="3145" w:type="dxa"/>
            <w:tcBorders>
              <w:bottom w:val="single" w:sz="8" w:space="0" w:color="0D0D0D" w:themeColor="text1" w:themeTint="F2"/>
            </w:tcBorders>
            <w:shd w:val="clear" w:color="auto" w:fill="28666E"/>
            <w:vAlign w:val="center"/>
          </w:tcPr>
          <w:p w14:paraId="691AEA4C" w14:textId="77777777" w:rsidR="00DD0681" w:rsidRPr="00F9694B" w:rsidRDefault="00DD0681" w:rsidP="000B3003">
            <w:pPr>
              <w:rPr>
                <w:b/>
                <w:bCs/>
                <w:color w:val="FFFFFF" w:themeColor="background1"/>
              </w:rPr>
            </w:pPr>
            <w:r w:rsidRPr="00F9694B">
              <w:rPr>
                <w:b/>
                <w:bCs/>
                <w:color w:val="FFFFFF" w:themeColor="background1"/>
              </w:rPr>
              <w:t>Natural Toxin</w:t>
            </w:r>
          </w:p>
        </w:tc>
        <w:tc>
          <w:tcPr>
            <w:tcW w:w="3510" w:type="dxa"/>
            <w:tcBorders>
              <w:bottom w:val="single" w:sz="8" w:space="0" w:color="0D0D0D" w:themeColor="text1" w:themeTint="F2"/>
            </w:tcBorders>
            <w:shd w:val="clear" w:color="auto" w:fill="28666E"/>
            <w:vAlign w:val="center"/>
          </w:tcPr>
          <w:p w14:paraId="489B4A8A" w14:textId="77777777" w:rsidR="00DD0681" w:rsidRPr="00F9694B" w:rsidRDefault="00DD0681" w:rsidP="000B3003">
            <w:pPr>
              <w:rPr>
                <w:b/>
                <w:bCs/>
                <w:color w:val="FFFFFF" w:themeColor="background1"/>
              </w:rPr>
            </w:pPr>
            <w:r w:rsidRPr="00F9694B">
              <w:rPr>
                <w:b/>
                <w:bCs/>
                <w:color w:val="FFFFFF" w:themeColor="background1"/>
              </w:rPr>
              <w:t xml:space="preserve">Seaweed Level </w:t>
            </w:r>
          </w:p>
          <w:p w14:paraId="08875D50" w14:textId="5DF02208" w:rsidR="00DD0681" w:rsidRPr="00F9694B" w:rsidRDefault="00DD0681" w:rsidP="000B3003">
            <w:pPr>
              <w:rPr>
                <w:b/>
                <w:bCs/>
                <w:color w:val="FFFFFF" w:themeColor="background1"/>
              </w:rPr>
            </w:pPr>
            <w:r w:rsidRPr="00F9694B">
              <w:rPr>
                <w:b/>
                <w:bCs/>
                <w:color w:val="FFFFFF" w:themeColor="background1"/>
              </w:rPr>
              <w:t>(dry weight unless noted)</w:t>
            </w:r>
          </w:p>
        </w:tc>
        <w:tc>
          <w:tcPr>
            <w:tcW w:w="4500" w:type="dxa"/>
            <w:tcBorders>
              <w:bottom w:val="single" w:sz="8" w:space="0" w:color="0D0D0D" w:themeColor="text1" w:themeTint="F2"/>
            </w:tcBorders>
            <w:shd w:val="clear" w:color="auto" w:fill="28666E"/>
            <w:vAlign w:val="center"/>
          </w:tcPr>
          <w:p w14:paraId="4C137CFC" w14:textId="77777777" w:rsidR="00DD0681" w:rsidRPr="00F9694B" w:rsidRDefault="00DD0681" w:rsidP="000B3003">
            <w:pPr>
              <w:rPr>
                <w:b/>
                <w:bCs/>
                <w:color w:val="FFFFFF" w:themeColor="background1"/>
              </w:rPr>
            </w:pPr>
            <w:r w:rsidRPr="00F9694B">
              <w:rPr>
                <w:b/>
                <w:bCs/>
                <w:color w:val="FFFFFF" w:themeColor="background1"/>
              </w:rPr>
              <w:t>Seaweed Species</w:t>
            </w:r>
          </w:p>
        </w:tc>
        <w:tc>
          <w:tcPr>
            <w:tcW w:w="3150" w:type="dxa"/>
            <w:tcBorders>
              <w:bottom w:val="single" w:sz="8" w:space="0" w:color="0D0D0D" w:themeColor="text1" w:themeTint="F2"/>
            </w:tcBorders>
            <w:shd w:val="clear" w:color="auto" w:fill="28666E"/>
            <w:vAlign w:val="center"/>
          </w:tcPr>
          <w:p w14:paraId="22AEAEDC" w14:textId="77777777" w:rsidR="00DD0681" w:rsidRPr="00F9694B" w:rsidRDefault="00DD0681" w:rsidP="000B3003">
            <w:pPr>
              <w:rPr>
                <w:b/>
                <w:bCs/>
                <w:color w:val="FFFFFF" w:themeColor="background1"/>
              </w:rPr>
            </w:pPr>
            <w:r w:rsidRPr="00F9694B">
              <w:rPr>
                <w:b/>
                <w:bCs/>
                <w:color w:val="FFFFFF" w:themeColor="background1"/>
              </w:rPr>
              <w:t>Reference</w:t>
            </w:r>
          </w:p>
        </w:tc>
      </w:tr>
      <w:tr w:rsidR="00DD0681" w14:paraId="75DBCE30" w14:textId="77777777" w:rsidTr="000B3FDE">
        <w:tc>
          <w:tcPr>
            <w:tcW w:w="3145" w:type="dxa"/>
            <w:tcBorders>
              <w:top w:val="single" w:sz="8" w:space="0" w:color="0D0D0D" w:themeColor="text1" w:themeTint="F2"/>
            </w:tcBorders>
            <w:shd w:val="clear" w:color="auto" w:fill="D9D9D9" w:themeFill="background1" w:themeFillShade="D9"/>
          </w:tcPr>
          <w:p w14:paraId="45F6D49F" w14:textId="77777777" w:rsidR="00DD0681" w:rsidRDefault="00DD0681" w:rsidP="00E06C5F">
            <w:r>
              <w:t>Domoic Acid: Amnesic Shellfish Poisoning (ASP)</w:t>
            </w:r>
          </w:p>
        </w:tc>
        <w:tc>
          <w:tcPr>
            <w:tcW w:w="3510" w:type="dxa"/>
            <w:tcBorders>
              <w:top w:val="single" w:sz="8" w:space="0" w:color="0D0D0D" w:themeColor="text1" w:themeTint="F2"/>
            </w:tcBorders>
            <w:shd w:val="clear" w:color="auto" w:fill="D9D9D9" w:themeFill="background1" w:themeFillShade="D9"/>
          </w:tcPr>
          <w:p w14:paraId="2947C156" w14:textId="77777777" w:rsidR="00DD0681" w:rsidRDefault="00DD0681" w:rsidP="00E06C5F">
            <w:r>
              <w:t>498.1 ppm*</w:t>
            </w:r>
          </w:p>
        </w:tc>
        <w:tc>
          <w:tcPr>
            <w:tcW w:w="4500" w:type="dxa"/>
            <w:tcBorders>
              <w:top w:val="single" w:sz="8" w:space="0" w:color="0D0D0D" w:themeColor="text1" w:themeTint="F2"/>
            </w:tcBorders>
            <w:shd w:val="clear" w:color="auto" w:fill="D9D9D9" w:themeFill="background1" w:themeFillShade="D9"/>
          </w:tcPr>
          <w:p w14:paraId="40D0D776" w14:textId="77777777" w:rsidR="00DD0681" w:rsidRPr="00EF1AD4" w:rsidRDefault="00DD0681" w:rsidP="00E06C5F">
            <w:pPr>
              <w:rPr>
                <w:i/>
                <w:iCs/>
              </w:rPr>
            </w:pPr>
            <w:r w:rsidRPr="00EF1AD4">
              <w:rPr>
                <w:i/>
                <w:iCs/>
              </w:rPr>
              <w:t>Alsidium corallinum</w:t>
            </w:r>
          </w:p>
        </w:tc>
        <w:tc>
          <w:tcPr>
            <w:tcW w:w="3150" w:type="dxa"/>
            <w:tcBorders>
              <w:top w:val="single" w:sz="8" w:space="0" w:color="0D0D0D" w:themeColor="text1" w:themeTint="F2"/>
            </w:tcBorders>
            <w:shd w:val="clear" w:color="auto" w:fill="D9D9D9" w:themeFill="background1" w:themeFillShade="D9"/>
          </w:tcPr>
          <w:p w14:paraId="26E68DD4" w14:textId="77777777" w:rsidR="00DD0681" w:rsidRDefault="00DD0681" w:rsidP="00E06C5F">
            <w:r w:rsidRPr="00F27ED2">
              <w:t>Impellizzeri et al., 1975</w:t>
            </w:r>
          </w:p>
        </w:tc>
      </w:tr>
      <w:tr w:rsidR="00745755" w14:paraId="46063806" w14:textId="77777777" w:rsidTr="000B3FDE">
        <w:tc>
          <w:tcPr>
            <w:tcW w:w="3145" w:type="dxa"/>
          </w:tcPr>
          <w:p w14:paraId="0C81EEEB" w14:textId="77777777" w:rsidR="00DD0681" w:rsidRDefault="00DD0681" w:rsidP="00E06C5F">
            <w:r>
              <w:t>ASP</w:t>
            </w:r>
          </w:p>
        </w:tc>
        <w:tc>
          <w:tcPr>
            <w:tcW w:w="3510" w:type="dxa"/>
          </w:tcPr>
          <w:p w14:paraId="6FB75B00" w14:textId="403D4519" w:rsidR="00DD0681" w:rsidRDefault="00DD0681" w:rsidP="00E06C5F">
            <w:r>
              <w:t>1.1</w:t>
            </w:r>
            <w:r w:rsidR="00E06C5F">
              <w:t>ppm</w:t>
            </w:r>
            <w:r>
              <w:t>*</w:t>
            </w:r>
          </w:p>
        </w:tc>
        <w:tc>
          <w:tcPr>
            <w:tcW w:w="4500" w:type="dxa"/>
          </w:tcPr>
          <w:p w14:paraId="682B0097" w14:textId="77777777" w:rsidR="00DD0681" w:rsidRPr="00F27ED2" w:rsidRDefault="00DD0681" w:rsidP="00E06C5F">
            <w:pPr>
              <w:rPr>
                <w:i/>
                <w:iCs/>
              </w:rPr>
            </w:pPr>
            <w:r>
              <w:rPr>
                <w:i/>
                <w:iCs/>
              </w:rPr>
              <w:t>Amnasia glomerata</w:t>
            </w:r>
          </w:p>
        </w:tc>
        <w:tc>
          <w:tcPr>
            <w:tcW w:w="3150" w:type="dxa"/>
          </w:tcPr>
          <w:p w14:paraId="54C288C8" w14:textId="77777777" w:rsidR="00DD0681" w:rsidRDefault="00DD0681" w:rsidP="00E06C5F">
            <w:r w:rsidRPr="00F27ED2">
              <w:t>Sato et al., 1996</w:t>
            </w:r>
          </w:p>
        </w:tc>
      </w:tr>
      <w:tr w:rsidR="00745755" w14:paraId="7038C0AA" w14:textId="77777777" w:rsidTr="000B3FDE">
        <w:tc>
          <w:tcPr>
            <w:tcW w:w="3145" w:type="dxa"/>
            <w:shd w:val="clear" w:color="auto" w:fill="D9D9D9" w:themeFill="background1" w:themeFillShade="D9"/>
          </w:tcPr>
          <w:p w14:paraId="77A01013" w14:textId="77777777" w:rsidR="00DD0681" w:rsidRDefault="00DD0681" w:rsidP="00E06C5F">
            <w:r>
              <w:t>ASP</w:t>
            </w:r>
          </w:p>
        </w:tc>
        <w:tc>
          <w:tcPr>
            <w:tcW w:w="3510" w:type="dxa"/>
            <w:shd w:val="clear" w:color="auto" w:fill="D9D9D9" w:themeFill="background1" w:themeFillShade="D9"/>
          </w:tcPr>
          <w:p w14:paraId="52959732" w14:textId="585A8366" w:rsidR="00DD0681" w:rsidRDefault="00DD0681" w:rsidP="00E06C5F">
            <w:r>
              <w:t>&lt;1</w:t>
            </w:r>
            <w:r w:rsidRPr="00F27ED2">
              <w:t>–</w:t>
            </w:r>
            <w:r>
              <w:t xml:space="preserve">37 </w:t>
            </w:r>
            <w:r w:rsidR="00E06C5F">
              <w:t xml:space="preserve">ppm </w:t>
            </w:r>
            <w:r>
              <w:t>(wet)</w:t>
            </w:r>
          </w:p>
        </w:tc>
        <w:tc>
          <w:tcPr>
            <w:tcW w:w="4500" w:type="dxa"/>
            <w:shd w:val="clear" w:color="auto" w:fill="D9D9D9" w:themeFill="background1" w:themeFillShade="D9"/>
          </w:tcPr>
          <w:p w14:paraId="4FD64164" w14:textId="77777777" w:rsidR="00DD0681" w:rsidRPr="00F27ED2" w:rsidRDefault="00DD0681" w:rsidP="00E06C5F">
            <w:r>
              <w:rPr>
                <w:i/>
                <w:iCs/>
              </w:rPr>
              <w:t>Amphiroa</w:t>
            </w:r>
            <w:r>
              <w:t xml:space="preserve"> species</w:t>
            </w:r>
          </w:p>
        </w:tc>
        <w:tc>
          <w:tcPr>
            <w:tcW w:w="3150" w:type="dxa"/>
            <w:shd w:val="clear" w:color="auto" w:fill="D9D9D9" w:themeFill="background1" w:themeFillShade="D9"/>
          </w:tcPr>
          <w:p w14:paraId="69976634" w14:textId="77777777" w:rsidR="00DD0681" w:rsidRDefault="00DD0681" w:rsidP="00E06C5F">
            <w:r w:rsidRPr="00F27ED2">
              <w:t>Noguchi and Arakawa, 1996</w:t>
            </w:r>
          </w:p>
        </w:tc>
      </w:tr>
      <w:tr w:rsidR="00745755" w14:paraId="75871C76" w14:textId="77777777" w:rsidTr="000B3FDE">
        <w:tc>
          <w:tcPr>
            <w:tcW w:w="3145" w:type="dxa"/>
          </w:tcPr>
          <w:p w14:paraId="4C44298D" w14:textId="77777777" w:rsidR="00DD0681" w:rsidRDefault="00DD0681" w:rsidP="00E06C5F">
            <w:r>
              <w:t>ASP</w:t>
            </w:r>
          </w:p>
        </w:tc>
        <w:tc>
          <w:tcPr>
            <w:tcW w:w="3510" w:type="dxa"/>
          </w:tcPr>
          <w:p w14:paraId="4A8CC95C" w14:textId="77777777" w:rsidR="00150A77" w:rsidRDefault="00DD0681" w:rsidP="00E06C5F">
            <w:r>
              <w:t>201</w:t>
            </w:r>
            <w:r w:rsidRPr="00F27ED2">
              <w:t>–</w:t>
            </w:r>
            <w:r>
              <w:t xml:space="preserve">928 </w:t>
            </w:r>
            <w:r w:rsidR="00E06C5F">
              <w:t xml:space="preserve">ppm </w:t>
            </w:r>
            <w:r>
              <w:t xml:space="preserve">(wet); </w:t>
            </w:r>
          </w:p>
          <w:p w14:paraId="6DFAE05C" w14:textId="5A034577" w:rsidR="00DD0681" w:rsidRDefault="00DD0681" w:rsidP="00E06C5F">
            <w:r>
              <w:t xml:space="preserve">4,300 </w:t>
            </w:r>
            <w:r w:rsidR="00E06C5F">
              <w:t xml:space="preserve">ppm </w:t>
            </w:r>
            <w:r>
              <w:t>(dry)</w:t>
            </w:r>
          </w:p>
        </w:tc>
        <w:tc>
          <w:tcPr>
            <w:tcW w:w="4500" w:type="dxa"/>
          </w:tcPr>
          <w:p w14:paraId="4C7E16F7" w14:textId="57C21527" w:rsidR="00DD0681" w:rsidRPr="00F27ED2" w:rsidRDefault="00DD0681" w:rsidP="00E06C5F">
            <w:pPr>
              <w:rPr>
                <w:i/>
                <w:iCs/>
              </w:rPr>
            </w:pPr>
            <w:r>
              <w:rPr>
                <w:i/>
                <w:iCs/>
              </w:rPr>
              <w:t>Chondri</w:t>
            </w:r>
            <w:r w:rsidR="00541647">
              <w:rPr>
                <w:i/>
                <w:iCs/>
              </w:rPr>
              <w:t>a</w:t>
            </w:r>
            <w:r>
              <w:rPr>
                <w:i/>
                <w:iCs/>
              </w:rPr>
              <w:t xml:space="preserve"> armata</w:t>
            </w:r>
          </w:p>
        </w:tc>
        <w:tc>
          <w:tcPr>
            <w:tcW w:w="3150" w:type="dxa"/>
          </w:tcPr>
          <w:p w14:paraId="1C43F127" w14:textId="77777777" w:rsidR="00DD0681" w:rsidRDefault="00DD0681" w:rsidP="00E06C5F">
            <w:r w:rsidRPr="00F27ED2">
              <w:t>Noguchi and Arakawa, 1996</w:t>
            </w:r>
          </w:p>
        </w:tc>
      </w:tr>
      <w:tr w:rsidR="00745755" w14:paraId="76589630" w14:textId="77777777" w:rsidTr="000B3FDE">
        <w:tc>
          <w:tcPr>
            <w:tcW w:w="3145" w:type="dxa"/>
            <w:shd w:val="clear" w:color="auto" w:fill="D9D9D9" w:themeFill="background1" w:themeFillShade="D9"/>
          </w:tcPr>
          <w:p w14:paraId="5B5BDD04" w14:textId="77777777" w:rsidR="00DD0681" w:rsidRDefault="00DD0681" w:rsidP="00E06C5F">
            <w:r>
              <w:t>ASP</w:t>
            </w:r>
          </w:p>
        </w:tc>
        <w:tc>
          <w:tcPr>
            <w:tcW w:w="3510" w:type="dxa"/>
            <w:shd w:val="clear" w:color="auto" w:fill="D9D9D9" w:themeFill="background1" w:themeFillShade="D9"/>
          </w:tcPr>
          <w:p w14:paraId="6E3ACFEC" w14:textId="225DCCCA" w:rsidR="00DD0681" w:rsidRDefault="00DD0681" w:rsidP="00E06C5F">
            <w:r>
              <w:t>1,090</w:t>
            </w:r>
            <w:r w:rsidR="00E06C5F">
              <w:t xml:space="preserve"> ppm</w:t>
            </w:r>
            <w:r>
              <w:t>*</w:t>
            </w:r>
          </w:p>
        </w:tc>
        <w:tc>
          <w:tcPr>
            <w:tcW w:w="4500" w:type="dxa"/>
            <w:shd w:val="clear" w:color="auto" w:fill="D9D9D9" w:themeFill="background1" w:themeFillShade="D9"/>
          </w:tcPr>
          <w:p w14:paraId="61477908" w14:textId="77777777" w:rsidR="00DD0681" w:rsidRPr="00F27ED2" w:rsidRDefault="00DD0681" w:rsidP="00E06C5F">
            <w:pPr>
              <w:rPr>
                <w:i/>
                <w:iCs/>
              </w:rPr>
            </w:pPr>
            <w:r>
              <w:rPr>
                <w:i/>
                <w:iCs/>
              </w:rPr>
              <w:t>Chondria armata</w:t>
            </w:r>
          </w:p>
        </w:tc>
        <w:tc>
          <w:tcPr>
            <w:tcW w:w="3150" w:type="dxa"/>
            <w:shd w:val="clear" w:color="auto" w:fill="D9D9D9" w:themeFill="background1" w:themeFillShade="D9"/>
          </w:tcPr>
          <w:p w14:paraId="0DFB221E" w14:textId="77777777" w:rsidR="00DD0681" w:rsidRDefault="00DD0681" w:rsidP="00E06C5F">
            <w:r w:rsidRPr="00F27ED2">
              <w:t>Sato et al., 1996</w:t>
            </w:r>
          </w:p>
        </w:tc>
      </w:tr>
      <w:tr w:rsidR="00745755" w14:paraId="4D4CF6D3" w14:textId="77777777" w:rsidTr="000B3FDE">
        <w:tc>
          <w:tcPr>
            <w:tcW w:w="3145" w:type="dxa"/>
          </w:tcPr>
          <w:p w14:paraId="3F869F9B" w14:textId="77777777" w:rsidR="00DD0681" w:rsidRDefault="00DD0681" w:rsidP="00E06C5F">
            <w:r>
              <w:t>ASP</w:t>
            </w:r>
          </w:p>
        </w:tc>
        <w:tc>
          <w:tcPr>
            <w:tcW w:w="3510" w:type="dxa"/>
          </w:tcPr>
          <w:p w14:paraId="2AA5D401" w14:textId="47BA8DA1" w:rsidR="00DD0681" w:rsidRDefault="00DD0681" w:rsidP="00E06C5F">
            <w:r>
              <w:t>&lt;1</w:t>
            </w:r>
            <w:r w:rsidRPr="00F27ED2">
              <w:t>–</w:t>
            </w:r>
            <w:r>
              <w:t xml:space="preserve">775 </w:t>
            </w:r>
            <w:r w:rsidR="00E06C5F">
              <w:t xml:space="preserve">ppm </w:t>
            </w:r>
            <w:r>
              <w:t>(wet)</w:t>
            </w:r>
          </w:p>
        </w:tc>
        <w:tc>
          <w:tcPr>
            <w:tcW w:w="4500" w:type="dxa"/>
          </w:tcPr>
          <w:p w14:paraId="36C2E3E9" w14:textId="77777777" w:rsidR="00DD0681" w:rsidRPr="00F27ED2" w:rsidRDefault="00DD0681" w:rsidP="00E06C5F">
            <w:pPr>
              <w:rPr>
                <w:i/>
                <w:iCs/>
              </w:rPr>
            </w:pPr>
            <w:r>
              <w:rPr>
                <w:i/>
                <w:iCs/>
              </w:rPr>
              <w:t>Coelothrix irregularis</w:t>
            </w:r>
          </w:p>
        </w:tc>
        <w:tc>
          <w:tcPr>
            <w:tcW w:w="3150" w:type="dxa"/>
          </w:tcPr>
          <w:p w14:paraId="6DAE284D" w14:textId="77777777" w:rsidR="00DD0681" w:rsidRDefault="00DD0681" w:rsidP="00E06C5F">
            <w:r w:rsidRPr="00F27ED2">
              <w:t>Noguchi and Arakawa, 1996</w:t>
            </w:r>
          </w:p>
        </w:tc>
      </w:tr>
      <w:tr w:rsidR="00745755" w14:paraId="22191E8E" w14:textId="77777777" w:rsidTr="000B3FDE">
        <w:tc>
          <w:tcPr>
            <w:tcW w:w="3145" w:type="dxa"/>
            <w:shd w:val="clear" w:color="auto" w:fill="D9D9D9" w:themeFill="background1" w:themeFillShade="D9"/>
          </w:tcPr>
          <w:p w14:paraId="1CA5E960" w14:textId="77777777" w:rsidR="00DD0681" w:rsidRDefault="00DD0681" w:rsidP="00E06C5F">
            <w:r>
              <w:t>ASP</w:t>
            </w:r>
          </w:p>
        </w:tc>
        <w:tc>
          <w:tcPr>
            <w:tcW w:w="3510" w:type="dxa"/>
            <w:shd w:val="clear" w:color="auto" w:fill="D9D9D9" w:themeFill="background1" w:themeFillShade="D9"/>
          </w:tcPr>
          <w:p w14:paraId="23F6D0DB" w14:textId="415033C3" w:rsidR="00DD0681" w:rsidRDefault="00DD0681" w:rsidP="00E06C5F">
            <w:r>
              <w:t>20.7</w:t>
            </w:r>
            <w:r w:rsidRPr="00F27ED2">
              <w:t>–</w:t>
            </w:r>
            <w:r>
              <w:t>28.2</w:t>
            </w:r>
            <w:r w:rsidR="00E06C5F">
              <w:t xml:space="preserve"> ppm</w:t>
            </w:r>
            <w:r>
              <w:t>*</w:t>
            </w:r>
          </w:p>
        </w:tc>
        <w:tc>
          <w:tcPr>
            <w:tcW w:w="4500" w:type="dxa"/>
            <w:shd w:val="clear" w:color="auto" w:fill="D9D9D9" w:themeFill="background1" w:themeFillShade="D9"/>
          </w:tcPr>
          <w:p w14:paraId="4EB73840" w14:textId="77777777" w:rsidR="00DD0681" w:rsidRPr="00F27ED2" w:rsidRDefault="00DD0681" w:rsidP="00E06C5F">
            <w:pPr>
              <w:rPr>
                <w:i/>
                <w:iCs/>
              </w:rPr>
            </w:pPr>
            <w:r>
              <w:rPr>
                <w:i/>
                <w:iCs/>
              </w:rPr>
              <w:t>Digenea simplex</w:t>
            </w:r>
          </w:p>
        </w:tc>
        <w:tc>
          <w:tcPr>
            <w:tcW w:w="3150" w:type="dxa"/>
            <w:shd w:val="clear" w:color="auto" w:fill="D9D9D9" w:themeFill="background1" w:themeFillShade="D9"/>
          </w:tcPr>
          <w:p w14:paraId="65F5CF28" w14:textId="77777777" w:rsidR="00DD0681" w:rsidRDefault="00DD0681" w:rsidP="00E06C5F">
            <w:r w:rsidRPr="00F27ED2">
              <w:t>Sato et al., 1996</w:t>
            </w:r>
          </w:p>
        </w:tc>
      </w:tr>
      <w:tr w:rsidR="00745755" w14:paraId="12BA2801" w14:textId="77777777" w:rsidTr="000B3FDE">
        <w:tc>
          <w:tcPr>
            <w:tcW w:w="3145" w:type="dxa"/>
          </w:tcPr>
          <w:p w14:paraId="38B5EC14" w14:textId="77777777" w:rsidR="00DD0681" w:rsidRDefault="00DD0681" w:rsidP="00E06C5F">
            <w:r>
              <w:t>ASP</w:t>
            </w:r>
          </w:p>
        </w:tc>
        <w:tc>
          <w:tcPr>
            <w:tcW w:w="3510" w:type="dxa"/>
          </w:tcPr>
          <w:p w14:paraId="362E8179" w14:textId="269DAA61" w:rsidR="00DD0681" w:rsidRDefault="00DD0681" w:rsidP="00E06C5F">
            <w:r>
              <w:t xml:space="preserve">&lt;1 </w:t>
            </w:r>
            <w:r w:rsidR="00E06C5F">
              <w:t xml:space="preserve">ppm </w:t>
            </w:r>
            <w:r>
              <w:t>(wet)</w:t>
            </w:r>
          </w:p>
        </w:tc>
        <w:tc>
          <w:tcPr>
            <w:tcW w:w="4500" w:type="dxa"/>
          </w:tcPr>
          <w:p w14:paraId="3129E05D" w14:textId="77777777" w:rsidR="00DD0681" w:rsidRPr="00F27ED2" w:rsidRDefault="00DD0681" w:rsidP="00E06C5F">
            <w:pPr>
              <w:rPr>
                <w:i/>
                <w:iCs/>
              </w:rPr>
            </w:pPr>
            <w:r>
              <w:rPr>
                <w:i/>
                <w:iCs/>
              </w:rPr>
              <w:t>Digenea simplex</w:t>
            </w:r>
          </w:p>
        </w:tc>
        <w:tc>
          <w:tcPr>
            <w:tcW w:w="3150" w:type="dxa"/>
          </w:tcPr>
          <w:p w14:paraId="2E912EB8" w14:textId="77777777" w:rsidR="00DD0681" w:rsidRDefault="00DD0681" w:rsidP="00E06C5F">
            <w:r w:rsidRPr="00F27ED2">
              <w:t>Noguchi and Arakawa, 1996</w:t>
            </w:r>
          </w:p>
        </w:tc>
      </w:tr>
      <w:tr w:rsidR="00745755" w14:paraId="7B75235F" w14:textId="77777777" w:rsidTr="000B3FDE">
        <w:tc>
          <w:tcPr>
            <w:tcW w:w="3145" w:type="dxa"/>
            <w:shd w:val="clear" w:color="auto" w:fill="D9D9D9" w:themeFill="background1" w:themeFillShade="D9"/>
          </w:tcPr>
          <w:p w14:paraId="0A9D7C11" w14:textId="77777777" w:rsidR="00DD0681" w:rsidRDefault="00DD0681" w:rsidP="00E06C5F">
            <w:r>
              <w:t>ASP</w:t>
            </w:r>
          </w:p>
        </w:tc>
        <w:tc>
          <w:tcPr>
            <w:tcW w:w="3510" w:type="dxa"/>
            <w:shd w:val="clear" w:color="auto" w:fill="D9D9D9" w:themeFill="background1" w:themeFillShade="D9"/>
          </w:tcPr>
          <w:p w14:paraId="56AD5983" w14:textId="6622134B" w:rsidR="00DD0681" w:rsidRDefault="00DD0681" w:rsidP="00E06C5F">
            <w:r>
              <w:t>38</w:t>
            </w:r>
            <w:r w:rsidRPr="00F27ED2">
              <w:t>–</w:t>
            </w:r>
            <w:r>
              <w:t xml:space="preserve">709 </w:t>
            </w:r>
            <w:r w:rsidR="00E06C5F">
              <w:t xml:space="preserve">ppm </w:t>
            </w:r>
            <w:r>
              <w:t>(wet)</w:t>
            </w:r>
          </w:p>
        </w:tc>
        <w:tc>
          <w:tcPr>
            <w:tcW w:w="4500" w:type="dxa"/>
            <w:shd w:val="clear" w:color="auto" w:fill="D9D9D9" w:themeFill="background1" w:themeFillShade="D9"/>
          </w:tcPr>
          <w:p w14:paraId="534FDF6A" w14:textId="77777777" w:rsidR="00DD0681" w:rsidRPr="00F27ED2" w:rsidRDefault="00DD0681" w:rsidP="00E06C5F">
            <w:pPr>
              <w:rPr>
                <w:i/>
                <w:iCs/>
              </w:rPr>
            </w:pPr>
            <w:r>
              <w:rPr>
                <w:i/>
                <w:iCs/>
              </w:rPr>
              <w:t>Jania capillacea</w:t>
            </w:r>
          </w:p>
        </w:tc>
        <w:tc>
          <w:tcPr>
            <w:tcW w:w="3150" w:type="dxa"/>
            <w:shd w:val="clear" w:color="auto" w:fill="D9D9D9" w:themeFill="background1" w:themeFillShade="D9"/>
          </w:tcPr>
          <w:p w14:paraId="3A3AC3C5" w14:textId="77777777" w:rsidR="00DD0681" w:rsidRDefault="00DD0681" w:rsidP="00E06C5F">
            <w:r w:rsidRPr="00F27ED2">
              <w:t>Noguchi and Arakawa, 1996</w:t>
            </w:r>
          </w:p>
        </w:tc>
      </w:tr>
      <w:tr w:rsidR="00745755" w14:paraId="4A0D510D" w14:textId="77777777" w:rsidTr="000B3FDE">
        <w:tc>
          <w:tcPr>
            <w:tcW w:w="3145" w:type="dxa"/>
            <w:tcBorders>
              <w:bottom w:val="single" w:sz="8" w:space="0" w:color="0D0D0D" w:themeColor="text1" w:themeTint="F2"/>
            </w:tcBorders>
          </w:tcPr>
          <w:p w14:paraId="57DAE64D" w14:textId="77777777" w:rsidR="00DD0681" w:rsidRDefault="00DD0681" w:rsidP="00E06C5F">
            <w:r>
              <w:t>ASP</w:t>
            </w:r>
          </w:p>
        </w:tc>
        <w:tc>
          <w:tcPr>
            <w:tcW w:w="3510" w:type="dxa"/>
            <w:tcBorders>
              <w:bottom w:val="single" w:sz="8" w:space="0" w:color="0D0D0D" w:themeColor="text1" w:themeTint="F2"/>
            </w:tcBorders>
          </w:tcPr>
          <w:p w14:paraId="03C1FC4E" w14:textId="2F8388F6" w:rsidR="00DD0681" w:rsidRDefault="00DD0681" w:rsidP="00E06C5F">
            <w:r>
              <w:t>0.7</w:t>
            </w:r>
            <w:r w:rsidR="00E06C5F">
              <w:t xml:space="preserve"> ppm</w:t>
            </w:r>
            <w:r>
              <w:t>*</w:t>
            </w:r>
          </w:p>
        </w:tc>
        <w:tc>
          <w:tcPr>
            <w:tcW w:w="4500" w:type="dxa"/>
            <w:tcBorders>
              <w:bottom w:val="single" w:sz="8" w:space="0" w:color="0D0D0D" w:themeColor="text1" w:themeTint="F2"/>
            </w:tcBorders>
          </w:tcPr>
          <w:p w14:paraId="43F8F821" w14:textId="77777777" w:rsidR="00DD0681" w:rsidRPr="00F27ED2" w:rsidRDefault="00DD0681" w:rsidP="00E06C5F">
            <w:pPr>
              <w:rPr>
                <w:i/>
                <w:iCs/>
              </w:rPr>
            </w:pPr>
            <w:r>
              <w:rPr>
                <w:i/>
                <w:iCs/>
              </w:rPr>
              <w:t>Vidalia obtusiloba</w:t>
            </w:r>
          </w:p>
        </w:tc>
        <w:tc>
          <w:tcPr>
            <w:tcW w:w="3150" w:type="dxa"/>
            <w:tcBorders>
              <w:bottom w:val="single" w:sz="8" w:space="0" w:color="0D0D0D" w:themeColor="text1" w:themeTint="F2"/>
            </w:tcBorders>
          </w:tcPr>
          <w:p w14:paraId="4153E1E1" w14:textId="77777777" w:rsidR="00DD0681" w:rsidRDefault="00DD0681" w:rsidP="00E06C5F">
            <w:r w:rsidRPr="00F27ED2">
              <w:t>Sato et al., 1996</w:t>
            </w:r>
          </w:p>
        </w:tc>
      </w:tr>
      <w:tr w:rsidR="00DD0681" w14:paraId="5FB5D7B6" w14:textId="77777777" w:rsidTr="000B3FDE">
        <w:tc>
          <w:tcPr>
            <w:tcW w:w="3145" w:type="dxa"/>
            <w:tcBorders>
              <w:top w:val="single" w:sz="8" w:space="0" w:color="0D0D0D" w:themeColor="text1" w:themeTint="F2"/>
            </w:tcBorders>
          </w:tcPr>
          <w:p w14:paraId="7BEB312B" w14:textId="77777777" w:rsidR="00DD0681" w:rsidRDefault="00DD0681" w:rsidP="00E06C5F">
            <w:r>
              <w:t>Caluerpin</w:t>
            </w:r>
          </w:p>
        </w:tc>
        <w:tc>
          <w:tcPr>
            <w:tcW w:w="3510" w:type="dxa"/>
            <w:tcBorders>
              <w:top w:val="single" w:sz="8" w:space="0" w:color="0D0D0D" w:themeColor="text1" w:themeTint="F2"/>
            </w:tcBorders>
          </w:tcPr>
          <w:p w14:paraId="08CA2979" w14:textId="32177A7A" w:rsidR="00DD0681" w:rsidRPr="00EF1AD4" w:rsidRDefault="00E06C5F" w:rsidP="00E06C5F">
            <w:pPr>
              <w:rPr>
                <w:i/>
                <w:iCs/>
              </w:rPr>
            </w:pPr>
            <w:r>
              <w:rPr>
                <w:i/>
                <w:iCs/>
              </w:rPr>
              <w:t>N</w:t>
            </w:r>
            <w:r w:rsidR="00DD0681" w:rsidRPr="00E06C5F">
              <w:rPr>
                <w:i/>
                <w:iCs/>
              </w:rPr>
              <w:t>ot quantified</w:t>
            </w:r>
          </w:p>
        </w:tc>
        <w:tc>
          <w:tcPr>
            <w:tcW w:w="4500" w:type="dxa"/>
            <w:tcBorders>
              <w:top w:val="single" w:sz="8" w:space="0" w:color="0D0D0D" w:themeColor="text1" w:themeTint="F2"/>
            </w:tcBorders>
          </w:tcPr>
          <w:p w14:paraId="4EA5BB55" w14:textId="77777777" w:rsidR="00DD0681" w:rsidRPr="00EF1AD4" w:rsidRDefault="00DD0681" w:rsidP="00E06C5F">
            <w:pPr>
              <w:rPr>
                <w:i/>
                <w:iCs/>
              </w:rPr>
            </w:pPr>
            <w:r>
              <w:rPr>
                <w:i/>
                <w:iCs/>
              </w:rPr>
              <w:t>Chondria armata</w:t>
            </w:r>
          </w:p>
        </w:tc>
        <w:tc>
          <w:tcPr>
            <w:tcW w:w="3150" w:type="dxa"/>
            <w:tcBorders>
              <w:top w:val="single" w:sz="8" w:space="0" w:color="0D0D0D" w:themeColor="text1" w:themeTint="F2"/>
            </w:tcBorders>
          </w:tcPr>
          <w:p w14:paraId="47108472" w14:textId="77777777" w:rsidR="00DD0681" w:rsidRDefault="00DD0681" w:rsidP="00E06C5F">
            <w:r>
              <w:t>Govenkar &amp; Wahidulla, 2000</w:t>
            </w:r>
          </w:p>
        </w:tc>
      </w:tr>
      <w:tr w:rsidR="00DD0681" w14:paraId="754CD496" w14:textId="77777777" w:rsidTr="000B3FDE">
        <w:tc>
          <w:tcPr>
            <w:tcW w:w="3145" w:type="dxa"/>
            <w:shd w:val="clear" w:color="auto" w:fill="D9D9D9" w:themeFill="background1" w:themeFillShade="D9"/>
          </w:tcPr>
          <w:p w14:paraId="5E215A33" w14:textId="77777777" w:rsidR="00DD0681" w:rsidRDefault="00DD0681" w:rsidP="00E06C5F">
            <w:r>
              <w:t>Caluerpin</w:t>
            </w:r>
          </w:p>
        </w:tc>
        <w:tc>
          <w:tcPr>
            <w:tcW w:w="3510" w:type="dxa"/>
            <w:shd w:val="clear" w:color="auto" w:fill="D9D9D9" w:themeFill="background1" w:themeFillShade="D9"/>
          </w:tcPr>
          <w:p w14:paraId="408E44BF" w14:textId="77777777" w:rsidR="00DD0681" w:rsidRPr="00EF1AD4" w:rsidRDefault="00DD0681" w:rsidP="00E06C5F">
            <w:r>
              <w:t>0.85% crude yield</w:t>
            </w:r>
          </w:p>
        </w:tc>
        <w:tc>
          <w:tcPr>
            <w:tcW w:w="4500" w:type="dxa"/>
            <w:shd w:val="clear" w:color="auto" w:fill="D9D9D9" w:themeFill="background1" w:themeFillShade="D9"/>
          </w:tcPr>
          <w:p w14:paraId="2CF034A5" w14:textId="77777777" w:rsidR="00DD0681" w:rsidRPr="00EF1AD4" w:rsidRDefault="00DD0681" w:rsidP="00E06C5F">
            <w:pPr>
              <w:rPr>
                <w:i/>
                <w:iCs/>
              </w:rPr>
            </w:pPr>
            <w:r>
              <w:rPr>
                <w:i/>
                <w:iCs/>
              </w:rPr>
              <w:t>Caulerpa sertularioides</w:t>
            </w:r>
          </w:p>
        </w:tc>
        <w:tc>
          <w:tcPr>
            <w:tcW w:w="3150" w:type="dxa"/>
            <w:shd w:val="clear" w:color="auto" w:fill="D9D9D9" w:themeFill="background1" w:themeFillShade="D9"/>
          </w:tcPr>
          <w:p w14:paraId="16206EF1" w14:textId="77777777" w:rsidR="00DD0681" w:rsidRDefault="00DD0681" w:rsidP="00E06C5F">
            <w:r>
              <w:t>Doty &amp; Aguilar-Santos, 1970</w:t>
            </w:r>
          </w:p>
        </w:tc>
      </w:tr>
      <w:tr w:rsidR="00DD0681" w14:paraId="18F4F8C2" w14:textId="77777777" w:rsidTr="000B3FDE">
        <w:tc>
          <w:tcPr>
            <w:tcW w:w="3145" w:type="dxa"/>
            <w:tcBorders>
              <w:bottom w:val="single" w:sz="8" w:space="0" w:color="0D0D0D" w:themeColor="text1" w:themeTint="F2"/>
            </w:tcBorders>
          </w:tcPr>
          <w:p w14:paraId="1F8471CF" w14:textId="77777777" w:rsidR="00DD0681" w:rsidRDefault="00DD0681" w:rsidP="00E06C5F">
            <w:r>
              <w:t>Caluerpin</w:t>
            </w:r>
          </w:p>
        </w:tc>
        <w:tc>
          <w:tcPr>
            <w:tcW w:w="3510" w:type="dxa"/>
            <w:tcBorders>
              <w:bottom w:val="single" w:sz="8" w:space="0" w:color="0D0D0D" w:themeColor="text1" w:themeTint="F2"/>
            </w:tcBorders>
          </w:tcPr>
          <w:p w14:paraId="370EDAA8" w14:textId="77777777" w:rsidR="00DD0681" w:rsidRPr="00EF1AD4" w:rsidRDefault="00DD0681" w:rsidP="00E06C5F">
            <w:pPr>
              <w:rPr>
                <w:i/>
                <w:iCs/>
              </w:rPr>
            </w:pPr>
            <w:r>
              <w:rPr>
                <w:i/>
                <w:iCs/>
              </w:rPr>
              <w:t>Not quantified</w:t>
            </w:r>
          </w:p>
        </w:tc>
        <w:tc>
          <w:tcPr>
            <w:tcW w:w="4500" w:type="dxa"/>
            <w:tcBorders>
              <w:bottom w:val="single" w:sz="8" w:space="0" w:color="0D0D0D" w:themeColor="text1" w:themeTint="F2"/>
            </w:tcBorders>
          </w:tcPr>
          <w:p w14:paraId="4FE72B4F" w14:textId="77777777" w:rsidR="00DD0681" w:rsidRPr="00EF1AD4" w:rsidRDefault="00DD0681" w:rsidP="00E06C5F">
            <w:pPr>
              <w:rPr>
                <w:i/>
                <w:iCs/>
              </w:rPr>
            </w:pPr>
            <w:r>
              <w:rPr>
                <w:i/>
                <w:iCs/>
              </w:rPr>
              <w:t>Caulerpa lentillifera; Caulerpa lamourouxii</w:t>
            </w:r>
          </w:p>
        </w:tc>
        <w:tc>
          <w:tcPr>
            <w:tcW w:w="3150" w:type="dxa"/>
            <w:tcBorders>
              <w:bottom w:val="single" w:sz="8" w:space="0" w:color="0D0D0D" w:themeColor="text1" w:themeTint="F2"/>
            </w:tcBorders>
          </w:tcPr>
          <w:p w14:paraId="72754C17" w14:textId="77777777" w:rsidR="00DD0681" w:rsidRDefault="00DD0681" w:rsidP="00E06C5F">
            <w:r>
              <w:t>Doty &amp; Aguilar-Santos, 1970</w:t>
            </w:r>
          </w:p>
        </w:tc>
      </w:tr>
      <w:tr w:rsidR="00E06C5F" w14:paraId="56DF659E" w14:textId="77777777" w:rsidTr="000B3FDE">
        <w:tc>
          <w:tcPr>
            <w:tcW w:w="3145" w:type="dxa"/>
            <w:tcBorders>
              <w:top w:val="single" w:sz="8" w:space="0" w:color="0D0D0D" w:themeColor="text1" w:themeTint="F2"/>
            </w:tcBorders>
            <w:shd w:val="clear" w:color="auto" w:fill="D9D9D9" w:themeFill="background1" w:themeFillShade="D9"/>
          </w:tcPr>
          <w:p w14:paraId="08F7DB42" w14:textId="77777777" w:rsidR="00DD0681" w:rsidRDefault="00DD0681" w:rsidP="00E06C5F">
            <w:r>
              <w:t>Caulerpicin</w:t>
            </w:r>
          </w:p>
        </w:tc>
        <w:tc>
          <w:tcPr>
            <w:tcW w:w="3510" w:type="dxa"/>
            <w:tcBorders>
              <w:top w:val="single" w:sz="8" w:space="0" w:color="0D0D0D" w:themeColor="text1" w:themeTint="F2"/>
            </w:tcBorders>
            <w:shd w:val="clear" w:color="auto" w:fill="D9D9D9" w:themeFill="background1" w:themeFillShade="D9"/>
          </w:tcPr>
          <w:p w14:paraId="27A32FF8" w14:textId="2C17B5BF" w:rsidR="00DD0681" w:rsidRDefault="00DD0681" w:rsidP="00E06C5F">
            <w:r w:rsidRPr="00EF1AD4">
              <w:t>≤</w:t>
            </w:r>
            <w:r>
              <w:t>400</w:t>
            </w:r>
            <w:r w:rsidR="00E06C5F">
              <w:t xml:space="preserve"> ppm</w:t>
            </w:r>
            <w:r>
              <w:t>*</w:t>
            </w:r>
          </w:p>
        </w:tc>
        <w:tc>
          <w:tcPr>
            <w:tcW w:w="4500" w:type="dxa"/>
            <w:tcBorders>
              <w:top w:val="single" w:sz="8" w:space="0" w:color="0D0D0D" w:themeColor="text1" w:themeTint="F2"/>
            </w:tcBorders>
            <w:shd w:val="clear" w:color="auto" w:fill="D9D9D9" w:themeFill="background1" w:themeFillShade="D9"/>
          </w:tcPr>
          <w:p w14:paraId="3A741164" w14:textId="77777777" w:rsidR="00DD0681" w:rsidRPr="00EF1AD4" w:rsidRDefault="00DD0681" w:rsidP="00E06C5F">
            <w:pPr>
              <w:rPr>
                <w:i/>
                <w:iCs/>
              </w:rPr>
            </w:pPr>
            <w:r>
              <w:rPr>
                <w:i/>
                <w:iCs/>
              </w:rPr>
              <w:t>Caulerpa racemosa</w:t>
            </w:r>
          </w:p>
        </w:tc>
        <w:tc>
          <w:tcPr>
            <w:tcW w:w="3150" w:type="dxa"/>
            <w:tcBorders>
              <w:top w:val="single" w:sz="8" w:space="0" w:color="0D0D0D" w:themeColor="text1" w:themeTint="F2"/>
            </w:tcBorders>
            <w:shd w:val="clear" w:color="auto" w:fill="D9D9D9" w:themeFill="background1" w:themeFillShade="D9"/>
          </w:tcPr>
          <w:p w14:paraId="11CBEA12" w14:textId="77777777" w:rsidR="00DD0681" w:rsidRDefault="00DD0681" w:rsidP="00E06C5F">
            <w:r>
              <w:t>Doty et al., 1966</w:t>
            </w:r>
          </w:p>
        </w:tc>
      </w:tr>
      <w:tr w:rsidR="00E06C5F" w14:paraId="0481D3B5" w14:textId="77777777" w:rsidTr="000B3FDE">
        <w:tc>
          <w:tcPr>
            <w:tcW w:w="3145" w:type="dxa"/>
          </w:tcPr>
          <w:p w14:paraId="534A3743" w14:textId="77777777" w:rsidR="00DD0681" w:rsidRDefault="00DD0681" w:rsidP="00E06C5F">
            <w:r>
              <w:t>Caulerpicin</w:t>
            </w:r>
          </w:p>
        </w:tc>
        <w:tc>
          <w:tcPr>
            <w:tcW w:w="3510" w:type="dxa"/>
          </w:tcPr>
          <w:p w14:paraId="6136EF83" w14:textId="77777777" w:rsidR="00DD0681" w:rsidRDefault="00DD0681" w:rsidP="00E06C5F">
            <w:r>
              <w:t>0.87% crude yield</w:t>
            </w:r>
          </w:p>
        </w:tc>
        <w:tc>
          <w:tcPr>
            <w:tcW w:w="4500" w:type="dxa"/>
          </w:tcPr>
          <w:p w14:paraId="138F5D31" w14:textId="77777777" w:rsidR="00DD0681" w:rsidRPr="00EF1AD4" w:rsidRDefault="00DD0681" w:rsidP="00E06C5F">
            <w:pPr>
              <w:rPr>
                <w:i/>
                <w:iCs/>
              </w:rPr>
            </w:pPr>
            <w:r>
              <w:rPr>
                <w:i/>
                <w:iCs/>
              </w:rPr>
              <w:t>Caulerpa sertularioides</w:t>
            </w:r>
          </w:p>
        </w:tc>
        <w:tc>
          <w:tcPr>
            <w:tcW w:w="3150" w:type="dxa"/>
          </w:tcPr>
          <w:p w14:paraId="7DF6EA27" w14:textId="77777777" w:rsidR="00DD0681" w:rsidRDefault="00DD0681" w:rsidP="00E06C5F">
            <w:r>
              <w:t>Doty &amp; Aguilar-Santos, 1970</w:t>
            </w:r>
          </w:p>
        </w:tc>
      </w:tr>
      <w:tr w:rsidR="00E06C5F" w14:paraId="0BDF4398" w14:textId="77777777" w:rsidTr="000B3FDE">
        <w:tc>
          <w:tcPr>
            <w:tcW w:w="3145" w:type="dxa"/>
            <w:tcBorders>
              <w:bottom w:val="single" w:sz="8" w:space="0" w:color="0D0D0D" w:themeColor="text1" w:themeTint="F2"/>
            </w:tcBorders>
            <w:shd w:val="clear" w:color="auto" w:fill="D9D9D9" w:themeFill="background1" w:themeFillShade="D9"/>
          </w:tcPr>
          <w:p w14:paraId="03A36BD9" w14:textId="77777777" w:rsidR="00DD0681" w:rsidRDefault="00DD0681" w:rsidP="00E06C5F">
            <w:r>
              <w:lastRenderedPageBreak/>
              <w:t>Caulerpicin</w:t>
            </w:r>
          </w:p>
        </w:tc>
        <w:tc>
          <w:tcPr>
            <w:tcW w:w="3510" w:type="dxa"/>
            <w:tcBorders>
              <w:bottom w:val="single" w:sz="8" w:space="0" w:color="0D0D0D" w:themeColor="text1" w:themeTint="F2"/>
            </w:tcBorders>
            <w:shd w:val="clear" w:color="auto" w:fill="D9D9D9" w:themeFill="background1" w:themeFillShade="D9"/>
          </w:tcPr>
          <w:p w14:paraId="2F6D13F0" w14:textId="77777777" w:rsidR="00DD0681" w:rsidRPr="00EF1AD4" w:rsidRDefault="00DD0681" w:rsidP="00E06C5F">
            <w:pPr>
              <w:rPr>
                <w:i/>
                <w:iCs/>
              </w:rPr>
            </w:pPr>
            <w:r>
              <w:rPr>
                <w:i/>
                <w:iCs/>
              </w:rPr>
              <w:t>Not quantified</w:t>
            </w:r>
          </w:p>
        </w:tc>
        <w:tc>
          <w:tcPr>
            <w:tcW w:w="4500" w:type="dxa"/>
            <w:tcBorders>
              <w:bottom w:val="single" w:sz="8" w:space="0" w:color="0D0D0D" w:themeColor="text1" w:themeTint="F2"/>
            </w:tcBorders>
            <w:shd w:val="clear" w:color="auto" w:fill="D9D9D9" w:themeFill="background1" w:themeFillShade="D9"/>
          </w:tcPr>
          <w:p w14:paraId="06A2A932" w14:textId="77777777" w:rsidR="00DD0681" w:rsidRPr="00173FBA" w:rsidRDefault="00DD0681" w:rsidP="00E06C5F">
            <w:pPr>
              <w:rPr>
                <w:i/>
                <w:iCs/>
                <w:lang w:val="es-ES"/>
              </w:rPr>
            </w:pPr>
            <w:r w:rsidRPr="00173FBA">
              <w:rPr>
                <w:i/>
                <w:iCs/>
                <w:lang w:val="es-ES"/>
              </w:rPr>
              <w:t>Caulerpa lentillifera; Caulerpa racemosa</w:t>
            </w:r>
          </w:p>
          <w:p w14:paraId="29418FD3" w14:textId="77777777" w:rsidR="00DD0681" w:rsidRPr="00173FBA" w:rsidRDefault="00DD0681" w:rsidP="00E06C5F">
            <w:pPr>
              <w:rPr>
                <w:i/>
                <w:iCs/>
                <w:lang w:val="es-ES"/>
              </w:rPr>
            </w:pPr>
            <w:r w:rsidRPr="00173FBA">
              <w:rPr>
                <w:i/>
                <w:iCs/>
                <w:lang w:val="es-ES"/>
              </w:rPr>
              <w:t>Caulerpa lamourouxii</w:t>
            </w:r>
          </w:p>
        </w:tc>
        <w:tc>
          <w:tcPr>
            <w:tcW w:w="3150" w:type="dxa"/>
            <w:tcBorders>
              <w:bottom w:val="single" w:sz="8" w:space="0" w:color="0D0D0D" w:themeColor="text1" w:themeTint="F2"/>
            </w:tcBorders>
            <w:shd w:val="clear" w:color="auto" w:fill="D9D9D9" w:themeFill="background1" w:themeFillShade="D9"/>
          </w:tcPr>
          <w:p w14:paraId="53374F05" w14:textId="77777777" w:rsidR="00DD0681" w:rsidRDefault="00DD0681" w:rsidP="00E06C5F">
            <w:r>
              <w:t>Doty &amp; Aguilar-Santos, 1970</w:t>
            </w:r>
          </w:p>
        </w:tc>
      </w:tr>
      <w:tr w:rsidR="00DD0681" w14:paraId="496331F6" w14:textId="77777777" w:rsidTr="000B3FDE">
        <w:tc>
          <w:tcPr>
            <w:tcW w:w="3145" w:type="dxa"/>
            <w:tcBorders>
              <w:top w:val="single" w:sz="8" w:space="0" w:color="0D0D0D" w:themeColor="text1" w:themeTint="F2"/>
              <w:bottom w:val="single" w:sz="8" w:space="0" w:color="0D0D0D" w:themeColor="text1" w:themeTint="F2"/>
            </w:tcBorders>
          </w:tcPr>
          <w:p w14:paraId="0F30CA5B" w14:textId="77777777" w:rsidR="00DD0681" w:rsidRDefault="00DD0681" w:rsidP="00E06C5F">
            <w:r>
              <w:t xml:space="preserve">Cyanobacteria </w:t>
            </w:r>
          </w:p>
          <w:p w14:paraId="5DCFB802" w14:textId="77777777" w:rsidR="00DD0681" w:rsidRDefault="00DD0681" w:rsidP="00E06C5F">
            <w:r>
              <w:t>(Aplysiatoxin &amp; Debromoaplysiatoxin)</w:t>
            </w:r>
          </w:p>
        </w:tc>
        <w:tc>
          <w:tcPr>
            <w:tcW w:w="3510" w:type="dxa"/>
            <w:tcBorders>
              <w:top w:val="single" w:sz="8" w:space="0" w:color="0D0D0D" w:themeColor="text1" w:themeTint="F2"/>
              <w:bottom w:val="single" w:sz="8" w:space="0" w:color="0D0D0D" w:themeColor="text1" w:themeTint="F2"/>
            </w:tcBorders>
          </w:tcPr>
          <w:p w14:paraId="04D3125A" w14:textId="77777777" w:rsidR="00DD0681" w:rsidRPr="00EF1AD4" w:rsidRDefault="00DD0681" w:rsidP="00E06C5F">
            <w:pPr>
              <w:rPr>
                <w:i/>
                <w:iCs/>
              </w:rPr>
            </w:pPr>
            <w:r>
              <w:rPr>
                <w:i/>
                <w:iCs/>
              </w:rPr>
              <w:t>Not quantified</w:t>
            </w:r>
          </w:p>
        </w:tc>
        <w:tc>
          <w:tcPr>
            <w:tcW w:w="4500" w:type="dxa"/>
            <w:tcBorders>
              <w:top w:val="single" w:sz="8" w:space="0" w:color="0D0D0D" w:themeColor="text1" w:themeTint="F2"/>
              <w:bottom w:val="single" w:sz="8" w:space="0" w:color="0D0D0D" w:themeColor="text1" w:themeTint="F2"/>
            </w:tcBorders>
          </w:tcPr>
          <w:p w14:paraId="3073B035" w14:textId="77777777" w:rsidR="00DD0681" w:rsidRPr="003E370E" w:rsidRDefault="00DD0681" w:rsidP="00E06C5F">
            <w:r>
              <w:rPr>
                <w:i/>
                <w:iCs/>
              </w:rPr>
              <w:t>Gracilaria coronopifolia</w:t>
            </w:r>
            <w:r>
              <w:t xml:space="preserve"> (epiphytes)</w:t>
            </w:r>
          </w:p>
        </w:tc>
        <w:tc>
          <w:tcPr>
            <w:tcW w:w="3150" w:type="dxa"/>
            <w:tcBorders>
              <w:top w:val="single" w:sz="8" w:space="0" w:color="0D0D0D" w:themeColor="text1" w:themeTint="F2"/>
              <w:bottom w:val="single" w:sz="8" w:space="0" w:color="0D0D0D" w:themeColor="text1" w:themeTint="F2"/>
            </w:tcBorders>
          </w:tcPr>
          <w:p w14:paraId="613BACDB" w14:textId="77777777" w:rsidR="00DD0681" w:rsidRDefault="00DD0681" w:rsidP="00E06C5F">
            <w:r>
              <w:t>Nagai et al., 1996; Nagai et al., 1997</w:t>
            </w:r>
          </w:p>
        </w:tc>
      </w:tr>
      <w:tr w:rsidR="00E06C5F" w14:paraId="094A0407" w14:textId="77777777" w:rsidTr="000B3FDE">
        <w:tc>
          <w:tcPr>
            <w:tcW w:w="3145" w:type="dxa"/>
            <w:tcBorders>
              <w:top w:val="single" w:sz="8" w:space="0" w:color="0D0D0D" w:themeColor="text1" w:themeTint="F2"/>
              <w:bottom w:val="single" w:sz="8" w:space="0" w:color="0D0D0D" w:themeColor="text1" w:themeTint="F2"/>
            </w:tcBorders>
            <w:shd w:val="clear" w:color="auto" w:fill="D9D9D9" w:themeFill="background1" w:themeFillShade="D9"/>
          </w:tcPr>
          <w:p w14:paraId="7D80937D" w14:textId="77777777" w:rsidR="00DD0681" w:rsidRDefault="00DD0681" w:rsidP="00E06C5F">
            <w:r>
              <w:t>Diethyl Peroxide</w:t>
            </w:r>
          </w:p>
        </w:tc>
        <w:tc>
          <w:tcPr>
            <w:tcW w:w="3510" w:type="dxa"/>
            <w:tcBorders>
              <w:top w:val="single" w:sz="8" w:space="0" w:color="0D0D0D" w:themeColor="text1" w:themeTint="F2"/>
              <w:bottom w:val="single" w:sz="8" w:space="0" w:color="0D0D0D" w:themeColor="text1" w:themeTint="F2"/>
            </w:tcBorders>
            <w:shd w:val="clear" w:color="auto" w:fill="D9D9D9" w:themeFill="background1" w:themeFillShade="D9"/>
          </w:tcPr>
          <w:p w14:paraId="48A71C8B" w14:textId="77777777" w:rsidR="00DD0681" w:rsidRPr="00EF1AD4" w:rsidRDefault="00DD0681" w:rsidP="00E06C5F">
            <w:pPr>
              <w:rPr>
                <w:i/>
                <w:iCs/>
              </w:rPr>
            </w:pPr>
            <w:r>
              <w:rPr>
                <w:i/>
                <w:iCs/>
              </w:rPr>
              <w:t>Not quantified</w:t>
            </w:r>
          </w:p>
        </w:tc>
        <w:tc>
          <w:tcPr>
            <w:tcW w:w="4500" w:type="dxa"/>
            <w:tcBorders>
              <w:top w:val="single" w:sz="8" w:space="0" w:color="0D0D0D" w:themeColor="text1" w:themeTint="F2"/>
              <w:bottom w:val="single" w:sz="8" w:space="0" w:color="0D0D0D" w:themeColor="text1" w:themeTint="F2"/>
            </w:tcBorders>
            <w:shd w:val="clear" w:color="auto" w:fill="D9D9D9" w:themeFill="background1" w:themeFillShade="D9"/>
          </w:tcPr>
          <w:p w14:paraId="4DFEDD55" w14:textId="77777777" w:rsidR="00DD0681" w:rsidRPr="00173FBA" w:rsidRDefault="00DD0681" w:rsidP="00E06C5F">
            <w:pPr>
              <w:rPr>
                <w:i/>
                <w:iCs/>
                <w:lang w:val="es-ES"/>
              </w:rPr>
            </w:pPr>
            <w:r w:rsidRPr="00173FBA">
              <w:rPr>
                <w:i/>
                <w:iCs/>
                <w:lang w:val="es-ES"/>
              </w:rPr>
              <w:t>Sphaerotrichia divaricate; Cladosiphon okamuranus; Analipus japonicus; Gracilariopsis chorda</w:t>
            </w:r>
          </w:p>
        </w:tc>
        <w:tc>
          <w:tcPr>
            <w:tcW w:w="3150" w:type="dxa"/>
            <w:tcBorders>
              <w:top w:val="single" w:sz="8" w:space="0" w:color="0D0D0D" w:themeColor="text1" w:themeTint="F2"/>
              <w:bottom w:val="single" w:sz="8" w:space="0" w:color="0D0D0D" w:themeColor="text1" w:themeTint="F2"/>
            </w:tcBorders>
            <w:shd w:val="clear" w:color="auto" w:fill="D9D9D9" w:themeFill="background1" w:themeFillShade="D9"/>
          </w:tcPr>
          <w:p w14:paraId="457DE1BE" w14:textId="77777777" w:rsidR="00DD0681" w:rsidRDefault="00DD0681" w:rsidP="00E06C5F">
            <w:r>
              <w:t>Fusetani &amp; Hashimoto, 1981</w:t>
            </w:r>
          </w:p>
        </w:tc>
      </w:tr>
      <w:tr w:rsidR="00DD0681" w14:paraId="7EF20F46" w14:textId="77777777" w:rsidTr="000B3FDE">
        <w:tc>
          <w:tcPr>
            <w:tcW w:w="3145" w:type="dxa"/>
            <w:tcBorders>
              <w:top w:val="single" w:sz="8" w:space="0" w:color="0D0D0D" w:themeColor="text1" w:themeTint="F2"/>
            </w:tcBorders>
          </w:tcPr>
          <w:p w14:paraId="77893763" w14:textId="77777777" w:rsidR="00DD0681" w:rsidRDefault="00DD0681" w:rsidP="00E06C5F">
            <w:r>
              <w:t>Kainic Acid</w:t>
            </w:r>
          </w:p>
        </w:tc>
        <w:tc>
          <w:tcPr>
            <w:tcW w:w="3510" w:type="dxa"/>
            <w:tcBorders>
              <w:top w:val="single" w:sz="8" w:space="0" w:color="0D0D0D" w:themeColor="text1" w:themeTint="F2"/>
            </w:tcBorders>
          </w:tcPr>
          <w:p w14:paraId="661ECFAB" w14:textId="149A36D9" w:rsidR="00DD0681" w:rsidRDefault="00DD0681" w:rsidP="00E06C5F">
            <w:r>
              <w:t>319.8</w:t>
            </w:r>
            <w:r w:rsidR="00E06C5F">
              <w:t xml:space="preserve"> ppm</w:t>
            </w:r>
            <w:r>
              <w:t>*</w:t>
            </w:r>
          </w:p>
        </w:tc>
        <w:tc>
          <w:tcPr>
            <w:tcW w:w="4500" w:type="dxa"/>
            <w:tcBorders>
              <w:top w:val="single" w:sz="8" w:space="0" w:color="0D0D0D" w:themeColor="text1" w:themeTint="F2"/>
            </w:tcBorders>
          </w:tcPr>
          <w:p w14:paraId="4711B2F4" w14:textId="77777777" w:rsidR="00DD0681" w:rsidRPr="003E370E" w:rsidRDefault="00DD0681" w:rsidP="00E06C5F">
            <w:pPr>
              <w:rPr>
                <w:i/>
                <w:iCs/>
              </w:rPr>
            </w:pPr>
            <w:r>
              <w:rPr>
                <w:i/>
                <w:iCs/>
              </w:rPr>
              <w:t>Centroceras clavulatum</w:t>
            </w:r>
          </w:p>
        </w:tc>
        <w:tc>
          <w:tcPr>
            <w:tcW w:w="3150" w:type="dxa"/>
            <w:tcBorders>
              <w:top w:val="single" w:sz="8" w:space="0" w:color="0D0D0D" w:themeColor="text1" w:themeTint="F2"/>
            </w:tcBorders>
          </w:tcPr>
          <w:p w14:paraId="0D0B20B2" w14:textId="77777777" w:rsidR="00DD0681" w:rsidRDefault="00DD0681" w:rsidP="00E06C5F">
            <w:r w:rsidRPr="003E370E">
              <w:t>Impellizzeri et al., 1975</w:t>
            </w:r>
          </w:p>
        </w:tc>
      </w:tr>
      <w:tr w:rsidR="00DD0681" w14:paraId="78AF112C" w14:textId="77777777" w:rsidTr="000B3FDE">
        <w:tc>
          <w:tcPr>
            <w:tcW w:w="3145" w:type="dxa"/>
            <w:shd w:val="clear" w:color="auto" w:fill="D9D9D9" w:themeFill="background1" w:themeFillShade="D9"/>
          </w:tcPr>
          <w:p w14:paraId="2740DCA1" w14:textId="77777777" w:rsidR="00DD0681" w:rsidRDefault="00DD0681" w:rsidP="00E06C5F">
            <w:r w:rsidRPr="003E370E">
              <w:t>Kainic Acid</w:t>
            </w:r>
          </w:p>
        </w:tc>
        <w:tc>
          <w:tcPr>
            <w:tcW w:w="3510" w:type="dxa"/>
            <w:shd w:val="clear" w:color="auto" w:fill="D9D9D9" w:themeFill="background1" w:themeFillShade="D9"/>
          </w:tcPr>
          <w:p w14:paraId="7E5CCB0D" w14:textId="2AD99ED5" w:rsidR="00DD0681" w:rsidRDefault="00DD0681" w:rsidP="00E06C5F">
            <w:r>
              <w:t>21.3</w:t>
            </w:r>
            <w:r w:rsidRPr="003E370E">
              <w:t>–</w:t>
            </w:r>
            <w:r>
              <w:t>27.6</w:t>
            </w:r>
            <w:r w:rsidR="00E06C5F">
              <w:t xml:space="preserve"> ppm</w:t>
            </w:r>
            <w:r>
              <w:t>*</w:t>
            </w:r>
          </w:p>
        </w:tc>
        <w:tc>
          <w:tcPr>
            <w:tcW w:w="4500" w:type="dxa"/>
            <w:shd w:val="clear" w:color="auto" w:fill="D9D9D9" w:themeFill="background1" w:themeFillShade="D9"/>
          </w:tcPr>
          <w:p w14:paraId="48E6A543" w14:textId="77777777" w:rsidR="00DD0681" w:rsidRPr="003E370E" w:rsidRDefault="00DD0681" w:rsidP="00E06C5F">
            <w:pPr>
              <w:rPr>
                <w:i/>
                <w:iCs/>
              </w:rPr>
            </w:pPr>
            <w:r>
              <w:rPr>
                <w:i/>
                <w:iCs/>
              </w:rPr>
              <w:t>Digenea simplex</w:t>
            </w:r>
          </w:p>
        </w:tc>
        <w:tc>
          <w:tcPr>
            <w:tcW w:w="3150" w:type="dxa"/>
            <w:shd w:val="clear" w:color="auto" w:fill="D9D9D9" w:themeFill="background1" w:themeFillShade="D9"/>
          </w:tcPr>
          <w:p w14:paraId="535ED8C6" w14:textId="77777777" w:rsidR="00DD0681" w:rsidRDefault="00DD0681" w:rsidP="00E06C5F">
            <w:r w:rsidRPr="003E370E">
              <w:t>Sato et al., 1996</w:t>
            </w:r>
          </w:p>
        </w:tc>
      </w:tr>
      <w:tr w:rsidR="00DD0681" w14:paraId="4BA7FB3F" w14:textId="77777777" w:rsidTr="000B3FDE">
        <w:tc>
          <w:tcPr>
            <w:tcW w:w="3145" w:type="dxa"/>
          </w:tcPr>
          <w:p w14:paraId="6F32BEBE" w14:textId="77777777" w:rsidR="00DD0681" w:rsidRDefault="00DD0681" w:rsidP="00E06C5F">
            <w:r w:rsidRPr="003E370E">
              <w:t>Kainic Acid</w:t>
            </w:r>
          </w:p>
        </w:tc>
        <w:tc>
          <w:tcPr>
            <w:tcW w:w="3510" w:type="dxa"/>
          </w:tcPr>
          <w:p w14:paraId="08CC5F4F" w14:textId="65111AF4" w:rsidR="00DD0681" w:rsidRDefault="00DD0681" w:rsidP="00E06C5F">
            <w:r>
              <w:t xml:space="preserve">10.1 </w:t>
            </w:r>
            <w:r w:rsidR="00E06C5F">
              <w:t>ppm</w:t>
            </w:r>
            <w:r>
              <w:t>*</w:t>
            </w:r>
          </w:p>
        </w:tc>
        <w:tc>
          <w:tcPr>
            <w:tcW w:w="4500" w:type="dxa"/>
          </w:tcPr>
          <w:p w14:paraId="23711CE9" w14:textId="77777777" w:rsidR="00DD0681" w:rsidRPr="003E370E" w:rsidRDefault="00DD0681" w:rsidP="00E06C5F">
            <w:pPr>
              <w:rPr>
                <w:i/>
                <w:iCs/>
              </w:rPr>
            </w:pPr>
            <w:r>
              <w:rPr>
                <w:i/>
                <w:iCs/>
              </w:rPr>
              <w:t>Laurencia papillosa</w:t>
            </w:r>
          </w:p>
        </w:tc>
        <w:tc>
          <w:tcPr>
            <w:tcW w:w="3150" w:type="dxa"/>
          </w:tcPr>
          <w:p w14:paraId="456EEDDC" w14:textId="77777777" w:rsidR="00DD0681" w:rsidRDefault="00DD0681" w:rsidP="00E06C5F">
            <w:r w:rsidRPr="003E370E">
              <w:t>Sato et al., 1996</w:t>
            </w:r>
          </w:p>
        </w:tc>
      </w:tr>
      <w:tr w:rsidR="00DD0681" w14:paraId="03A2FF07" w14:textId="77777777" w:rsidTr="000B3FDE">
        <w:tc>
          <w:tcPr>
            <w:tcW w:w="3145" w:type="dxa"/>
            <w:shd w:val="clear" w:color="auto" w:fill="D9D9D9" w:themeFill="background1" w:themeFillShade="D9"/>
          </w:tcPr>
          <w:p w14:paraId="065E7010" w14:textId="77777777" w:rsidR="00DD0681" w:rsidRDefault="00DD0681" w:rsidP="00E06C5F">
            <w:r w:rsidRPr="003E370E">
              <w:t>Kainic Acid</w:t>
            </w:r>
          </w:p>
        </w:tc>
        <w:tc>
          <w:tcPr>
            <w:tcW w:w="3510" w:type="dxa"/>
            <w:shd w:val="clear" w:color="auto" w:fill="D9D9D9" w:themeFill="background1" w:themeFillShade="D9"/>
          </w:tcPr>
          <w:p w14:paraId="6FFDD6EC" w14:textId="6234B4B6" w:rsidR="00DD0681" w:rsidRDefault="00DD0681" w:rsidP="00E06C5F">
            <w:r>
              <w:t>&lt;7</w:t>
            </w:r>
            <w:r w:rsidRPr="003E370E">
              <w:t>–</w:t>
            </w:r>
            <w:r>
              <w:t>560</w:t>
            </w:r>
            <w:r w:rsidR="00E06C5F">
              <w:t xml:space="preserve"> ppm</w:t>
            </w:r>
            <w:r>
              <w:t>*</w:t>
            </w:r>
          </w:p>
        </w:tc>
        <w:tc>
          <w:tcPr>
            <w:tcW w:w="4500" w:type="dxa"/>
            <w:shd w:val="clear" w:color="auto" w:fill="D9D9D9" w:themeFill="background1" w:themeFillShade="D9"/>
          </w:tcPr>
          <w:p w14:paraId="782B1604" w14:textId="77777777" w:rsidR="00DD0681" w:rsidRPr="003E370E" w:rsidRDefault="00DD0681" w:rsidP="00E06C5F">
            <w:pPr>
              <w:rPr>
                <w:i/>
                <w:iCs/>
              </w:rPr>
            </w:pPr>
            <w:r>
              <w:rPr>
                <w:i/>
                <w:iCs/>
              </w:rPr>
              <w:t>Palmaria palmata</w:t>
            </w:r>
          </w:p>
        </w:tc>
        <w:tc>
          <w:tcPr>
            <w:tcW w:w="3150" w:type="dxa"/>
            <w:shd w:val="clear" w:color="auto" w:fill="D9D9D9" w:themeFill="background1" w:themeFillShade="D9"/>
          </w:tcPr>
          <w:p w14:paraId="27F88214" w14:textId="77777777" w:rsidR="00DD0681" w:rsidRDefault="00DD0681" w:rsidP="00E06C5F">
            <w:r w:rsidRPr="003E370E">
              <w:t xml:space="preserve">Jørgensen </w:t>
            </w:r>
            <w:r>
              <w:t>&amp;</w:t>
            </w:r>
            <w:r w:rsidRPr="003E370E">
              <w:t xml:space="preserve"> Olesen, 2018</w:t>
            </w:r>
          </w:p>
        </w:tc>
      </w:tr>
      <w:tr w:rsidR="00DD0681" w14:paraId="09A86E14" w14:textId="77777777" w:rsidTr="000B3FDE">
        <w:tc>
          <w:tcPr>
            <w:tcW w:w="3145" w:type="dxa"/>
            <w:tcBorders>
              <w:bottom w:val="single" w:sz="8" w:space="0" w:color="0D0D0D" w:themeColor="text1" w:themeTint="F2"/>
            </w:tcBorders>
          </w:tcPr>
          <w:p w14:paraId="1F1E6724" w14:textId="77777777" w:rsidR="00DD0681" w:rsidRDefault="00DD0681" w:rsidP="00E06C5F">
            <w:r w:rsidRPr="003E370E">
              <w:t>Kainic Acid</w:t>
            </w:r>
          </w:p>
        </w:tc>
        <w:tc>
          <w:tcPr>
            <w:tcW w:w="3510" w:type="dxa"/>
            <w:tcBorders>
              <w:bottom w:val="single" w:sz="8" w:space="0" w:color="0D0D0D" w:themeColor="text1" w:themeTint="F2"/>
            </w:tcBorders>
          </w:tcPr>
          <w:p w14:paraId="6C67A15F" w14:textId="78FFDF33" w:rsidR="00DD0681" w:rsidRDefault="00DD0681" w:rsidP="00E06C5F">
            <w:r>
              <w:t>1.4</w:t>
            </w:r>
            <w:r w:rsidR="00E06C5F">
              <w:t xml:space="preserve"> ppm</w:t>
            </w:r>
            <w:r>
              <w:t>*</w:t>
            </w:r>
          </w:p>
        </w:tc>
        <w:tc>
          <w:tcPr>
            <w:tcW w:w="4500" w:type="dxa"/>
            <w:tcBorders>
              <w:bottom w:val="single" w:sz="8" w:space="0" w:color="0D0D0D" w:themeColor="text1" w:themeTint="F2"/>
            </w:tcBorders>
          </w:tcPr>
          <w:p w14:paraId="5EA6BCC9" w14:textId="421AF1B7" w:rsidR="00DD0681" w:rsidRPr="003E370E" w:rsidRDefault="00DD0681" w:rsidP="00E06C5F">
            <w:pPr>
              <w:rPr>
                <w:i/>
                <w:iCs/>
              </w:rPr>
            </w:pPr>
            <w:r>
              <w:rPr>
                <w:i/>
                <w:iCs/>
              </w:rPr>
              <w:t xml:space="preserve">Vidalia </w:t>
            </w:r>
            <w:r w:rsidR="006D17D6">
              <w:rPr>
                <w:i/>
                <w:iCs/>
              </w:rPr>
              <w:t>obtusiloba</w:t>
            </w:r>
          </w:p>
        </w:tc>
        <w:tc>
          <w:tcPr>
            <w:tcW w:w="3150" w:type="dxa"/>
            <w:tcBorders>
              <w:bottom w:val="single" w:sz="8" w:space="0" w:color="0D0D0D" w:themeColor="text1" w:themeTint="F2"/>
            </w:tcBorders>
          </w:tcPr>
          <w:p w14:paraId="3DA54DDA" w14:textId="77777777" w:rsidR="00DD0681" w:rsidRDefault="00DD0681" w:rsidP="00E06C5F">
            <w:r w:rsidRPr="003E370E">
              <w:t>Sato et al., 1996</w:t>
            </w:r>
          </w:p>
        </w:tc>
      </w:tr>
      <w:tr w:rsidR="00C45D3A" w14:paraId="40EF9444" w14:textId="77777777" w:rsidTr="000B3FDE">
        <w:tc>
          <w:tcPr>
            <w:tcW w:w="3145" w:type="dxa"/>
            <w:tcBorders>
              <w:top w:val="single" w:sz="8" w:space="0" w:color="0D0D0D" w:themeColor="text1" w:themeTint="F2"/>
              <w:bottom w:val="single" w:sz="8" w:space="0" w:color="0D0D0D" w:themeColor="text1" w:themeTint="F2"/>
            </w:tcBorders>
            <w:shd w:val="clear" w:color="auto" w:fill="D9D9D9" w:themeFill="background1" w:themeFillShade="D9"/>
          </w:tcPr>
          <w:p w14:paraId="1D93AC7D" w14:textId="77777777" w:rsidR="00DD0681" w:rsidRDefault="00DD0681" w:rsidP="00E06C5F">
            <w:r>
              <w:t>Polycavernoside A</w:t>
            </w:r>
          </w:p>
        </w:tc>
        <w:tc>
          <w:tcPr>
            <w:tcW w:w="3510" w:type="dxa"/>
            <w:tcBorders>
              <w:top w:val="single" w:sz="8" w:space="0" w:color="0D0D0D" w:themeColor="text1" w:themeTint="F2"/>
              <w:bottom w:val="single" w:sz="8" w:space="0" w:color="0D0D0D" w:themeColor="text1" w:themeTint="F2"/>
            </w:tcBorders>
            <w:shd w:val="clear" w:color="auto" w:fill="D9D9D9" w:themeFill="background1" w:themeFillShade="D9"/>
          </w:tcPr>
          <w:p w14:paraId="454D0C3B" w14:textId="77777777" w:rsidR="00DD0681" w:rsidRDefault="00DD0681" w:rsidP="00E06C5F">
            <w:r>
              <w:t>72</w:t>
            </w:r>
            <w:r w:rsidRPr="003E370E">
              <w:t>–</w:t>
            </w:r>
            <w:r>
              <w:t>84 nmol/kg</w:t>
            </w:r>
          </w:p>
        </w:tc>
        <w:tc>
          <w:tcPr>
            <w:tcW w:w="4500" w:type="dxa"/>
            <w:tcBorders>
              <w:top w:val="single" w:sz="8" w:space="0" w:color="0D0D0D" w:themeColor="text1" w:themeTint="F2"/>
              <w:bottom w:val="single" w:sz="8" w:space="0" w:color="0D0D0D" w:themeColor="text1" w:themeTint="F2"/>
            </w:tcBorders>
            <w:shd w:val="clear" w:color="auto" w:fill="D9D9D9" w:themeFill="background1" w:themeFillShade="D9"/>
          </w:tcPr>
          <w:p w14:paraId="37DAFE96" w14:textId="77777777" w:rsidR="00DD0681" w:rsidRPr="003E370E" w:rsidRDefault="00DD0681" w:rsidP="00E06C5F">
            <w:pPr>
              <w:rPr>
                <w:i/>
                <w:iCs/>
              </w:rPr>
            </w:pPr>
            <w:r>
              <w:rPr>
                <w:i/>
                <w:iCs/>
              </w:rPr>
              <w:t>Gracilaria edulis</w:t>
            </w:r>
          </w:p>
        </w:tc>
        <w:tc>
          <w:tcPr>
            <w:tcW w:w="3150" w:type="dxa"/>
            <w:tcBorders>
              <w:top w:val="single" w:sz="8" w:space="0" w:color="0D0D0D" w:themeColor="text1" w:themeTint="F2"/>
              <w:bottom w:val="single" w:sz="8" w:space="0" w:color="0D0D0D" w:themeColor="text1" w:themeTint="F2"/>
            </w:tcBorders>
            <w:shd w:val="clear" w:color="auto" w:fill="D9D9D9" w:themeFill="background1" w:themeFillShade="D9"/>
          </w:tcPr>
          <w:p w14:paraId="6765A173" w14:textId="77777777" w:rsidR="00DD0681" w:rsidRDefault="00DD0681" w:rsidP="00E06C5F">
            <w:r w:rsidRPr="00DD0681">
              <w:t>Yotsu-Yamashita et. al., 2004</w:t>
            </w:r>
          </w:p>
        </w:tc>
      </w:tr>
      <w:tr w:rsidR="00DD0681" w14:paraId="69007938" w14:textId="77777777" w:rsidTr="000B3FDE">
        <w:tc>
          <w:tcPr>
            <w:tcW w:w="3145" w:type="dxa"/>
            <w:tcBorders>
              <w:top w:val="single" w:sz="8" w:space="0" w:color="0D0D0D" w:themeColor="text1" w:themeTint="F2"/>
            </w:tcBorders>
          </w:tcPr>
          <w:p w14:paraId="4217C63A" w14:textId="77777777" w:rsidR="00DD0681" w:rsidRDefault="00DD0681" w:rsidP="00E06C5F">
            <w:r w:rsidRPr="003E370E">
              <w:t>Prostaglandin E2 (PGE2)</w:t>
            </w:r>
          </w:p>
        </w:tc>
        <w:tc>
          <w:tcPr>
            <w:tcW w:w="3510" w:type="dxa"/>
            <w:tcBorders>
              <w:top w:val="single" w:sz="8" w:space="0" w:color="0D0D0D" w:themeColor="text1" w:themeTint="F2"/>
            </w:tcBorders>
          </w:tcPr>
          <w:p w14:paraId="251C6A86" w14:textId="77777777" w:rsidR="00DD0681" w:rsidRDefault="00DD0681" w:rsidP="00E06C5F">
            <w:r>
              <w:t>0.05</w:t>
            </w:r>
            <w:r w:rsidRPr="003E370E">
              <w:t>–</w:t>
            </w:r>
            <w:r>
              <w:t>0.07%</w:t>
            </w:r>
          </w:p>
        </w:tc>
        <w:tc>
          <w:tcPr>
            <w:tcW w:w="4500" w:type="dxa"/>
            <w:tcBorders>
              <w:top w:val="single" w:sz="8" w:space="0" w:color="0D0D0D" w:themeColor="text1" w:themeTint="F2"/>
            </w:tcBorders>
          </w:tcPr>
          <w:p w14:paraId="4E2F6D25" w14:textId="77777777" w:rsidR="00DD0681" w:rsidRDefault="00DD0681" w:rsidP="00E06C5F">
            <w:pPr>
              <w:rPr>
                <w:i/>
                <w:iCs/>
              </w:rPr>
            </w:pPr>
            <w:r>
              <w:rPr>
                <w:i/>
                <w:iCs/>
              </w:rPr>
              <w:t>Gracilaria lichenoides</w:t>
            </w:r>
          </w:p>
        </w:tc>
        <w:tc>
          <w:tcPr>
            <w:tcW w:w="3150" w:type="dxa"/>
            <w:tcBorders>
              <w:top w:val="single" w:sz="8" w:space="0" w:color="0D0D0D" w:themeColor="text1" w:themeTint="F2"/>
            </w:tcBorders>
          </w:tcPr>
          <w:p w14:paraId="0C7B15D0" w14:textId="77777777" w:rsidR="00DD0681" w:rsidRDefault="00DD0681" w:rsidP="00E06C5F">
            <w:r w:rsidRPr="00DD0681">
              <w:t>Gregson et al., 1979</w:t>
            </w:r>
          </w:p>
        </w:tc>
      </w:tr>
      <w:tr w:rsidR="00DD0681" w14:paraId="454C0DC7" w14:textId="77777777" w:rsidTr="000B3FDE">
        <w:tc>
          <w:tcPr>
            <w:tcW w:w="3145" w:type="dxa"/>
            <w:shd w:val="clear" w:color="auto" w:fill="D9D9D9" w:themeFill="background1" w:themeFillShade="D9"/>
          </w:tcPr>
          <w:p w14:paraId="52373D13" w14:textId="77777777" w:rsidR="00DD0681" w:rsidRDefault="00DD0681" w:rsidP="00E06C5F">
            <w:r w:rsidRPr="00705994">
              <w:t>Prostaglandin E2 (PGE2)</w:t>
            </w:r>
          </w:p>
        </w:tc>
        <w:tc>
          <w:tcPr>
            <w:tcW w:w="3510" w:type="dxa"/>
            <w:shd w:val="clear" w:color="auto" w:fill="D9D9D9" w:themeFill="background1" w:themeFillShade="D9"/>
          </w:tcPr>
          <w:p w14:paraId="2C2ED2AD" w14:textId="727AFFAF" w:rsidR="00DD0681" w:rsidRDefault="00DD0681" w:rsidP="00E06C5F">
            <w:r w:rsidRPr="00705994">
              <w:t>~1–6</w:t>
            </w:r>
            <w:r w:rsidR="00E06C5F">
              <w:t xml:space="preserve"> ppm</w:t>
            </w:r>
            <w:r w:rsidR="00675D43">
              <w:rPr>
                <w:rStyle w:val="FootnoteReference"/>
              </w:rPr>
              <w:footnoteReference w:id="32"/>
            </w:r>
          </w:p>
        </w:tc>
        <w:tc>
          <w:tcPr>
            <w:tcW w:w="4500" w:type="dxa"/>
            <w:shd w:val="clear" w:color="auto" w:fill="D9D9D9" w:themeFill="background1" w:themeFillShade="D9"/>
          </w:tcPr>
          <w:p w14:paraId="1B550959" w14:textId="77777777" w:rsidR="00DD0681" w:rsidRPr="006D17D6" w:rsidRDefault="00DD0681" w:rsidP="00E06C5F">
            <w:pPr>
              <w:rPr>
                <w:i/>
                <w:iCs/>
              </w:rPr>
            </w:pPr>
            <w:r w:rsidRPr="006D17D6">
              <w:rPr>
                <w:i/>
                <w:iCs/>
              </w:rPr>
              <w:t>Gracilaria tenuistipitata</w:t>
            </w:r>
          </w:p>
        </w:tc>
        <w:tc>
          <w:tcPr>
            <w:tcW w:w="3150" w:type="dxa"/>
            <w:shd w:val="clear" w:color="auto" w:fill="D9D9D9" w:themeFill="background1" w:themeFillShade="D9"/>
          </w:tcPr>
          <w:p w14:paraId="28544E49" w14:textId="5FAA45A7" w:rsidR="00DD0681" w:rsidRPr="00DD0681" w:rsidRDefault="00DD0681" w:rsidP="00E06C5F">
            <w:r w:rsidRPr="00705994">
              <w:t>Hsu et al.</w:t>
            </w:r>
            <w:r w:rsidR="00D774E2">
              <w:t>,</w:t>
            </w:r>
            <w:r w:rsidRPr="00705994">
              <w:t xml:space="preserve"> 2008</w:t>
            </w:r>
          </w:p>
        </w:tc>
      </w:tr>
      <w:tr w:rsidR="00DD0681" w14:paraId="2410A975" w14:textId="77777777" w:rsidTr="000B3FDE">
        <w:tc>
          <w:tcPr>
            <w:tcW w:w="3145" w:type="dxa"/>
          </w:tcPr>
          <w:p w14:paraId="11B95B2B" w14:textId="77777777" w:rsidR="00DD0681" w:rsidRDefault="00DD0681" w:rsidP="00E06C5F">
            <w:r>
              <w:t>Prostaglandin E2 (PGE2)</w:t>
            </w:r>
          </w:p>
        </w:tc>
        <w:tc>
          <w:tcPr>
            <w:tcW w:w="3510" w:type="dxa"/>
          </w:tcPr>
          <w:p w14:paraId="0EEB4C3A" w14:textId="67F8D8ED" w:rsidR="00DD0681" w:rsidRDefault="00DD0681" w:rsidP="00E06C5F">
            <w:r>
              <w:t>4.3</w:t>
            </w:r>
            <w:r w:rsidRPr="003E370E">
              <w:t>–</w:t>
            </w:r>
            <w:r>
              <w:t>78.6</w:t>
            </w:r>
            <w:r w:rsidR="00E06C5F">
              <w:t xml:space="preserve"> ppm</w:t>
            </w:r>
          </w:p>
        </w:tc>
        <w:tc>
          <w:tcPr>
            <w:tcW w:w="4500" w:type="dxa"/>
          </w:tcPr>
          <w:p w14:paraId="73D80B1C" w14:textId="77777777" w:rsidR="00DD0681" w:rsidRPr="003E370E" w:rsidRDefault="00DD0681" w:rsidP="00E06C5F">
            <w:pPr>
              <w:rPr>
                <w:i/>
                <w:iCs/>
              </w:rPr>
            </w:pPr>
            <w:r>
              <w:rPr>
                <w:i/>
                <w:iCs/>
              </w:rPr>
              <w:t>Gracilaria verrucosa</w:t>
            </w:r>
          </w:p>
        </w:tc>
        <w:tc>
          <w:tcPr>
            <w:tcW w:w="3150" w:type="dxa"/>
          </w:tcPr>
          <w:p w14:paraId="422F1A4C" w14:textId="77777777" w:rsidR="00DD0681" w:rsidRDefault="00DD0681" w:rsidP="00E06C5F">
            <w:r w:rsidRPr="00DD0681">
              <w:t>Noguchi et al., 1994</w:t>
            </w:r>
          </w:p>
        </w:tc>
      </w:tr>
      <w:tr w:rsidR="00DD0681" w14:paraId="54DBEDF4" w14:textId="77777777" w:rsidTr="000B3FDE">
        <w:tc>
          <w:tcPr>
            <w:tcW w:w="3145" w:type="dxa"/>
            <w:shd w:val="clear" w:color="auto" w:fill="D9D9D9" w:themeFill="background1" w:themeFillShade="D9"/>
          </w:tcPr>
          <w:p w14:paraId="2E41AACC" w14:textId="77777777" w:rsidR="00DD0681" w:rsidRDefault="00DD0681" w:rsidP="00E06C5F">
            <w:r w:rsidRPr="003E370E">
              <w:t>Prostaglandin E2 (PGE2)</w:t>
            </w:r>
          </w:p>
        </w:tc>
        <w:tc>
          <w:tcPr>
            <w:tcW w:w="3510" w:type="dxa"/>
            <w:shd w:val="clear" w:color="auto" w:fill="D9D9D9" w:themeFill="background1" w:themeFillShade="D9"/>
          </w:tcPr>
          <w:p w14:paraId="28421DEA" w14:textId="77777777" w:rsidR="00DD0681" w:rsidRDefault="00DD0681" w:rsidP="00E06C5F">
            <w:pPr>
              <w:rPr>
                <w:i/>
                <w:iCs/>
              </w:rPr>
            </w:pPr>
            <w:r>
              <w:rPr>
                <w:i/>
                <w:iCs/>
              </w:rPr>
              <w:t>Not quantified</w:t>
            </w:r>
          </w:p>
        </w:tc>
        <w:tc>
          <w:tcPr>
            <w:tcW w:w="4500" w:type="dxa"/>
            <w:shd w:val="clear" w:color="auto" w:fill="D9D9D9" w:themeFill="background1" w:themeFillShade="D9"/>
          </w:tcPr>
          <w:p w14:paraId="0B8270A1" w14:textId="77777777" w:rsidR="00DD0681" w:rsidRPr="003E370E" w:rsidRDefault="00DD0681" w:rsidP="00E06C5F">
            <w:pPr>
              <w:rPr>
                <w:i/>
                <w:iCs/>
              </w:rPr>
            </w:pPr>
            <w:r>
              <w:rPr>
                <w:i/>
                <w:iCs/>
              </w:rPr>
              <w:t>Gracilaria verrucosa</w:t>
            </w:r>
          </w:p>
        </w:tc>
        <w:tc>
          <w:tcPr>
            <w:tcW w:w="3150" w:type="dxa"/>
            <w:shd w:val="clear" w:color="auto" w:fill="D9D9D9" w:themeFill="background1" w:themeFillShade="D9"/>
          </w:tcPr>
          <w:p w14:paraId="26278311" w14:textId="77777777" w:rsidR="00DD0681" w:rsidRDefault="00DD0681" w:rsidP="00E06C5F">
            <w:r w:rsidRPr="00DD0681">
              <w:t xml:space="preserve">Fusetani </w:t>
            </w:r>
            <w:r>
              <w:t>&amp;</w:t>
            </w:r>
            <w:r w:rsidRPr="00DD0681">
              <w:t xml:space="preserve"> Hashimoto, 1984</w:t>
            </w:r>
          </w:p>
        </w:tc>
      </w:tr>
    </w:tbl>
    <w:p w14:paraId="4B5F0EB9" w14:textId="77777777" w:rsidR="00687F47" w:rsidRDefault="00687F47" w:rsidP="00DD0681"/>
    <w:p w14:paraId="748B49A4" w14:textId="77777777" w:rsidR="00687F47" w:rsidRDefault="00687F47" w:rsidP="00DD0681">
      <w:pPr>
        <w:sectPr w:rsidR="00687F47" w:rsidSect="005003BC">
          <w:footnotePr>
            <w:numRestart w:val="eachSect"/>
          </w:footnotePr>
          <w:pgSz w:w="15840" w:h="12240" w:orient="landscape"/>
          <w:pgMar w:top="720" w:right="720" w:bottom="720" w:left="720" w:header="720" w:footer="720" w:gutter="0"/>
          <w:pgNumType w:start="1" w:chapStyle="6"/>
          <w:cols w:space="720"/>
          <w:docGrid w:linePitch="360"/>
        </w:sectPr>
      </w:pPr>
    </w:p>
    <w:p w14:paraId="11E62543" w14:textId="3AD157B9" w:rsidR="00045395" w:rsidRDefault="00045395" w:rsidP="00C54E07">
      <w:pPr>
        <w:pStyle w:val="Caption"/>
      </w:pPr>
      <w:r w:rsidRPr="00045395">
        <w:rPr>
          <w:b/>
          <w:bCs/>
        </w:rPr>
        <w:lastRenderedPageBreak/>
        <w:t>Table C-</w:t>
      </w:r>
      <w:r w:rsidRPr="00045395">
        <w:rPr>
          <w:b/>
          <w:bCs/>
        </w:rPr>
        <w:fldChar w:fldCharType="begin"/>
      </w:r>
      <w:r w:rsidRPr="00045395">
        <w:rPr>
          <w:b/>
          <w:bCs/>
        </w:rPr>
        <w:instrText xml:space="preserve"> SEQ Table_C- \* ARABIC </w:instrText>
      </w:r>
      <w:r w:rsidRPr="00045395">
        <w:rPr>
          <w:b/>
          <w:bCs/>
        </w:rPr>
        <w:fldChar w:fldCharType="separate"/>
      </w:r>
      <w:r w:rsidR="00A042AD">
        <w:rPr>
          <w:b/>
          <w:bCs/>
          <w:noProof/>
        </w:rPr>
        <w:t>2</w:t>
      </w:r>
      <w:r w:rsidRPr="00045395">
        <w:rPr>
          <w:b/>
          <w:bCs/>
        </w:rPr>
        <w:fldChar w:fldCharType="end"/>
      </w:r>
      <w:r w:rsidRPr="00045395">
        <w:rPr>
          <w:b/>
          <w:bCs/>
        </w:rPr>
        <w:t>:</w:t>
      </w:r>
      <w:r>
        <w:t xml:space="preserve"> </w:t>
      </w:r>
      <w:r w:rsidRPr="006F07AA">
        <w:t xml:space="preserve">Recorded incidences of mycotoxin quantification or isolation of toxigenic-fungi from unprocessed seaweeds (not </w:t>
      </w:r>
      <w:r w:rsidR="00FA2D9F">
        <w:t>ready-to-eat products</w:t>
      </w:r>
      <w:r w:rsidRPr="006F07AA">
        <w:t>). This table is not exhaustive and focuses only on the current “mycotoxins of focus” as defined by the FDA (USFDA, 2024).</w:t>
      </w:r>
      <w:r w:rsidR="008D2F60">
        <w:t xml:space="preserve"> </w:t>
      </w:r>
      <w:r w:rsidR="008D2F60" w:rsidRPr="008D2F60">
        <w:t>Mycotoxins and associated producing fungal species</w:t>
      </w:r>
      <w:r w:rsidR="008D2F60">
        <w:t xml:space="preserve"> can be found in Table C-3 below</w:t>
      </w:r>
      <w:r w:rsidR="008D2F60" w:rsidRPr="008D2F60">
        <w:t>.</w:t>
      </w:r>
    </w:p>
    <w:tbl>
      <w:tblPr>
        <w:tblStyle w:val="GridTable6Colorful"/>
        <w:tblW w:w="14490" w:type="dxa"/>
        <w:tblLayout w:type="fixed"/>
        <w:tblCellMar>
          <w:top w:w="14" w:type="dxa"/>
        </w:tblCellMar>
        <w:tblLook w:val="04A0" w:firstRow="1" w:lastRow="0" w:firstColumn="1" w:lastColumn="0" w:noHBand="0" w:noVBand="1"/>
      </w:tblPr>
      <w:tblGrid>
        <w:gridCol w:w="2065"/>
        <w:gridCol w:w="1440"/>
        <w:gridCol w:w="1800"/>
        <w:gridCol w:w="1260"/>
        <w:gridCol w:w="1530"/>
        <w:gridCol w:w="1710"/>
        <w:gridCol w:w="1710"/>
        <w:gridCol w:w="1440"/>
        <w:gridCol w:w="1535"/>
      </w:tblGrid>
      <w:tr w:rsidR="004C7112" w:rsidRPr="00822EC3" w14:paraId="6E86AE9C" w14:textId="77777777" w:rsidTr="00D278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5" w:type="dxa"/>
            <w:tcBorders>
              <w:top w:val="single" w:sz="12" w:space="0" w:color="0D0D0D" w:themeColor="text1" w:themeTint="F2"/>
              <w:left w:val="single" w:sz="12" w:space="0" w:color="0D0D0D" w:themeColor="text1" w:themeTint="F2"/>
              <w:bottom w:val="single" w:sz="12" w:space="0" w:color="0D0D0D" w:themeColor="text1" w:themeTint="F2"/>
            </w:tcBorders>
            <w:shd w:val="clear" w:color="auto" w:fill="28666E"/>
            <w:vAlign w:val="center"/>
          </w:tcPr>
          <w:p w14:paraId="3541AA21" w14:textId="77777777" w:rsidR="00CC2218" w:rsidRPr="00F9694B" w:rsidRDefault="00CC2218" w:rsidP="000B3003">
            <w:pPr>
              <w:rPr>
                <w:color w:val="FFFFFF" w:themeColor="background1"/>
              </w:rPr>
            </w:pPr>
            <w:r w:rsidRPr="00F9694B">
              <w:rPr>
                <w:color w:val="FFFFFF" w:themeColor="background1"/>
              </w:rPr>
              <w:t>Seaweed Species</w:t>
            </w:r>
          </w:p>
        </w:tc>
        <w:tc>
          <w:tcPr>
            <w:tcW w:w="1440" w:type="dxa"/>
            <w:tcBorders>
              <w:top w:val="single" w:sz="12" w:space="0" w:color="0D0D0D" w:themeColor="text1" w:themeTint="F2"/>
              <w:bottom w:val="single" w:sz="12" w:space="0" w:color="0D0D0D" w:themeColor="text1" w:themeTint="F2"/>
            </w:tcBorders>
            <w:shd w:val="clear" w:color="auto" w:fill="28666E"/>
            <w:vAlign w:val="center"/>
          </w:tcPr>
          <w:p w14:paraId="332894DF" w14:textId="77777777"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9694B">
              <w:rPr>
                <w:color w:val="FFFFFF" w:themeColor="background1"/>
              </w:rPr>
              <w:t>Aflatoxin</w:t>
            </w:r>
          </w:p>
          <w:p w14:paraId="36E40388" w14:textId="77777777"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F9694B">
              <w:rPr>
                <w:b w:val="0"/>
                <w:bCs w:val="0"/>
                <w:color w:val="FFFFFF" w:themeColor="background1"/>
              </w:rPr>
              <w:t xml:space="preserve">Action Levels US: 20 ppb </w:t>
            </w:r>
          </w:p>
          <w:p w14:paraId="64684E0C" w14:textId="3248D589"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9694B">
              <w:rPr>
                <w:b w:val="0"/>
                <w:bCs w:val="0"/>
                <w:color w:val="FFFFFF" w:themeColor="background1"/>
              </w:rPr>
              <w:t>EU 4–25 ppb</w:t>
            </w:r>
            <w:r w:rsidR="00E06C5F" w:rsidRPr="00F9694B">
              <w:rPr>
                <w:rStyle w:val="FootnoteReference"/>
                <w:b w:val="0"/>
                <w:bCs w:val="0"/>
                <w:color w:val="FFFFFF" w:themeColor="background1"/>
              </w:rPr>
              <w:footnoteReference w:id="33"/>
            </w:r>
          </w:p>
        </w:tc>
        <w:tc>
          <w:tcPr>
            <w:tcW w:w="1800" w:type="dxa"/>
            <w:tcBorders>
              <w:top w:val="single" w:sz="12" w:space="0" w:color="0D0D0D" w:themeColor="text1" w:themeTint="F2"/>
              <w:bottom w:val="single" w:sz="12" w:space="0" w:color="0D0D0D" w:themeColor="text1" w:themeTint="F2"/>
            </w:tcBorders>
            <w:shd w:val="clear" w:color="auto" w:fill="28666E"/>
            <w:vAlign w:val="center"/>
          </w:tcPr>
          <w:p w14:paraId="108713CE" w14:textId="77777777"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9694B">
              <w:rPr>
                <w:color w:val="FFFFFF" w:themeColor="background1"/>
              </w:rPr>
              <w:t>Deoxynivalenol</w:t>
            </w:r>
          </w:p>
          <w:p w14:paraId="290F7977" w14:textId="77777777"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F9694B">
              <w:rPr>
                <w:b w:val="0"/>
                <w:bCs w:val="0"/>
                <w:color w:val="FFFFFF" w:themeColor="background1"/>
              </w:rPr>
              <w:t>Action Levels</w:t>
            </w:r>
          </w:p>
          <w:p w14:paraId="51B3837A" w14:textId="65AE43F9"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9694B">
              <w:rPr>
                <w:b w:val="0"/>
                <w:bCs w:val="0"/>
                <w:color w:val="FFFFFF" w:themeColor="background1"/>
              </w:rPr>
              <w:t>US: 1000 ppb</w:t>
            </w:r>
            <w:r w:rsidR="005B6C30" w:rsidRPr="00F9694B">
              <w:rPr>
                <w:rStyle w:val="FootnoteReference"/>
                <w:b w:val="0"/>
                <w:bCs w:val="0"/>
                <w:color w:val="FFFFFF" w:themeColor="background1"/>
              </w:rPr>
              <w:footnoteReference w:id="34"/>
            </w:r>
            <w:r w:rsidRPr="00F9694B">
              <w:rPr>
                <w:b w:val="0"/>
                <w:bCs w:val="0"/>
                <w:color w:val="FFFFFF" w:themeColor="background1"/>
              </w:rPr>
              <w:t xml:space="preserve"> EU: 150–1750 ppb</w:t>
            </w:r>
            <w:r w:rsidR="00BB69D9" w:rsidRPr="00F9694B">
              <w:rPr>
                <w:rStyle w:val="FootnoteReference"/>
                <w:b w:val="0"/>
                <w:bCs w:val="0"/>
                <w:color w:val="FFFFFF" w:themeColor="background1"/>
              </w:rPr>
              <w:footnoteReference w:id="35"/>
            </w:r>
          </w:p>
        </w:tc>
        <w:tc>
          <w:tcPr>
            <w:tcW w:w="1260" w:type="dxa"/>
            <w:tcBorders>
              <w:top w:val="single" w:sz="12" w:space="0" w:color="0D0D0D" w:themeColor="text1" w:themeTint="F2"/>
              <w:bottom w:val="single" w:sz="12" w:space="0" w:color="0D0D0D" w:themeColor="text1" w:themeTint="F2"/>
            </w:tcBorders>
            <w:shd w:val="clear" w:color="auto" w:fill="28666E"/>
            <w:vAlign w:val="center"/>
          </w:tcPr>
          <w:p w14:paraId="6EC7B077" w14:textId="77777777"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9694B">
              <w:rPr>
                <w:color w:val="FFFFFF" w:themeColor="background1"/>
              </w:rPr>
              <w:t>Fumonisin</w:t>
            </w:r>
          </w:p>
          <w:p w14:paraId="7DC9BA91" w14:textId="77777777"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F9694B">
              <w:rPr>
                <w:b w:val="0"/>
                <w:bCs w:val="0"/>
                <w:color w:val="FFFFFF" w:themeColor="background1"/>
              </w:rPr>
              <w:t>Action Levels</w:t>
            </w:r>
          </w:p>
          <w:p w14:paraId="3F0737E6" w14:textId="17813BDA"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F9694B">
              <w:rPr>
                <w:b w:val="0"/>
                <w:bCs w:val="0"/>
                <w:color w:val="FFFFFF" w:themeColor="background1"/>
              </w:rPr>
              <w:t>US</w:t>
            </w:r>
            <w:r w:rsidR="00C51CD8" w:rsidRPr="00F9694B">
              <w:rPr>
                <w:b w:val="0"/>
                <w:bCs w:val="0"/>
                <w:color w:val="FFFFFF" w:themeColor="background1"/>
              </w:rPr>
              <w:t>:</w:t>
            </w:r>
            <w:r w:rsidRPr="00F9694B">
              <w:rPr>
                <w:b w:val="0"/>
                <w:bCs w:val="0"/>
                <w:color w:val="FFFFFF" w:themeColor="background1"/>
              </w:rPr>
              <w:t xml:space="preserve"> 2000–4000 ppm</w:t>
            </w:r>
            <w:r w:rsidR="00BB69D9" w:rsidRPr="00F9694B">
              <w:rPr>
                <w:rStyle w:val="FootnoteReference"/>
                <w:b w:val="0"/>
                <w:bCs w:val="0"/>
                <w:color w:val="FFFFFF" w:themeColor="background1"/>
              </w:rPr>
              <w:footnoteReference w:id="36"/>
            </w:r>
            <w:r w:rsidRPr="00F9694B">
              <w:rPr>
                <w:b w:val="0"/>
                <w:bCs w:val="0"/>
                <w:color w:val="FFFFFF" w:themeColor="background1"/>
              </w:rPr>
              <w:t xml:space="preserve"> </w:t>
            </w:r>
          </w:p>
          <w:p w14:paraId="12F849B3" w14:textId="0A3F358E"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9694B">
              <w:rPr>
                <w:b w:val="0"/>
                <w:bCs w:val="0"/>
                <w:color w:val="FFFFFF" w:themeColor="background1"/>
              </w:rPr>
              <w:t>EU: 200–1000 ppb</w:t>
            </w:r>
            <w:r w:rsidR="00BB69D9" w:rsidRPr="00F9694B">
              <w:rPr>
                <w:rStyle w:val="FootnoteReference"/>
                <w:b w:val="0"/>
                <w:bCs w:val="0"/>
                <w:color w:val="FFFFFF" w:themeColor="background1"/>
              </w:rPr>
              <w:footnoteReference w:id="37"/>
            </w:r>
          </w:p>
        </w:tc>
        <w:tc>
          <w:tcPr>
            <w:tcW w:w="1530" w:type="dxa"/>
            <w:tcBorders>
              <w:top w:val="single" w:sz="12" w:space="0" w:color="0D0D0D" w:themeColor="text1" w:themeTint="F2"/>
              <w:bottom w:val="single" w:sz="12" w:space="0" w:color="0D0D0D" w:themeColor="text1" w:themeTint="F2"/>
            </w:tcBorders>
            <w:shd w:val="clear" w:color="auto" w:fill="28666E"/>
            <w:vAlign w:val="center"/>
          </w:tcPr>
          <w:p w14:paraId="5A301505" w14:textId="77777777"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9694B">
              <w:rPr>
                <w:color w:val="FFFFFF" w:themeColor="background1"/>
              </w:rPr>
              <w:t>Patulin</w:t>
            </w:r>
          </w:p>
          <w:p w14:paraId="01A3351D" w14:textId="77777777"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F9694B">
              <w:rPr>
                <w:b w:val="0"/>
                <w:bCs w:val="0"/>
                <w:color w:val="FFFFFF" w:themeColor="background1"/>
              </w:rPr>
              <w:t>Action Levels</w:t>
            </w:r>
          </w:p>
          <w:p w14:paraId="6D395A45" w14:textId="4F62C224"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F9694B">
              <w:rPr>
                <w:b w:val="0"/>
                <w:bCs w:val="0"/>
                <w:color w:val="FFFFFF" w:themeColor="background1"/>
              </w:rPr>
              <w:t>US: 50 ppb</w:t>
            </w:r>
            <w:r w:rsidR="00BB69D9" w:rsidRPr="00F9694B">
              <w:rPr>
                <w:rStyle w:val="FootnoteReference"/>
                <w:b w:val="0"/>
                <w:bCs w:val="0"/>
                <w:color w:val="FFFFFF" w:themeColor="background1"/>
              </w:rPr>
              <w:footnoteReference w:id="38"/>
            </w:r>
            <w:r w:rsidRPr="00F9694B">
              <w:rPr>
                <w:b w:val="0"/>
                <w:bCs w:val="0"/>
                <w:color w:val="FFFFFF" w:themeColor="background1"/>
              </w:rPr>
              <w:t xml:space="preserve"> </w:t>
            </w:r>
          </w:p>
          <w:p w14:paraId="4C4906DF" w14:textId="415C2E14"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9694B">
              <w:rPr>
                <w:b w:val="0"/>
                <w:bCs w:val="0"/>
                <w:color w:val="FFFFFF" w:themeColor="background1"/>
              </w:rPr>
              <w:t>EU: 10–50 ppb</w:t>
            </w:r>
            <w:r w:rsidR="00BB69D9" w:rsidRPr="00F9694B">
              <w:rPr>
                <w:rStyle w:val="FootnoteReference"/>
                <w:b w:val="0"/>
                <w:bCs w:val="0"/>
                <w:color w:val="FFFFFF" w:themeColor="background1"/>
              </w:rPr>
              <w:footnoteReference w:id="39"/>
            </w:r>
          </w:p>
        </w:tc>
        <w:tc>
          <w:tcPr>
            <w:tcW w:w="1710" w:type="dxa"/>
            <w:tcBorders>
              <w:top w:val="single" w:sz="12" w:space="0" w:color="0D0D0D" w:themeColor="text1" w:themeTint="F2"/>
              <w:bottom w:val="single" w:sz="12" w:space="0" w:color="0D0D0D" w:themeColor="text1" w:themeTint="F2"/>
            </w:tcBorders>
            <w:shd w:val="clear" w:color="auto" w:fill="28666E"/>
            <w:vAlign w:val="center"/>
          </w:tcPr>
          <w:p w14:paraId="28997D7E" w14:textId="77777777"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9694B">
              <w:rPr>
                <w:color w:val="FFFFFF" w:themeColor="background1"/>
              </w:rPr>
              <w:t>Ochratoxin</w:t>
            </w:r>
          </w:p>
          <w:p w14:paraId="23701481" w14:textId="77777777"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F9694B">
              <w:rPr>
                <w:b w:val="0"/>
                <w:bCs w:val="0"/>
                <w:color w:val="FFFFFF" w:themeColor="background1"/>
              </w:rPr>
              <w:t>Action Levels</w:t>
            </w:r>
          </w:p>
          <w:p w14:paraId="1DCF6884" w14:textId="5369DD94"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F9694B">
              <w:rPr>
                <w:b w:val="0"/>
                <w:bCs w:val="0"/>
                <w:color w:val="FFFFFF" w:themeColor="background1"/>
              </w:rPr>
              <w:t>US: None established</w:t>
            </w:r>
          </w:p>
          <w:p w14:paraId="38E946A7" w14:textId="766F972F"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color w:val="FFFFFF" w:themeColor="background1"/>
                <w:vertAlign w:val="superscript"/>
              </w:rPr>
            </w:pPr>
            <w:r w:rsidRPr="00F9694B">
              <w:rPr>
                <w:b w:val="0"/>
                <w:bCs w:val="0"/>
                <w:color w:val="FFFFFF" w:themeColor="background1"/>
              </w:rPr>
              <w:t>EU: 0.5–10 ppb</w:t>
            </w:r>
            <w:r w:rsidR="00E70CED" w:rsidRPr="00F9694B">
              <w:rPr>
                <w:b w:val="0"/>
                <w:bCs w:val="0"/>
                <w:color w:val="FFFFFF" w:themeColor="background1"/>
                <w:vertAlign w:val="superscript"/>
              </w:rPr>
              <w:t>b</w:t>
            </w:r>
          </w:p>
        </w:tc>
        <w:tc>
          <w:tcPr>
            <w:tcW w:w="1710" w:type="dxa"/>
            <w:tcBorders>
              <w:top w:val="single" w:sz="12" w:space="0" w:color="0D0D0D" w:themeColor="text1" w:themeTint="F2"/>
              <w:bottom w:val="single" w:sz="12" w:space="0" w:color="0D0D0D" w:themeColor="text1" w:themeTint="F2"/>
            </w:tcBorders>
            <w:shd w:val="clear" w:color="auto" w:fill="28666E"/>
            <w:vAlign w:val="center"/>
          </w:tcPr>
          <w:p w14:paraId="68483F12" w14:textId="77777777"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9694B">
              <w:rPr>
                <w:color w:val="FFFFFF" w:themeColor="background1"/>
              </w:rPr>
              <w:t>T-2</w:t>
            </w:r>
          </w:p>
          <w:p w14:paraId="36A87D8A" w14:textId="77777777"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F9694B">
              <w:rPr>
                <w:b w:val="0"/>
                <w:bCs w:val="0"/>
                <w:color w:val="FFFFFF" w:themeColor="background1"/>
              </w:rPr>
              <w:t>Action Levels</w:t>
            </w:r>
          </w:p>
          <w:p w14:paraId="78E4F577" w14:textId="79455772"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9694B">
              <w:rPr>
                <w:b w:val="0"/>
                <w:bCs w:val="0"/>
                <w:color w:val="FFFFFF" w:themeColor="background1"/>
              </w:rPr>
              <w:t>Not Established</w:t>
            </w:r>
            <w:r w:rsidR="00E70CED" w:rsidRPr="00F9694B">
              <w:rPr>
                <w:rStyle w:val="FootnoteReference"/>
                <w:b w:val="0"/>
                <w:bCs w:val="0"/>
                <w:color w:val="FFFFFF" w:themeColor="background1"/>
              </w:rPr>
              <w:footnoteReference w:id="40"/>
            </w:r>
          </w:p>
        </w:tc>
        <w:tc>
          <w:tcPr>
            <w:tcW w:w="1440" w:type="dxa"/>
            <w:tcBorders>
              <w:top w:val="single" w:sz="12" w:space="0" w:color="0D0D0D" w:themeColor="text1" w:themeTint="F2"/>
              <w:bottom w:val="single" w:sz="12" w:space="0" w:color="0D0D0D" w:themeColor="text1" w:themeTint="F2"/>
            </w:tcBorders>
            <w:shd w:val="clear" w:color="auto" w:fill="28666E"/>
            <w:vAlign w:val="center"/>
          </w:tcPr>
          <w:p w14:paraId="02A9CA60" w14:textId="77777777"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9694B">
              <w:rPr>
                <w:color w:val="FFFFFF" w:themeColor="background1"/>
              </w:rPr>
              <w:t>Zeralenone</w:t>
            </w:r>
          </w:p>
          <w:p w14:paraId="46C566F8" w14:textId="77777777"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F9694B">
              <w:rPr>
                <w:b w:val="0"/>
                <w:bCs w:val="0"/>
                <w:color w:val="FFFFFF" w:themeColor="background1"/>
              </w:rPr>
              <w:t>Action Levels</w:t>
            </w:r>
          </w:p>
          <w:p w14:paraId="1E0C0460" w14:textId="77777777"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9694B">
              <w:rPr>
                <w:b w:val="0"/>
                <w:bCs w:val="0"/>
                <w:color w:val="FFFFFF" w:themeColor="background1"/>
              </w:rPr>
              <w:t>Not Established</w:t>
            </w:r>
          </w:p>
        </w:tc>
        <w:tc>
          <w:tcPr>
            <w:tcW w:w="1535" w:type="dxa"/>
            <w:tcBorders>
              <w:top w:val="single" w:sz="12" w:space="0" w:color="0D0D0D" w:themeColor="text1" w:themeTint="F2"/>
              <w:bottom w:val="single" w:sz="12" w:space="0" w:color="0D0D0D" w:themeColor="text1" w:themeTint="F2"/>
              <w:right w:val="single" w:sz="12" w:space="0" w:color="0D0D0D" w:themeColor="text1" w:themeTint="F2"/>
            </w:tcBorders>
            <w:shd w:val="clear" w:color="auto" w:fill="28666E"/>
            <w:vAlign w:val="center"/>
          </w:tcPr>
          <w:p w14:paraId="4E109DE8" w14:textId="77777777" w:rsidR="00CC2218" w:rsidRPr="00F9694B" w:rsidRDefault="00CC2218" w:rsidP="000B300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9694B">
              <w:rPr>
                <w:color w:val="FFFFFF" w:themeColor="background1"/>
              </w:rPr>
              <w:t>References</w:t>
            </w:r>
          </w:p>
        </w:tc>
      </w:tr>
      <w:tr w:rsidR="000B3003" w:rsidRPr="00822EC3" w14:paraId="66B0D3C2" w14:textId="77777777" w:rsidTr="00D27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12" w:space="0" w:color="0D0D0D" w:themeColor="text1" w:themeTint="F2"/>
              <w:left w:val="single" w:sz="12" w:space="0" w:color="0D0D0D" w:themeColor="text1" w:themeTint="F2"/>
              <w:bottom w:val="single" w:sz="12" w:space="0" w:color="0D0D0D" w:themeColor="text1" w:themeTint="F2"/>
            </w:tcBorders>
            <w:shd w:val="clear" w:color="auto" w:fill="D9D9D9" w:themeFill="background1" w:themeFillShade="D9"/>
            <w:vAlign w:val="center"/>
          </w:tcPr>
          <w:p w14:paraId="3FE59500" w14:textId="77777777" w:rsidR="00CC2218" w:rsidRPr="00ED5882" w:rsidRDefault="00CC2218" w:rsidP="000B3003">
            <w:pPr>
              <w:rPr>
                <w:b w:val="0"/>
                <w:bCs w:val="0"/>
                <w:i/>
                <w:iCs/>
                <w:sz w:val="22"/>
                <w:szCs w:val="22"/>
              </w:rPr>
            </w:pPr>
            <w:r w:rsidRPr="00ED5882">
              <w:rPr>
                <w:b w:val="0"/>
                <w:bCs w:val="0"/>
                <w:i/>
                <w:iCs/>
                <w:sz w:val="22"/>
                <w:szCs w:val="22"/>
              </w:rPr>
              <w:t>Ahnfeltia plicata</w:t>
            </w:r>
          </w:p>
        </w:tc>
        <w:tc>
          <w:tcPr>
            <w:tcW w:w="144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6592046E"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80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2DC0CB3A"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26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58412CB0"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53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575C33C1"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71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073A4876"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71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61FA8612"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44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62F64B03"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535" w:type="dxa"/>
            <w:tcBorders>
              <w:top w:val="single" w:sz="12" w:space="0" w:color="0D0D0D" w:themeColor="text1" w:themeTint="F2"/>
              <w:bottom w:val="single" w:sz="12" w:space="0" w:color="0D0D0D" w:themeColor="text1" w:themeTint="F2"/>
              <w:right w:val="single" w:sz="12" w:space="0" w:color="0D0D0D" w:themeColor="text1" w:themeTint="F2"/>
            </w:tcBorders>
            <w:shd w:val="clear" w:color="auto" w:fill="D9D9D9" w:themeFill="background1" w:themeFillShade="D9"/>
            <w:vAlign w:val="center"/>
          </w:tcPr>
          <w:p w14:paraId="1DA89034"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Burkin &amp; Kononenko, 2023</w:t>
            </w:r>
          </w:p>
        </w:tc>
      </w:tr>
      <w:tr w:rsidR="00C51CD8" w:rsidRPr="00822EC3" w14:paraId="0F4C31D6" w14:textId="77777777" w:rsidTr="00D27879">
        <w:tc>
          <w:tcPr>
            <w:cnfStyle w:val="001000000000" w:firstRow="0" w:lastRow="0" w:firstColumn="1" w:lastColumn="0" w:oddVBand="0" w:evenVBand="0" w:oddHBand="0" w:evenHBand="0" w:firstRowFirstColumn="0" w:firstRowLastColumn="0" w:lastRowFirstColumn="0" w:lastRowLastColumn="0"/>
            <w:tcW w:w="2065" w:type="dxa"/>
            <w:tcBorders>
              <w:top w:val="single" w:sz="12" w:space="0" w:color="0D0D0D" w:themeColor="text1" w:themeTint="F2"/>
              <w:left w:val="single" w:sz="12" w:space="0" w:color="0D0D0D" w:themeColor="text1" w:themeTint="F2"/>
            </w:tcBorders>
            <w:vAlign w:val="center"/>
          </w:tcPr>
          <w:p w14:paraId="28B8B483" w14:textId="77777777" w:rsidR="00CC2218" w:rsidRPr="00ED5882" w:rsidRDefault="00CC2218" w:rsidP="000B3003">
            <w:pPr>
              <w:rPr>
                <w:b w:val="0"/>
                <w:bCs w:val="0"/>
                <w:i/>
                <w:iCs/>
                <w:sz w:val="22"/>
                <w:szCs w:val="22"/>
              </w:rPr>
            </w:pPr>
            <w:r w:rsidRPr="00ED5882">
              <w:rPr>
                <w:b w:val="0"/>
                <w:bCs w:val="0"/>
                <w:i/>
                <w:iCs/>
                <w:sz w:val="22"/>
                <w:szCs w:val="22"/>
              </w:rPr>
              <w:t>Ascophyllum nodosum</w:t>
            </w:r>
          </w:p>
        </w:tc>
        <w:tc>
          <w:tcPr>
            <w:tcW w:w="1440" w:type="dxa"/>
            <w:tcBorders>
              <w:top w:val="single" w:sz="12" w:space="0" w:color="0D0D0D" w:themeColor="text1" w:themeTint="F2"/>
            </w:tcBorders>
            <w:vAlign w:val="center"/>
          </w:tcPr>
          <w:p w14:paraId="50F1C2CE"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0.011</w:t>
            </w:r>
          </w:p>
        </w:tc>
        <w:tc>
          <w:tcPr>
            <w:tcW w:w="1800" w:type="dxa"/>
            <w:tcBorders>
              <w:top w:val="single" w:sz="12" w:space="0" w:color="0D0D0D" w:themeColor="text1" w:themeTint="F2"/>
            </w:tcBorders>
            <w:vAlign w:val="center"/>
          </w:tcPr>
          <w:p w14:paraId="65CB4209"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1.39</w:t>
            </w:r>
          </w:p>
        </w:tc>
        <w:tc>
          <w:tcPr>
            <w:tcW w:w="1260" w:type="dxa"/>
            <w:tcBorders>
              <w:top w:val="single" w:sz="12" w:space="0" w:color="0D0D0D" w:themeColor="text1" w:themeTint="F2"/>
            </w:tcBorders>
            <w:vAlign w:val="center"/>
          </w:tcPr>
          <w:p w14:paraId="41B12E02"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0.460</w:t>
            </w:r>
          </w:p>
        </w:tc>
        <w:tc>
          <w:tcPr>
            <w:tcW w:w="1530" w:type="dxa"/>
            <w:tcBorders>
              <w:top w:val="single" w:sz="12" w:space="0" w:color="0D0D0D" w:themeColor="text1" w:themeTint="F2"/>
            </w:tcBorders>
            <w:vAlign w:val="center"/>
          </w:tcPr>
          <w:p w14:paraId="453EDB4B" w14:textId="77777777" w:rsidR="00CC2218" w:rsidRPr="00822EC3" w:rsidRDefault="00CC2218" w:rsidP="000B3003">
            <w:pPr>
              <w:jc w:val="center"/>
              <w:cnfStyle w:val="000000000000" w:firstRow="0" w:lastRow="0" w:firstColumn="0" w:lastColumn="0" w:oddVBand="0" w:evenVBand="0" w:oddHBand="0" w:evenHBand="0" w:firstRowFirstColumn="0" w:firstRowLastColumn="0" w:lastRowFirstColumn="0" w:lastRowLastColumn="0"/>
              <w:rPr>
                <w:sz w:val="22"/>
                <w:szCs w:val="22"/>
              </w:rPr>
            </w:pPr>
            <w:r w:rsidRPr="00B07A98">
              <w:rPr>
                <w:sz w:val="22"/>
                <w:szCs w:val="22"/>
              </w:rPr>
              <w:t>--</w:t>
            </w:r>
          </w:p>
        </w:tc>
        <w:tc>
          <w:tcPr>
            <w:tcW w:w="1710" w:type="dxa"/>
            <w:tcBorders>
              <w:top w:val="single" w:sz="12" w:space="0" w:color="0D0D0D" w:themeColor="text1" w:themeTint="F2"/>
            </w:tcBorders>
            <w:vAlign w:val="center"/>
          </w:tcPr>
          <w:p w14:paraId="176F9A8D"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0.046</w:t>
            </w:r>
          </w:p>
        </w:tc>
        <w:tc>
          <w:tcPr>
            <w:tcW w:w="1710" w:type="dxa"/>
            <w:tcBorders>
              <w:top w:val="single" w:sz="12" w:space="0" w:color="0D0D0D" w:themeColor="text1" w:themeTint="F2"/>
            </w:tcBorders>
            <w:vAlign w:val="center"/>
          </w:tcPr>
          <w:p w14:paraId="2F88BF95"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0.014</w:t>
            </w:r>
          </w:p>
        </w:tc>
        <w:tc>
          <w:tcPr>
            <w:tcW w:w="1440" w:type="dxa"/>
            <w:tcBorders>
              <w:top w:val="single" w:sz="12" w:space="0" w:color="0D0D0D" w:themeColor="text1" w:themeTint="F2"/>
            </w:tcBorders>
            <w:vAlign w:val="center"/>
          </w:tcPr>
          <w:p w14:paraId="2C2A7EFD"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0.150</w:t>
            </w:r>
          </w:p>
        </w:tc>
        <w:tc>
          <w:tcPr>
            <w:tcW w:w="1535" w:type="dxa"/>
            <w:tcBorders>
              <w:top w:val="single" w:sz="12" w:space="0" w:color="0D0D0D" w:themeColor="text1" w:themeTint="F2"/>
              <w:right w:val="single" w:sz="12" w:space="0" w:color="0D0D0D" w:themeColor="text1" w:themeTint="F2"/>
            </w:tcBorders>
            <w:vAlign w:val="center"/>
          </w:tcPr>
          <w:p w14:paraId="75566ACD"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Burkin &amp; Kononenko, 2023</w:t>
            </w:r>
          </w:p>
        </w:tc>
      </w:tr>
      <w:tr w:rsidR="000B3003" w:rsidRPr="00822EC3" w14:paraId="7F29D2CA" w14:textId="77777777" w:rsidTr="00D27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tcBorders>
            <w:shd w:val="clear" w:color="auto" w:fill="D9D9D9" w:themeFill="background1" w:themeFillShade="D9"/>
            <w:vAlign w:val="center"/>
          </w:tcPr>
          <w:p w14:paraId="79209FDA" w14:textId="77777777" w:rsidR="00CC2218" w:rsidRPr="00ED5882" w:rsidRDefault="00CC2218" w:rsidP="000B3003">
            <w:pPr>
              <w:rPr>
                <w:b w:val="0"/>
                <w:bCs w:val="0"/>
                <w:sz w:val="22"/>
                <w:szCs w:val="22"/>
              </w:rPr>
            </w:pPr>
            <w:r w:rsidRPr="00ED5882">
              <w:rPr>
                <w:b w:val="0"/>
                <w:bCs w:val="0"/>
                <w:i/>
                <w:iCs/>
                <w:sz w:val="22"/>
                <w:szCs w:val="22"/>
              </w:rPr>
              <w:t>Ascophyllum nodosum</w:t>
            </w:r>
          </w:p>
        </w:tc>
        <w:tc>
          <w:tcPr>
            <w:tcW w:w="1440" w:type="dxa"/>
            <w:shd w:val="clear" w:color="auto" w:fill="D9D9D9" w:themeFill="background1" w:themeFillShade="D9"/>
            <w:vAlign w:val="center"/>
          </w:tcPr>
          <w:p w14:paraId="73A1687A"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0.160</w:t>
            </w:r>
          </w:p>
        </w:tc>
        <w:tc>
          <w:tcPr>
            <w:tcW w:w="1800" w:type="dxa"/>
            <w:shd w:val="clear" w:color="auto" w:fill="D9D9D9" w:themeFill="background1" w:themeFillShade="D9"/>
            <w:vAlign w:val="center"/>
          </w:tcPr>
          <w:p w14:paraId="1231FAF2"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1.66</w:t>
            </w:r>
          </w:p>
        </w:tc>
        <w:tc>
          <w:tcPr>
            <w:tcW w:w="1260" w:type="dxa"/>
            <w:shd w:val="clear" w:color="auto" w:fill="D9D9D9" w:themeFill="background1" w:themeFillShade="D9"/>
            <w:vAlign w:val="center"/>
          </w:tcPr>
          <w:p w14:paraId="2274DBAD"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0.765</w:t>
            </w:r>
          </w:p>
        </w:tc>
        <w:tc>
          <w:tcPr>
            <w:tcW w:w="1530" w:type="dxa"/>
            <w:shd w:val="clear" w:color="auto" w:fill="D9D9D9" w:themeFill="background1" w:themeFillShade="D9"/>
            <w:vAlign w:val="center"/>
          </w:tcPr>
          <w:p w14:paraId="781C3371"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710" w:type="dxa"/>
            <w:shd w:val="clear" w:color="auto" w:fill="D9D9D9" w:themeFill="background1" w:themeFillShade="D9"/>
            <w:vAlign w:val="center"/>
          </w:tcPr>
          <w:p w14:paraId="6CEE6DB5"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0.115</w:t>
            </w:r>
          </w:p>
        </w:tc>
        <w:tc>
          <w:tcPr>
            <w:tcW w:w="1710" w:type="dxa"/>
            <w:shd w:val="clear" w:color="auto" w:fill="D9D9D9" w:themeFill="background1" w:themeFillShade="D9"/>
            <w:vAlign w:val="center"/>
          </w:tcPr>
          <w:p w14:paraId="11F3BC1B"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0.029</w:t>
            </w:r>
          </w:p>
        </w:tc>
        <w:tc>
          <w:tcPr>
            <w:tcW w:w="1440" w:type="dxa"/>
            <w:shd w:val="clear" w:color="auto" w:fill="D9D9D9" w:themeFill="background1" w:themeFillShade="D9"/>
            <w:vAlign w:val="center"/>
          </w:tcPr>
          <w:p w14:paraId="4E841B52"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0.175</w:t>
            </w:r>
          </w:p>
        </w:tc>
        <w:tc>
          <w:tcPr>
            <w:tcW w:w="1535" w:type="dxa"/>
            <w:tcBorders>
              <w:right w:val="single" w:sz="12" w:space="0" w:color="0D0D0D" w:themeColor="text1" w:themeTint="F2"/>
            </w:tcBorders>
            <w:shd w:val="clear" w:color="auto" w:fill="D9D9D9" w:themeFill="background1" w:themeFillShade="D9"/>
            <w:vAlign w:val="center"/>
          </w:tcPr>
          <w:p w14:paraId="3D18E584"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Burkin et al., 2021</w:t>
            </w:r>
          </w:p>
        </w:tc>
      </w:tr>
      <w:tr w:rsidR="00ED5882" w:rsidRPr="00822EC3" w14:paraId="4805AC30" w14:textId="77777777" w:rsidTr="00D27879">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tcBorders>
            <w:vAlign w:val="center"/>
          </w:tcPr>
          <w:p w14:paraId="0288876C" w14:textId="77777777" w:rsidR="00CC2218" w:rsidRPr="00ED5882" w:rsidRDefault="00CC2218" w:rsidP="000B3003">
            <w:pPr>
              <w:rPr>
                <w:b w:val="0"/>
                <w:bCs w:val="0"/>
                <w:sz w:val="22"/>
                <w:szCs w:val="22"/>
              </w:rPr>
            </w:pPr>
            <w:r w:rsidRPr="00ED5882">
              <w:rPr>
                <w:b w:val="0"/>
                <w:bCs w:val="0"/>
                <w:i/>
                <w:iCs/>
                <w:sz w:val="22"/>
                <w:szCs w:val="22"/>
              </w:rPr>
              <w:t>Ascophyllum nodosum</w:t>
            </w:r>
          </w:p>
        </w:tc>
        <w:tc>
          <w:tcPr>
            <w:tcW w:w="1440" w:type="dxa"/>
            <w:vAlign w:val="center"/>
          </w:tcPr>
          <w:p w14:paraId="4ABFED69"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0.040</w:t>
            </w:r>
          </w:p>
        </w:tc>
        <w:tc>
          <w:tcPr>
            <w:tcW w:w="1800" w:type="dxa"/>
            <w:vAlign w:val="center"/>
          </w:tcPr>
          <w:p w14:paraId="4003B14F"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1.05</w:t>
            </w:r>
          </w:p>
        </w:tc>
        <w:tc>
          <w:tcPr>
            <w:tcW w:w="1260" w:type="dxa"/>
            <w:vAlign w:val="center"/>
          </w:tcPr>
          <w:p w14:paraId="68B5FE36"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2.50</w:t>
            </w:r>
          </w:p>
        </w:tc>
        <w:tc>
          <w:tcPr>
            <w:tcW w:w="1530" w:type="dxa"/>
            <w:vAlign w:val="center"/>
          </w:tcPr>
          <w:p w14:paraId="28E647A4" w14:textId="77777777" w:rsidR="00CC2218" w:rsidRPr="00822EC3" w:rsidRDefault="00CC2218" w:rsidP="000B300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710" w:type="dxa"/>
            <w:vAlign w:val="center"/>
          </w:tcPr>
          <w:p w14:paraId="2557393E"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0.074</w:t>
            </w:r>
          </w:p>
        </w:tc>
        <w:tc>
          <w:tcPr>
            <w:tcW w:w="1710" w:type="dxa"/>
            <w:vAlign w:val="center"/>
          </w:tcPr>
          <w:p w14:paraId="1E3BD11F"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0.028</w:t>
            </w:r>
          </w:p>
        </w:tc>
        <w:tc>
          <w:tcPr>
            <w:tcW w:w="1440" w:type="dxa"/>
            <w:vAlign w:val="center"/>
          </w:tcPr>
          <w:p w14:paraId="77D264AE"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0.478</w:t>
            </w:r>
          </w:p>
        </w:tc>
        <w:tc>
          <w:tcPr>
            <w:tcW w:w="1535" w:type="dxa"/>
            <w:tcBorders>
              <w:right w:val="single" w:sz="12" w:space="0" w:color="0D0D0D" w:themeColor="text1" w:themeTint="F2"/>
            </w:tcBorders>
            <w:vAlign w:val="center"/>
          </w:tcPr>
          <w:p w14:paraId="5D6D5FEB"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Kononenko et al., 2022</w:t>
            </w:r>
          </w:p>
        </w:tc>
      </w:tr>
      <w:tr w:rsidR="000B3003" w:rsidRPr="00822EC3" w14:paraId="4CDB991A" w14:textId="77777777" w:rsidTr="00D27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bottom w:val="single" w:sz="12" w:space="0" w:color="0D0D0D" w:themeColor="text1" w:themeTint="F2"/>
            </w:tcBorders>
            <w:shd w:val="clear" w:color="auto" w:fill="D9D9D9" w:themeFill="background1" w:themeFillShade="D9"/>
            <w:vAlign w:val="center"/>
          </w:tcPr>
          <w:p w14:paraId="1CAB83E8" w14:textId="77777777" w:rsidR="00CC2218" w:rsidRPr="00ED5882" w:rsidRDefault="00CC2218" w:rsidP="000B3003">
            <w:pPr>
              <w:rPr>
                <w:b w:val="0"/>
                <w:bCs w:val="0"/>
                <w:sz w:val="22"/>
                <w:szCs w:val="22"/>
              </w:rPr>
            </w:pPr>
            <w:r w:rsidRPr="00ED5882">
              <w:rPr>
                <w:b w:val="0"/>
                <w:bCs w:val="0"/>
                <w:i/>
                <w:iCs/>
                <w:sz w:val="22"/>
                <w:szCs w:val="22"/>
              </w:rPr>
              <w:t>Ascophyllum nodosum</w:t>
            </w:r>
          </w:p>
        </w:tc>
        <w:tc>
          <w:tcPr>
            <w:tcW w:w="1440" w:type="dxa"/>
            <w:tcBorders>
              <w:bottom w:val="single" w:sz="12" w:space="0" w:color="0D0D0D" w:themeColor="text1" w:themeTint="F2"/>
            </w:tcBorders>
            <w:shd w:val="clear" w:color="auto" w:fill="D9D9D9" w:themeFill="background1" w:themeFillShade="D9"/>
            <w:vAlign w:val="center"/>
          </w:tcPr>
          <w:p w14:paraId="7AF02648"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0.090</w:t>
            </w:r>
          </w:p>
        </w:tc>
        <w:tc>
          <w:tcPr>
            <w:tcW w:w="1800" w:type="dxa"/>
            <w:tcBorders>
              <w:bottom w:val="single" w:sz="12" w:space="0" w:color="0D0D0D" w:themeColor="text1" w:themeTint="F2"/>
            </w:tcBorders>
            <w:shd w:val="clear" w:color="auto" w:fill="D9D9D9" w:themeFill="background1" w:themeFillShade="D9"/>
            <w:vAlign w:val="center"/>
          </w:tcPr>
          <w:p w14:paraId="69F9918A"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2.31</w:t>
            </w:r>
          </w:p>
        </w:tc>
        <w:tc>
          <w:tcPr>
            <w:tcW w:w="1260" w:type="dxa"/>
            <w:tcBorders>
              <w:bottom w:val="single" w:sz="12" w:space="0" w:color="0D0D0D" w:themeColor="text1" w:themeTint="F2"/>
            </w:tcBorders>
            <w:shd w:val="clear" w:color="auto" w:fill="D9D9D9" w:themeFill="background1" w:themeFillShade="D9"/>
            <w:vAlign w:val="center"/>
          </w:tcPr>
          <w:p w14:paraId="26513EDD"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1.66</w:t>
            </w:r>
          </w:p>
        </w:tc>
        <w:tc>
          <w:tcPr>
            <w:tcW w:w="1530" w:type="dxa"/>
            <w:tcBorders>
              <w:bottom w:val="single" w:sz="12" w:space="0" w:color="0D0D0D" w:themeColor="text1" w:themeTint="F2"/>
            </w:tcBorders>
            <w:shd w:val="clear" w:color="auto" w:fill="D9D9D9" w:themeFill="background1" w:themeFillShade="D9"/>
            <w:vAlign w:val="center"/>
          </w:tcPr>
          <w:p w14:paraId="15E57510"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710" w:type="dxa"/>
            <w:tcBorders>
              <w:bottom w:val="single" w:sz="12" w:space="0" w:color="0D0D0D" w:themeColor="text1" w:themeTint="F2"/>
            </w:tcBorders>
            <w:shd w:val="clear" w:color="auto" w:fill="D9D9D9" w:themeFill="background1" w:themeFillShade="D9"/>
            <w:vAlign w:val="center"/>
          </w:tcPr>
          <w:p w14:paraId="1EC892F3"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0.120</w:t>
            </w:r>
          </w:p>
        </w:tc>
        <w:tc>
          <w:tcPr>
            <w:tcW w:w="1710" w:type="dxa"/>
            <w:tcBorders>
              <w:bottom w:val="single" w:sz="12" w:space="0" w:color="0D0D0D" w:themeColor="text1" w:themeTint="F2"/>
            </w:tcBorders>
            <w:shd w:val="clear" w:color="auto" w:fill="D9D9D9" w:themeFill="background1" w:themeFillShade="D9"/>
            <w:vAlign w:val="center"/>
          </w:tcPr>
          <w:p w14:paraId="0FBA273B"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0.083</w:t>
            </w:r>
          </w:p>
        </w:tc>
        <w:tc>
          <w:tcPr>
            <w:tcW w:w="1440" w:type="dxa"/>
            <w:tcBorders>
              <w:bottom w:val="single" w:sz="12" w:space="0" w:color="0D0D0D" w:themeColor="text1" w:themeTint="F2"/>
            </w:tcBorders>
            <w:shd w:val="clear" w:color="auto" w:fill="D9D9D9" w:themeFill="background1" w:themeFillShade="D9"/>
            <w:vAlign w:val="center"/>
          </w:tcPr>
          <w:p w14:paraId="737FC9B0"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0.445</w:t>
            </w:r>
          </w:p>
        </w:tc>
        <w:tc>
          <w:tcPr>
            <w:tcW w:w="1535" w:type="dxa"/>
            <w:tcBorders>
              <w:bottom w:val="single" w:sz="12" w:space="0" w:color="0D0D0D" w:themeColor="text1" w:themeTint="F2"/>
              <w:right w:val="single" w:sz="12" w:space="0" w:color="0D0D0D" w:themeColor="text1" w:themeTint="F2"/>
            </w:tcBorders>
            <w:shd w:val="clear" w:color="auto" w:fill="D9D9D9" w:themeFill="background1" w:themeFillShade="D9"/>
            <w:vAlign w:val="center"/>
          </w:tcPr>
          <w:p w14:paraId="08695B2E"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Kononenko et al., 2021</w:t>
            </w:r>
          </w:p>
        </w:tc>
      </w:tr>
      <w:tr w:rsidR="00ED5882" w:rsidRPr="00822EC3" w14:paraId="30846093" w14:textId="77777777" w:rsidTr="00D27879">
        <w:tc>
          <w:tcPr>
            <w:cnfStyle w:val="001000000000" w:firstRow="0" w:lastRow="0" w:firstColumn="1" w:lastColumn="0" w:oddVBand="0" w:evenVBand="0" w:oddHBand="0" w:evenHBand="0" w:firstRowFirstColumn="0" w:firstRowLastColumn="0" w:lastRowFirstColumn="0" w:lastRowLastColumn="0"/>
            <w:tcW w:w="2065" w:type="dxa"/>
            <w:tcBorders>
              <w:top w:val="single" w:sz="12" w:space="0" w:color="0D0D0D" w:themeColor="text1" w:themeTint="F2"/>
              <w:left w:val="single" w:sz="12" w:space="0" w:color="0D0D0D" w:themeColor="text1" w:themeTint="F2"/>
              <w:bottom w:val="single" w:sz="12" w:space="0" w:color="0D0D0D" w:themeColor="text1" w:themeTint="F2"/>
            </w:tcBorders>
            <w:vAlign w:val="center"/>
          </w:tcPr>
          <w:p w14:paraId="1F8D466D" w14:textId="77777777" w:rsidR="00CC2218" w:rsidRPr="00ED5882" w:rsidRDefault="00CC2218" w:rsidP="000B3003">
            <w:pPr>
              <w:rPr>
                <w:b w:val="0"/>
                <w:bCs w:val="0"/>
                <w:i/>
                <w:iCs/>
                <w:sz w:val="22"/>
                <w:szCs w:val="22"/>
              </w:rPr>
            </w:pPr>
            <w:r w:rsidRPr="00ED5882">
              <w:rPr>
                <w:b w:val="0"/>
                <w:bCs w:val="0"/>
                <w:i/>
                <w:iCs/>
                <w:sz w:val="22"/>
                <w:szCs w:val="22"/>
              </w:rPr>
              <w:t>Asparagopsis taxiformis</w:t>
            </w:r>
          </w:p>
        </w:tc>
        <w:tc>
          <w:tcPr>
            <w:tcW w:w="1440" w:type="dxa"/>
            <w:tcBorders>
              <w:top w:val="single" w:sz="12" w:space="0" w:color="0D0D0D" w:themeColor="text1" w:themeTint="F2"/>
              <w:bottom w:val="single" w:sz="12" w:space="0" w:color="0D0D0D" w:themeColor="text1" w:themeTint="F2"/>
            </w:tcBorders>
            <w:vAlign w:val="center"/>
          </w:tcPr>
          <w:p w14:paraId="09D37E1F"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800" w:type="dxa"/>
            <w:tcBorders>
              <w:top w:val="single" w:sz="12" w:space="0" w:color="0D0D0D" w:themeColor="text1" w:themeTint="F2"/>
              <w:bottom w:val="single" w:sz="12" w:space="0" w:color="0D0D0D" w:themeColor="text1" w:themeTint="F2"/>
            </w:tcBorders>
            <w:vAlign w:val="center"/>
          </w:tcPr>
          <w:p w14:paraId="119A196C"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260" w:type="dxa"/>
            <w:tcBorders>
              <w:top w:val="single" w:sz="12" w:space="0" w:color="0D0D0D" w:themeColor="text1" w:themeTint="F2"/>
              <w:bottom w:val="single" w:sz="12" w:space="0" w:color="0D0D0D" w:themeColor="text1" w:themeTint="F2"/>
            </w:tcBorders>
            <w:vAlign w:val="center"/>
          </w:tcPr>
          <w:p w14:paraId="5FCDF383"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530" w:type="dxa"/>
            <w:tcBorders>
              <w:top w:val="single" w:sz="12" w:space="0" w:color="0D0D0D" w:themeColor="text1" w:themeTint="F2"/>
              <w:bottom w:val="single" w:sz="12" w:space="0" w:color="0D0D0D" w:themeColor="text1" w:themeTint="F2"/>
            </w:tcBorders>
            <w:vAlign w:val="center"/>
          </w:tcPr>
          <w:p w14:paraId="7B03DA07"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710" w:type="dxa"/>
            <w:tcBorders>
              <w:top w:val="single" w:sz="12" w:space="0" w:color="0D0D0D" w:themeColor="text1" w:themeTint="F2"/>
              <w:bottom w:val="single" w:sz="12" w:space="0" w:color="0D0D0D" w:themeColor="text1" w:themeTint="F2"/>
            </w:tcBorders>
            <w:vAlign w:val="center"/>
          </w:tcPr>
          <w:p w14:paraId="5DD03EE5"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710" w:type="dxa"/>
            <w:tcBorders>
              <w:top w:val="single" w:sz="12" w:space="0" w:color="0D0D0D" w:themeColor="text1" w:themeTint="F2"/>
              <w:bottom w:val="single" w:sz="12" w:space="0" w:color="0D0D0D" w:themeColor="text1" w:themeTint="F2"/>
            </w:tcBorders>
            <w:vAlign w:val="center"/>
          </w:tcPr>
          <w:p w14:paraId="1909B6E1"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440" w:type="dxa"/>
            <w:tcBorders>
              <w:top w:val="single" w:sz="12" w:space="0" w:color="0D0D0D" w:themeColor="text1" w:themeTint="F2"/>
              <w:bottom w:val="single" w:sz="12" w:space="0" w:color="0D0D0D" w:themeColor="text1" w:themeTint="F2"/>
            </w:tcBorders>
            <w:vAlign w:val="center"/>
          </w:tcPr>
          <w:p w14:paraId="24B9877E"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535" w:type="dxa"/>
            <w:tcBorders>
              <w:top w:val="single" w:sz="12" w:space="0" w:color="0D0D0D" w:themeColor="text1" w:themeTint="F2"/>
              <w:bottom w:val="single" w:sz="12" w:space="0" w:color="0D0D0D" w:themeColor="text1" w:themeTint="F2"/>
              <w:right w:val="single" w:sz="12" w:space="0" w:color="0D0D0D" w:themeColor="text1" w:themeTint="F2"/>
            </w:tcBorders>
            <w:vAlign w:val="center"/>
          </w:tcPr>
          <w:p w14:paraId="7C8FB7A0"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Garzoli et al., 2015</w:t>
            </w:r>
          </w:p>
        </w:tc>
      </w:tr>
      <w:tr w:rsidR="000B3003" w:rsidRPr="00822EC3" w14:paraId="115E708B" w14:textId="77777777" w:rsidTr="00D27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12" w:space="0" w:color="0D0D0D" w:themeColor="text1" w:themeTint="F2"/>
              <w:left w:val="single" w:sz="12" w:space="0" w:color="0D0D0D" w:themeColor="text1" w:themeTint="F2"/>
              <w:bottom w:val="single" w:sz="12" w:space="0" w:color="000000"/>
            </w:tcBorders>
            <w:shd w:val="clear" w:color="auto" w:fill="D9D9D9" w:themeFill="background1" w:themeFillShade="D9"/>
            <w:vAlign w:val="center"/>
          </w:tcPr>
          <w:p w14:paraId="6179AD29" w14:textId="77777777" w:rsidR="00CC2218" w:rsidRPr="00ED5882" w:rsidRDefault="00CC2218" w:rsidP="000B3003">
            <w:pPr>
              <w:rPr>
                <w:b w:val="0"/>
                <w:bCs w:val="0"/>
                <w:i/>
                <w:iCs/>
                <w:sz w:val="22"/>
                <w:szCs w:val="22"/>
              </w:rPr>
            </w:pPr>
            <w:r w:rsidRPr="00ED5882">
              <w:rPr>
                <w:b w:val="0"/>
                <w:bCs w:val="0"/>
                <w:i/>
                <w:iCs/>
                <w:sz w:val="22"/>
                <w:szCs w:val="22"/>
              </w:rPr>
              <w:t>Chorda filum</w:t>
            </w:r>
          </w:p>
        </w:tc>
        <w:tc>
          <w:tcPr>
            <w:tcW w:w="1440" w:type="dxa"/>
            <w:tcBorders>
              <w:top w:val="single" w:sz="12" w:space="0" w:color="0D0D0D" w:themeColor="text1" w:themeTint="F2"/>
              <w:bottom w:val="single" w:sz="12" w:space="0" w:color="000000"/>
            </w:tcBorders>
            <w:shd w:val="clear" w:color="auto" w:fill="D9D9D9" w:themeFill="background1" w:themeFillShade="D9"/>
            <w:vAlign w:val="center"/>
          </w:tcPr>
          <w:p w14:paraId="13F4DBDC"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800" w:type="dxa"/>
            <w:tcBorders>
              <w:top w:val="single" w:sz="12" w:space="0" w:color="0D0D0D" w:themeColor="text1" w:themeTint="F2"/>
              <w:bottom w:val="single" w:sz="12" w:space="0" w:color="000000"/>
            </w:tcBorders>
            <w:shd w:val="clear" w:color="auto" w:fill="D9D9D9" w:themeFill="background1" w:themeFillShade="D9"/>
            <w:vAlign w:val="center"/>
          </w:tcPr>
          <w:p w14:paraId="33A331DB"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260" w:type="dxa"/>
            <w:tcBorders>
              <w:top w:val="single" w:sz="12" w:space="0" w:color="0D0D0D" w:themeColor="text1" w:themeTint="F2"/>
              <w:bottom w:val="single" w:sz="12" w:space="0" w:color="000000"/>
            </w:tcBorders>
            <w:shd w:val="clear" w:color="auto" w:fill="D9D9D9" w:themeFill="background1" w:themeFillShade="D9"/>
            <w:vAlign w:val="center"/>
          </w:tcPr>
          <w:p w14:paraId="16BC7B79"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530" w:type="dxa"/>
            <w:tcBorders>
              <w:top w:val="single" w:sz="12" w:space="0" w:color="0D0D0D" w:themeColor="text1" w:themeTint="F2"/>
              <w:bottom w:val="single" w:sz="12" w:space="0" w:color="000000"/>
            </w:tcBorders>
            <w:shd w:val="clear" w:color="auto" w:fill="D9D9D9" w:themeFill="background1" w:themeFillShade="D9"/>
            <w:vAlign w:val="center"/>
          </w:tcPr>
          <w:p w14:paraId="57D98D6C"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710" w:type="dxa"/>
            <w:tcBorders>
              <w:top w:val="single" w:sz="12" w:space="0" w:color="0D0D0D" w:themeColor="text1" w:themeTint="F2"/>
              <w:bottom w:val="single" w:sz="12" w:space="0" w:color="000000"/>
            </w:tcBorders>
            <w:shd w:val="clear" w:color="auto" w:fill="D9D9D9" w:themeFill="background1" w:themeFillShade="D9"/>
            <w:vAlign w:val="center"/>
          </w:tcPr>
          <w:p w14:paraId="5013587A"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710" w:type="dxa"/>
            <w:tcBorders>
              <w:top w:val="single" w:sz="12" w:space="0" w:color="0D0D0D" w:themeColor="text1" w:themeTint="F2"/>
              <w:bottom w:val="single" w:sz="12" w:space="0" w:color="000000"/>
            </w:tcBorders>
            <w:shd w:val="clear" w:color="auto" w:fill="D9D9D9" w:themeFill="background1" w:themeFillShade="D9"/>
            <w:vAlign w:val="center"/>
          </w:tcPr>
          <w:p w14:paraId="11361DE9"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440" w:type="dxa"/>
            <w:tcBorders>
              <w:top w:val="single" w:sz="12" w:space="0" w:color="0D0D0D" w:themeColor="text1" w:themeTint="F2"/>
              <w:bottom w:val="single" w:sz="12" w:space="0" w:color="000000"/>
            </w:tcBorders>
            <w:shd w:val="clear" w:color="auto" w:fill="D9D9D9" w:themeFill="background1" w:themeFillShade="D9"/>
            <w:vAlign w:val="center"/>
          </w:tcPr>
          <w:p w14:paraId="64262219"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535" w:type="dxa"/>
            <w:tcBorders>
              <w:top w:val="single" w:sz="12" w:space="0" w:color="0D0D0D" w:themeColor="text1" w:themeTint="F2"/>
              <w:bottom w:val="single" w:sz="12" w:space="0" w:color="000000"/>
              <w:right w:val="single" w:sz="12" w:space="0" w:color="0D0D0D" w:themeColor="text1" w:themeTint="F2"/>
            </w:tcBorders>
            <w:shd w:val="clear" w:color="auto" w:fill="D9D9D9" w:themeFill="background1" w:themeFillShade="D9"/>
            <w:vAlign w:val="center"/>
          </w:tcPr>
          <w:p w14:paraId="25F70A9A"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Kononenko et al., 2021</w:t>
            </w:r>
          </w:p>
        </w:tc>
      </w:tr>
      <w:tr w:rsidR="00C51CD8" w:rsidRPr="00822EC3" w14:paraId="729C13B7" w14:textId="77777777" w:rsidTr="00D27879">
        <w:tc>
          <w:tcPr>
            <w:cnfStyle w:val="001000000000" w:firstRow="0" w:lastRow="0" w:firstColumn="1" w:lastColumn="0" w:oddVBand="0" w:evenVBand="0" w:oddHBand="0" w:evenHBand="0" w:firstRowFirstColumn="0" w:firstRowLastColumn="0" w:lastRowFirstColumn="0" w:lastRowLastColumn="0"/>
            <w:tcW w:w="2065" w:type="dxa"/>
            <w:tcBorders>
              <w:top w:val="single" w:sz="12" w:space="0" w:color="000000"/>
              <w:left w:val="single" w:sz="12" w:space="0" w:color="0D0D0D" w:themeColor="text1" w:themeTint="F2"/>
            </w:tcBorders>
            <w:vAlign w:val="center"/>
          </w:tcPr>
          <w:p w14:paraId="6F10399E" w14:textId="77777777" w:rsidR="00CC2218" w:rsidRPr="00ED5882" w:rsidRDefault="00CC2218" w:rsidP="000B3003">
            <w:pPr>
              <w:rPr>
                <w:b w:val="0"/>
                <w:bCs w:val="0"/>
                <w:i/>
                <w:iCs/>
                <w:sz w:val="22"/>
                <w:szCs w:val="22"/>
              </w:rPr>
            </w:pPr>
            <w:r w:rsidRPr="00ED5882">
              <w:rPr>
                <w:b w:val="0"/>
                <w:bCs w:val="0"/>
                <w:i/>
                <w:iCs/>
                <w:sz w:val="22"/>
                <w:szCs w:val="22"/>
              </w:rPr>
              <w:lastRenderedPageBreak/>
              <w:t>Chordaria flagelliformis</w:t>
            </w:r>
          </w:p>
        </w:tc>
        <w:tc>
          <w:tcPr>
            <w:tcW w:w="1440" w:type="dxa"/>
            <w:tcBorders>
              <w:top w:val="single" w:sz="12" w:space="0" w:color="000000"/>
            </w:tcBorders>
            <w:vAlign w:val="center"/>
          </w:tcPr>
          <w:p w14:paraId="5C7F5A48"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800" w:type="dxa"/>
            <w:tcBorders>
              <w:top w:val="single" w:sz="12" w:space="0" w:color="000000"/>
            </w:tcBorders>
            <w:vAlign w:val="center"/>
          </w:tcPr>
          <w:p w14:paraId="1CB76DFA"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0.076</w:t>
            </w:r>
          </w:p>
        </w:tc>
        <w:tc>
          <w:tcPr>
            <w:tcW w:w="1260" w:type="dxa"/>
            <w:tcBorders>
              <w:top w:val="single" w:sz="12" w:space="0" w:color="000000"/>
            </w:tcBorders>
            <w:vAlign w:val="center"/>
          </w:tcPr>
          <w:p w14:paraId="4402BFED"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0.280</w:t>
            </w:r>
          </w:p>
        </w:tc>
        <w:tc>
          <w:tcPr>
            <w:tcW w:w="1530" w:type="dxa"/>
            <w:tcBorders>
              <w:top w:val="single" w:sz="12" w:space="0" w:color="000000"/>
            </w:tcBorders>
            <w:vAlign w:val="center"/>
          </w:tcPr>
          <w:p w14:paraId="3889B21A" w14:textId="77777777" w:rsidR="00CC2218" w:rsidRPr="00822EC3" w:rsidRDefault="00CC2218" w:rsidP="000B300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710" w:type="dxa"/>
            <w:tcBorders>
              <w:top w:val="single" w:sz="12" w:space="0" w:color="000000"/>
            </w:tcBorders>
            <w:vAlign w:val="center"/>
          </w:tcPr>
          <w:p w14:paraId="15826278"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0.008</w:t>
            </w:r>
          </w:p>
        </w:tc>
        <w:tc>
          <w:tcPr>
            <w:tcW w:w="1710" w:type="dxa"/>
            <w:tcBorders>
              <w:top w:val="single" w:sz="12" w:space="0" w:color="000000"/>
            </w:tcBorders>
            <w:vAlign w:val="center"/>
          </w:tcPr>
          <w:p w14:paraId="460852F6"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440" w:type="dxa"/>
            <w:tcBorders>
              <w:top w:val="single" w:sz="12" w:space="0" w:color="000000"/>
            </w:tcBorders>
            <w:vAlign w:val="center"/>
          </w:tcPr>
          <w:p w14:paraId="48637824"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535" w:type="dxa"/>
            <w:tcBorders>
              <w:top w:val="single" w:sz="12" w:space="0" w:color="000000"/>
              <w:right w:val="single" w:sz="12" w:space="0" w:color="0D0D0D" w:themeColor="text1" w:themeTint="F2"/>
            </w:tcBorders>
            <w:vAlign w:val="center"/>
          </w:tcPr>
          <w:p w14:paraId="2B04CF93"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Kononenko et al., 2021</w:t>
            </w:r>
          </w:p>
        </w:tc>
      </w:tr>
      <w:tr w:rsidR="000B3003" w:rsidRPr="00822EC3" w14:paraId="55862F4D" w14:textId="77777777" w:rsidTr="00D27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tcBorders>
            <w:shd w:val="clear" w:color="auto" w:fill="D9D9D9" w:themeFill="background1" w:themeFillShade="D9"/>
            <w:vAlign w:val="center"/>
          </w:tcPr>
          <w:p w14:paraId="68AD4119" w14:textId="77777777" w:rsidR="00CC2218" w:rsidRPr="00ED5882" w:rsidRDefault="00CC2218" w:rsidP="000B3003">
            <w:pPr>
              <w:rPr>
                <w:b w:val="0"/>
                <w:bCs w:val="0"/>
                <w:i/>
                <w:iCs/>
                <w:sz w:val="22"/>
                <w:szCs w:val="22"/>
              </w:rPr>
            </w:pPr>
            <w:r w:rsidRPr="00ED5882">
              <w:rPr>
                <w:b w:val="0"/>
                <w:bCs w:val="0"/>
                <w:i/>
                <w:iCs/>
                <w:sz w:val="22"/>
                <w:szCs w:val="22"/>
              </w:rPr>
              <w:t>Fucus distichus</w:t>
            </w:r>
          </w:p>
        </w:tc>
        <w:tc>
          <w:tcPr>
            <w:tcW w:w="1440" w:type="dxa"/>
            <w:shd w:val="clear" w:color="auto" w:fill="D9D9D9" w:themeFill="background1" w:themeFillShade="D9"/>
            <w:vAlign w:val="center"/>
          </w:tcPr>
          <w:p w14:paraId="59A75264"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0.385</w:t>
            </w:r>
          </w:p>
        </w:tc>
        <w:tc>
          <w:tcPr>
            <w:tcW w:w="1800" w:type="dxa"/>
            <w:shd w:val="clear" w:color="auto" w:fill="D9D9D9" w:themeFill="background1" w:themeFillShade="D9"/>
            <w:vAlign w:val="center"/>
          </w:tcPr>
          <w:p w14:paraId="0310BF44"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20.8</w:t>
            </w:r>
          </w:p>
        </w:tc>
        <w:tc>
          <w:tcPr>
            <w:tcW w:w="1260" w:type="dxa"/>
            <w:shd w:val="clear" w:color="auto" w:fill="D9D9D9" w:themeFill="background1" w:themeFillShade="D9"/>
            <w:vAlign w:val="center"/>
          </w:tcPr>
          <w:p w14:paraId="34864DA0"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5.38</w:t>
            </w:r>
          </w:p>
        </w:tc>
        <w:tc>
          <w:tcPr>
            <w:tcW w:w="1530" w:type="dxa"/>
            <w:shd w:val="clear" w:color="auto" w:fill="D9D9D9" w:themeFill="background1" w:themeFillShade="D9"/>
            <w:vAlign w:val="center"/>
          </w:tcPr>
          <w:p w14:paraId="1F5CB644"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710" w:type="dxa"/>
            <w:shd w:val="clear" w:color="auto" w:fill="D9D9D9" w:themeFill="background1" w:themeFillShade="D9"/>
            <w:vAlign w:val="center"/>
          </w:tcPr>
          <w:p w14:paraId="42C90F97"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0.360</w:t>
            </w:r>
          </w:p>
        </w:tc>
        <w:tc>
          <w:tcPr>
            <w:tcW w:w="1710" w:type="dxa"/>
            <w:shd w:val="clear" w:color="auto" w:fill="D9D9D9" w:themeFill="background1" w:themeFillShade="D9"/>
            <w:vAlign w:val="center"/>
          </w:tcPr>
          <w:p w14:paraId="3667F93C"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1.55</w:t>
            </w:r>
          </w:p>
        </w:tc>
        <w:tc>
          <w:tcPr>
            <w:tcW w:w="1440" w:type="dxa"/>
            <w:shd w:val="clear" w:color="auto" w:fill="D9D9D9" w:themeFill="background1" w:themeFillShade="D9"/>
            <w:vAlign w:val="center"/>
          </w:tcPr>
          <w:p w14:paraId="4DD1436B"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2.14</w:t>
            </w:r>
          </w:p>
        </w:tc>
        <w:tc>
          <w:tcPr>
            <w:tcW w:w="1535" w:type="dxa"/>
            <w:tcBorders>
              <w:right w:val="single" w:sz="12" w:space="0" w:color="0D0D0D" w:themeColor="text1" w:themeTint="F2"/>
            </w:tcBorders>
            <w:shd w:val="clear" w:color="auto" w:fill="D9D9D9" w:themeFill="background1" w:themeFillShade="D9"/>
            <w:vAlign w:val="center"/>
          </w:tcPr>
          <w:p w14:paraId="70144ACB"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Burkin &amp; Kononenko, 2023</w:t>
            </w:r>
          </w:p>
        </w:tc>
      </w:tr>
      <w:tr w:rsidR="00ED5882" w:rsidRPr="00822EC3" w14:paraId="174E2951" w14:textId="77777777" w:rsidTr="00D27879">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tcBorders>
            <w:vAlign w:val="center"/>
          </w:tcPr>
          <w:p w14:paraId="17D189FF" w14:textId="77777777" w:rsidR="00CC2218" w:rsidRPr="00ED5882" w:rsidRDefault="00CC2218" w:rsidP="000B3003">
            <w:pPr>
              <w:rPr>
                <w:b w:val="0"/>
                <w:bCs w:val="0"/>
                <w:sz w:val="22"/>
                <w:szCs w:val="22"/>
              </w:rPr>
            </w:pPr>
            <w:r w:rsidRPr="00ED5882">
              <w:rPr>
                <w:b w:val="0"/>
                <w:bCs w:val="0"/>
                <w:i/>
                <w:iCs/>
                <w:sz w:val="22"/>
                <w:szCs w:val="22"/>
              </w:rPr>
              <w:t>Fucus distichus</w:t>
            </w:r>
          </w:p>
        </w:tc>
        <w:tc>
          <w:tcPr>
            <w:tcW w:w="1440" w:type="dxa"/>
            <w:vAlign w:val="center"/>
          </w:tcPr>
          <w:p w14:paraId="5CA7BA20"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0.220</w:t>
            </w:r>
          </w:p>
        </w:tc>
        <w:tc>
          <w:tcPr>
            <w:tcW w:w="1800" w:type="dxa"/>
            <w:vAlign w:val="center"/>
          </w:tcPr>
          <w:p w14:paraId="299C4A33"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6.42</w:t>
            </w:r>
          </w:p>
        </w:tc>
        <w:tc>
          <w:tcPr>
            <w:tcW w:w="1260" w:type="dxa"/>
            <w:vAlign w:val="center"/>
          </w:tcPr>
          <w:p w14:paraId="6BD74192"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8.51</w:t>
            </w:r>
          </w:p>
        </w:tc>
        <w:tc>
          <w:tcPr>
            <w:tcW w:w="1530" w:type="dxa"/>
            <w:vAlign w:val="center"/>
          </w:tcPr>
          <w:p w14:paraId="3BFB5CF9" w14:textId="77777777" w:rsidR="00CC2218" w:rsidRPr="00822EC3" w:rsidRDefault="00CC2218" w:rsidP="000B300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710" w:type="dxa"/>
            <w:vAlign w:val="center"/>
          </w:tcPr>
          <w:p w14:paraId="352A9BB1"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0.358</w:t>
            </w:r>
          </w:p>
        </w:tc>
        <w:tc>
          <w:tcPr>
            <w:tcW w:w="1710" w:type="dxa"/>
            <w:vAlign w:val="center"/>
          </w:tcPr>
          <w:p w14:paraId="3EA3A9F8"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0.071</w:t>
            </w:r>
          </w:p>
        </w:tc>
        <w:tc>
          <w:tcPr>
            <w:tcW w:w="1440" w:type="dxa"/>
            <w:vAlign w:val="center"/>
          </w:tcPr>
          <w:p w14:paraId="27BC72AD"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1.43</w:t>
            </w:r>
          </w:p>
        </w:tc>
        <w:tc>
          <w:tcPr>
            <w:tcW w:w="1535" w:type="dxa"/>
            <w:tcBorders>
              <w:right w:val="single" w:sz="12" w:space="0" w:color="0D0D0D" w:themeColor="text1" w:themeTint="F2"/>
            </w:tcBorders>
            <w:vAlign w:val="center"/>
          </w:tcPr>
          <w:p w14:paraId="038819B0"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Kononenko et al., 2022</w:t>
            </w:r>
          </w:p>
        </w:tc>
      </w:tr>
      <w:tr w:rsidR="000B3003" w:rsidRPr="00822EC3" w14:paraId="3766A863" w14:textId="77777777" w:rsidTr="00D27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tcBorders>
            <w:shd w:val="clear" w:color="auto" w:fill="D9D9D9" w:themeFill="background1" w:themeFillShade="D9"/>
            <w:vAlign w:val="center"/>
          </w:tcPr>
          <w:p w14:paraId="2C93BAA1" w14:textId="77777777" w:rsidR="00CC2218" w:rsidRPr="00ED5882" w:rsidRDefault="00CC2218" w:rsidP="000B3003">
            <w:pPr>
              <w:rPr>
                <w:b w:val="0"/>
                <w:bCs w:val="0"/>
                <w:sz w:val="22"/>
                <w:szCs w:val="22"/>
              </w:rPr>
            </w:pPr>
            <w:r w:rsidRPr="00ED5882">
              <w:rPr>
                <w:b w:val="0"/>
                <w:bCs w:val="0"/>
                <w:i/>
                <w:iCs/>
                <w:sz w:val="22"/>
                <w:szCs w:val="22"/>
              </w:rPr>
              <w:t>Fucus distichus</w:t>
            </w:r>
          </w:p>
        </w:tc>
        <w:tc>
          <w:tcPr>
            <w:tcW w:w="1440" w:type="dxa"/>
            <w:shd w:val="clear" w:color="auto" w:fill="D9D9D9" w:themeFill="background1" w:themeFillShade="D9"/>
            <w:vAlign w:val="center"/>
          </w:tcPr>
          <w:p w14:paraId="3A6B80CA"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0.215</w:t>
            </w:r>
          </w:p>
        </w:tc>
        <w:tc>
          <w:tcPr>
            <w:tcW w:w="1800" w:type="dxa"/>
            <w:shd w:val="clear" w:color="auto" w:fill="D9D9D9" w:themeFill="background1" w:themeFillShade="D9"/>
            <w:vAlign w:val="center"/>
          </w:tcPr>
          <w:p w14:paraId="4938981A"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3.68</w:t>
            </w:r>
          </w:p>
        </w:tc>
        <w:tc>
          <w:tcPr>
            <w:tcW w:w="1260" w:type="dxa"/>
            <w:shd w:val="clear" w:color="auto" w:fill="D9D9D9" w:themeFill="background1" w:themeFillShade="D9"/>
            <w:vAlign w:val="center"/>
          </w:tcPr>
          <w:p w14:paraId="1B300BAB"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7.13</w:t>
            </w:r>
          </w:p>
        </w:tc>
        <w:tc>
          <w:tcPr>
            <w:tcW w:w="1530" w:type="dxa"/>
            <w:shd w:val="clear" w:color="auto" w:fill="D9D9D9" w:themeFill="background1" w:themeFillShade="D9"/>
            <w:vAlign w:val="center"/>
          </w:tcPr>
          <w:p w14:paraId="1D3C5A04"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710" w:type="dxa"/>
            <w:shd w:val="clear" w:color="auto" w:fill="D9D9D9" w:themeFill="background1" w:themeFillShade="D9"/>
            <w:vAlign w:val="center"/>
          </w:tcPr>
          <w:p w14:paraId="2F561C74"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0.265</w:t>
            </w:r>
          </w:p>
        </w:tc>
        <w:tc>
          <w:tcPr>
            <w:tcW w:w="1710" w:type="dxa"/>
            <w:shd w:val="clear" w:color="auto" w:fill="D9D9D9" w:themeFill="background1" w:themeFillShade="D9"/>
            <w:vAlign w:val="center"/>
          </w:tcPr>
          <w:p w14:paraId="158E4F2E"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0.110</w:t>
            </w:r>
          </w:p>
        </w:tc>
        <w:tc>
          <w:tcPr>
            <w:tcW w:w="1440" w:type="dxa"/>
            <w:shd w:val="clear" w:color="auto" w:fill="D9D9D9" w:themeFill="background1" w:themeFillShade="D9"/>
            <w:vAlign w:val="center"/>
          </w:tcPr>
          <w:p w14:paraId="0F8064AA"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0.890</w:t>
            </w:r>
          </w:p>
        </w:tc>
        <w:tc>
          <w:tcPr>
            <w:tcW w:w="1535" w:type="dxa"/>
            <w:tcBorders>
              <w:right w:val="single" w:sz="12" w:space="0" w:color="0D0D0D" w:themeColor="text1" w:themeTint="F2"/>
            </w:tcBorders>
            <w:shd w:val="clear" w:color="auto" w:fill="D9D9D9" w:themeFill="background1" w:themeFillShade="D9"/>
            <w:vAlign w:val="center"/>
          </w:tcPr>
          <w:p w14:paraId="4BA29623"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Kononenko et al., 2021</w:t>
            </w:r>
          </w:p>
        </w:tc>
      </w:tr>
      <w:tr w:rsidR="00C51CD8" w:rsidRPr="00822EC3" w14:paraId="19BC4177" w14:textId="77777777" w:rsidTr="00D27879">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tcBorders>
            <w:vAlign w:val="center"/>
          </w:tcPr>
          <w:p w14:paraId="7856B87A" w14:textId="77777777" w:rsidR="00CC2218" w:rsidRPr="00ED5882" w:rsidRDefault="00CC2218" w:rsidP="000B3003">
            <w:pPr>
              <w:rPr>
                <w:b w:val="0"/>
                <w:bCs w:val="0"/>
                <w:i/>
                <w:iCs/>
                <w:sz w:val="22"/>
                <w:szCs w:val="22"/>
              </w:rPr>
            </w:pPr>
            <w:r w:rsidRPr="00ED5882">
              <w:rPr>
                <w:b w:val="0"/>
                <w:bCs w:val="0"/>
                <w:i/>
                <w:iCs/>
                <w:sz w:val="22"/>
                <w:szCs w:val="22"/>
              </w:rPr>
              <w:t>Fucus serratus</w:t>
            </w:r>
          </w:p>
        </w:tc>
        <w:tc>
          <w:tcPr>
            <w:tcW w:w="1440" w:type="dxa"/>
            <w:vAlign w:val="center"/>
          </w:tcPr>
          <w:p w14:paraId="31F00A58"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0.410</w:t>
            </w:r>
          </w:p>
        </w:tc>
        <w:tc>
          <w:tcPr>
            <w:tcW w:w="1800" w:type="dxa"/>
            <w:vAlign w:val="center"/>
          </w:tcPr>
          <w:p w14:paraId="60C9ACB5"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23.0</w:t>
            </w:r>
          </w:p>
        </w:tc>
        <w:tc>
          <w:tcPr>
            <w:tcW w:w="1260" w:type="dxa"/>
            <w:vAlign w:val="center"/>
          </w:tcPr>
          <w:p w14:paraId="33F37452"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8.27</w:t>
            </w:r>
          </w:p>
        </w:tc>
        <w:tc>
          <w:tcPr>
            <w:tcW w:w="1530" w:type="dxa"/>
            <w:vAlign w:val="center"/>
          </w:tcPr>
          <w:p w14:paraId="1DC23C17" w14:textId="77777777" w:rsidR="00CC2218" w:rsidRPr="00822EC3" w:rsidRDefault="00CC2218" w:rsidP="000B300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710" w:type="dxa"/>
            <w:vAlign w:val="center"/>
          </w:tcPr>
          <w:p w14:paraId="3F881114"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0.750</w:t>
            </w:r>
          </w:p>
        </w:tc>
        <w:tc>
          <w:tcPr>
            <w:tcW w:w="1710" w:type="dxa"/>
            <w:vAlign w:val="center"/>
          </w:tcPr>
          <w:p w14:paraId="6203F41F"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2.98</w:t>
            </w:r>
          </w:p>
        </w:tc>
        <w:tc>
          <w:tcPr>
            <w:tcW w:w="1440" w:type="dxa"/>
            <w:vAlign w:val="center"/>
          </w:tcPr>
          <w:p w14:paraId="4CB92A85"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2.96</w:t>
            </w:r>
          </w:p>
        </w:tc>
        <w:tc>
          <w:tcPr>
            <w:tcW w:w="1535" w:type="dxa"/>
            <w:tcBorders>
              <w:right w:val="single" w:sz="12" w:space="0" w:color="0D0D0D" w:themeColor="text1" w:themeTint="F2"/>
            </w:tcBorders>
            <w:vAlign w:val="center"/>
          </w:tcPr>
          <w:p w14:paraId="76A10150"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Burkin &amp; Kononenko, 2023</w:t>
            </w:r>
          </w:p>
        </w:tc>
      </w:tr>
      <w:tr w:rsidR="000B3003" w:rsidRPr="00822EC3" w14:paraId="398EC7B2" w14:textId="77777777" w:rsidTr="00D27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tcBorders>
            <w:shd w:val="clear" w:color="auto" w:fill="D9D9D9" w:themeFill="background1" w:themeFillShade="D9"/>
            <w:vAlign w:val="center"/>
          </w:tcPr>
          <w:p w14:paraId="66283F2E" w14:textId="77777777" w:rsidR="00CC2218" w:rsidRPr="00ED5882" w:rsidRDefault="00CC2218" w:rsidP="000B3003">
            <w:pPr>
              <w:rPr>
                <w:b w:val="0"/>
                <w:bCs w:val="0"/>
                <w:i/>
                <w:iCs/>
                <w:sz w:val="22"/>
                <w:szCs w:val="22"/>
              </w:rPr>
            </w:pPr>
            <w:r w:rsidRPr="00ED5882">
              <w:rPr>
                <w:b w:val="0"/>
                <w:bCs w:val="0"/>
                <w:i/>
                <w:iCs/>
                <w:sz w:val="22"/>
                <w:szCs w:val="22"/>
              </w:rPr>
              <w:t>Fucus serratus</w:t>
            </w:r>
          </w:p>
        </w:tc>
        <w:tc>
          <w:tcPr>
            <w:tcW w:w="1440" w:type="dxa"/>
            <w:shd w:val="clear" w:color="auto" w:fill="D9D9D9" w:themeFill="background1" w:themeFillShade="D9"/>
            <w:vAlign w:val="center"/>
          </w:tcPr>
          <w:p w14:paraId="310CB675"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0.835</w:t>
            </w:r>
          </w:p>
        </w:tc>
        <w:tc>
          <w:tcPr>
            <w:tcW w:w="1800" w:type="dxa"/>
            <w:shd w:val="clear" w:color="auto" w:fill="D9D9D9" w:themeFill="background1" w:themeFillShade="D9"/>
            <w:vAlign w:val="center"/>
          </w:tcPr>
          <w:p w14:paraId="4FC06BD0"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31.3</w:t>
            </w:r>
          </w:p>
        </w:tc>
        <w:tc>
          <w:tcPr>
            <w:tcW w:w="1260" w:type="dxa"/>
            <w:shd w:val="clear" w:color="auto" w:fill="D9D9D9" w:themeFill="background1" w:themeFillShade="D9"/>
            <w:vAlign w:val="center"/>
          </w:tcPr>
          <w:p w14:paraId="23F4E514"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13.4</w:t>
            </w:r>
          </w:p>
        </w:tc>
        <w:tc>
          <w:tcPr>
            <w:tcW w:w="1530" w:type="dxa"/>
            <w:shd w:val="clear" w:color="auto" w:fill="D9D9D9" w:themeFill="background1" w:themeFillShade="D9"/>
            <w:vAlign w:val="center"/>
          </w:tcPr>
          <w:p w14:paraId="0504F3EE"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710" w:type="dxa"/>
            <w:shd w:val="clear" w:color="auto" w:fill="D9D9D9" w:themeFill="background1" w:themeFillShade="D9"/>
            <w:vAlign w:val="center"/>
          </w:tcPr>
          <w:p w14:paraId="2A0EA5C3"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0.605</w:t>
            </w:r>
          </w:p>
        </w:tc>
        <w:tc>
          <w:tcPr>
            <w:tcW w:w="1710" w:type="dxa"/>
            <w:shd w:val="clear" w:color="auto" w:fill="D9D9D9" w:themeFill="background1" w:themeFillShade="D9"/>
            <w:vAlign w:val="center"/>
          </w:tcPr>
          <w:p w14:paraId="0EF9FB71"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0.460</w:t>
            </w:r>
          </w:p>
        </w:tc>
        <w:tc>
          <w:tcPr>
            <w:tcW w:w="1440" w:type="dxa"/>
            <w:shd w:val="clear" w:color="auto" w:fill="D9D9D9" w:themeFill="background1" w:themeFillShade="D9"/>
            <w:vAlign w:val="center"/>
          </w:tcPr>
          <w:p w14:paraId="272FCA1C"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2.50</w:t>
            </w:r>
          </w:p>
        </w:tc>
        <w:tc>
          <w:tcPr>
            <w:tcW w:w="1535" w:type="dxa"/>
            <w:tcBorders>
              <w:right w:val="single" w:sz="12" w:space="0" w:color="0D0D0D" w:themeColor="text1" w:themeTint="F2"/>
            </w:tcBorders>
            <w:shd w:val="clear" w:color="auto" w:fill="D9D9D9" w:themeFill="background1" w:themeFillShade="D9"/>
            <w:vAlign w:val="center"/>
          </w:tcPr>
          <w:p w14:paraId="6F696684"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Kononenko et al., 2021</w:t>
            </w:r>
          </w:p>
        </w:tc>
      </w:tr>
      <w:tr w:rsidR="00ED5882" w:rsidRPr="00822EC3" w14:paraId="0742AF04" w14:textId="77777777" w:rsidTr="00D27879">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tcBorders>
            <w:vAlign w:val="center"/>
          </w:tcPr>
          <w:p w14:paraId="358FC750" w14:textId="77777777" w:rsidR="00CC2218" w:rsidRPr="00ED5882" w:rsidRDefault="00CC2218" w:rsidP="000B3003">
            <w:pPr>
              <w:rPr>
                <w:b w:val="0"/>
                <w:bCs w:val="0"/>
                <w:i/>
                <w:iCs/>
                <w:sz w:val="22"/>
                <w:szCs w:val="22"/>
              </w:rPr>
            </w:pPr>
            <w:r w:rsidRPr="00ED5882">
              <w:rPr>
                <w:b w:val="0"/>
                <w:bCs w:val="0"/>
                <w:i/>
                <w:iCs/>
                <w:sz w:val="22"/>
                <w:szCs w:val="22"/>
              </w:rPr>
              <w:t>Fucus spiralis</w:t>
            </w:r>
          </w:p>
        </w:tc>
        <w:tc>
          <w:tcPr>
            <w:tcW w:w="1440" w:type="dxa"/>
            <w:vAlign w:val="center"/>
          </w:tcPr>
          <w:p w14:paraId="67DE251F" w14:textId="77777777" w:rsidR="00CC2218" w:rsidRPr="00822EC3" w:rsidRDefault="00CC2218" w:rsidP="000B300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800" w:type="dxa"/>
            <w:vAlign w:val="center"/>
          </w:tcPr>
          <w:p w14:paraId="50430707" w14:textId="77777777" w:rsidR="00CC2218" w:rsidRPr="00822EC3" w:rsidRDefault="00CC2218" w:rsidP="000B300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260" w:type="dxa"/>
            <w:vAlign w:val="center"/>
          </w:tcPr>
          <w:p w14:paraId="36717F8B" w14:textId="77777777" w:rsidR="00CC2218" w:rsidRPr="00822EC3" w:rsidRDefault="00CC2218" w:rsidP="000B300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530" w:type="dxa"/>
            <w:vAlign w:val="center"/>
          </w:tcPr>
          <w:p w14:paraId="3B36D5D5"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Penicillium</w:t>
            </w:r>
            <w:r w:rsidRPr="00822EC3">
              <w:rPr>
                <w:sz w:val="22"/>
                <w:szCs w:val="22"/>
              </w:rPr>
              <w:t xml:space="preserve"> species</w:t>
            </w:r>
          </w:p>
        </w:tc>
        <w:tc>
          <w:tcPr>
            <w:tcW w:w="1710" w:type="dxa"/>
            <w:vAlign w:val="center"/>
          </w:tcPr>
          <w:p w14:paraId="41B61A28"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A. niger, Penicillium</w:t>
            </w:r>
            <w:r w:rsidRPr="00822EC3">
              <w:rPr>
                <w:sz w:val="22"/>
                <w:szCs w:val="22"/>
              </w:rPr>
              <w:t xml:space="preserve"> species</w:t>
            </w:r>
          </w:p>
        </w:tc>
        <w:tc>
          <w:tcPr>
            <w:tcW w:w="1710" w:type="dxa"/>
            <w:vAlign w:val="center"/>
          </w:tcPr>
          <w:p w14:paraId="021638D7" w14:textId="77777777" w:rsidR="00CC2218" w:rsidRPr="00822EC3" w:rsidRDefault="00CC2218" w:rsidP="000B300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440" w:type="dxa"/>
            <w:vAlign w:val="center"/>
          </w:tcPr>
          <w:p w14:paraId="298F4E73"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i/>
                <w:iCs/>
                <w:sz w:val="22"/>
                <w:szCs w:val="22"/>
              </w:rPr>
            </w:pPr>
            <w:r w:rsidRPr="00822EC3">
              <w:rPr>
                <w:sz w:val="22"/>
                <w:szCs w:val="22"/>
              </w:rPr>
              <w:t xml:space="preserve">Viable </w:t>
            </w:r>
            <w:r w:rsidRPr="00822EC3">
              <w:rPr>
                <w:i/>
                <w:iCs/>
                <w:sz w:val="22"/>
                <w:szCs w:val="22"/>
              </w:rPr>
              <w:t>F. oxysporum</w:t>
            </w:r>
          </w:p>
        </w:tc>
        <w:tc>
          <w:tcPr>
            <w:tcW w:w="1535" w:type="dxa"/>
            <w:tcBorders>
              <w:right w:val="single" w:sz="12" w:space="0" w:color="0D0D0D" w:themeColor="text1" w:themeTint="F2"/>
            </w:tcBorders>
            <w:vAlign w:val="center"/>
          </w:tcPr>
          <w:p w14:paraId="79C14A0C"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Guimarães, 2021</w:t>
            </w:r>
          </w:p>
        </w:tc>
      </w:tr>
      <w:tr w:rsidR="000B3003" w:rsidRPr="00822EC3" w14:paraId="473F7669" w14:textId="77777777" w:rsidTr="00D27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tcBorders>
            <w:shd w:val="clear" w:color="auto" w:fill="D9D9D9" w:themeFill="background1" w:themeFillShade="D9"/>
            <w:vAlign w:val="center"/>
          </w:tcPr>
          <w:p w14:paraId="2440DB49" w14:textId="77777777" w:rsidR="00CC2218" w:rsidRPr="00ED5882" w:rsidRDefault="00CC2218" w:rsidP="000B3003">
            <w:pPr>
              <w:rPr>
                <w:b w:val="0"/>
                <w:bCs w:val="0"/>
                <w:i/>
                <w:iCs/>
                <w:sz w:val="22"/>
                <w:szCs w:val="22"/>
              </w:rPr>
            </w:pPr>
            <w:r w:rsidRPr="00ED5882">
              <w:rPr>
                <w:b w:val="0"/>
                <w:bCs w:val="0"/>
                <w:i/>
                <w:iCs/>
                <w:sz w:val="22"/>
                <w:szCs w:val="22"/>
              </w:rPr>
              <w:t>Fucus vesiculosis</w:t>
            </w:r>
          </w:p>
        </w:tc>
        <w:tc>
          <w:tcPr>
            <w:tcW w:w="1440" w:type="dxa"/>
            <w:shd w:val="clear" w:color="auto" w:fill="D9D9D9" w:themeFill="background1" w:themeFillShade="D9"/>
            <w:vAlign w:val="center"/>
          </w:tcPr>
          <w:p w14:paraId="67294726"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0.385</w:t>
            </w:r>
          </w:p>
        </w:tc>
        <w:tc>
          <w:tcPr>
            <w:tcW w:w="1800" w:type="dxa"/>
            <w:shd w:val="clear" w:color="auto" w:fill="D9D9D9" w:themeFill="background1" w:themeFillShade="D9"/>
            <w:vAlign w:val="center"/>
          </w:tcPr>
          <w:p w14:paraId="359B6F85"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19.4</w:t>
            </w:r>
          </w:p>
        </w:tc>
        <w:tc>
          <w:tcPr>
            <w:tcW w:w="1260" w:type="dxa"/>
            <w:shd w:val="clear" w:color="auto" w:fill="D9D9D9" w:themeFill="background1" w:themeFillShade="D9"/>
            <w:vAlign w:val="center"/>
          </w:tcPr>
          <w:p w14:paraId="27121EAE"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7.48</w:t>
            </w:r>
          </w:p>
        </w:tc>
        <w:tc>
          <w:tcPr>
            <w:tcW w:w="1530" w:type="dxa"/>
            <w:shd w:val="clear" w:color="auto" w:fill="D9D9D9" w:themeFill="background1" w:themeFillShade="D9"/>
            <w:vAlign w:val="center"/>
          </w:tcPr>
          <w:p w14:paraId="7D2FB91F"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710" w:type="dxa"/>
            <w:shd w:val="clear" w:color="auto" w:fill="D9D9D9" w:themeFill="background1" w:themeFillShade="D9"/>
            <w:vAlign w:val="center"/>
          </w:tcPr>
          <w:p w14:paraId="2ADDD825"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0.900</w:t>
            </w:r>
          </w:p>
        </w:tc>
        <w:tc>
          <w:tcPr>
            <w:tcW w:w="1710" w:type="dxa"/>
            <w:shd w:val="clear" w:color="auto" w:fill="D9D9D9" w:themeFill="background1" w:themeFillShade="D9"/>
            <w:vAlign w:val="center"/>
          </w:tcPr>
          <w:p w14:paraId="1BB9BCEA"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2.98</w:t>
            </w:r>
          </w:p>
        </w:tc>
        <w:tc>
          <w:tcPr>
            <w:tcW w:w="1440" w:type="dxa"/>
            <w:shd w:val="clear" w:color="auto" w:fill="D9D9D9" w:themeFill="background1" w:themeFillShade="D9"/>
            <w:vAlign w:val="center"/>
          </w:tcPr>
          <w:p w14:paraId="3F911CB2"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3.44</w:t>
            </w:r>
          </w:p>
        </w:tc>
        <w:tc>
          <w:tcPr>
            <w:tcW w:w="1535" w:type="dxa"/>
            <w:tcBorders>
              <w:right w:val="single" w:sz="12" w:space="0" w:color="0D0D0D" w:themeColor="text1" w:themeTint="F2"/>
            </w:tcBorders>
            <w:shd w:val="clear" w:color="auto" w:fill="D9D9D9" w:themeFill="background1" w:themeFillShade="D9"/>
            <w:vAlign w:val="center"/>
          </w:tcPr>
          <w:p w14:paraId="3D06C1A4"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Burkin &amp; Kononenko, 2023</w:t>
            </w:r>
          </w:p>
        </w:tc>
      </w:tr>
      <w:tr w:rsidR="00C51CD8" w:rsidRPr="00822EC3" w14:paraId="36B1A474" w14:textId="77777777" w:rsidTr="00D27879">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tcBorders>
            <w:vAlign w:val="center"/>
          </w:tcPr>
          <w:p w14:paraId="68AE7F12" w14:textId="77777777" w:rsidR="00CC2218" w:rsidRPr="00ED5882" w:rsidRDefault="00CC2218" w:rsidP="000B3003">
            <w:pPr>
              <w:rPr>
                <w:b w:val="0"/>
                <w:bCs w:val="0"/>
                <w:i/>
                <w:iCs/>
                <w:sz w:val="22"/>
                <w:szCs w:val="22"/>
              </w:rPr>
            </w:pPr>
            <w:r w:rsidRPr="00ED5882">
              <w:rPr>
                <w:b w:val="0"/>
                <w:bCs w:val="0"/>
                <w:i/>
                <w:iCs/>
                <w:sz w:val="22"/>
                <w:szCs w:val="22"/>
              </w:rPr>
              <w:t>Fucus vesiculosis</w:t>
            </w:r>
          </w:p>
        </w:tc>
        <w:tc>
          <w:tcPr>
            <w:tcW w:w="1440" w:type="dxa"/>
            <w:vAlign w:val="center"/>
          </w:tcPr>
          <w:p w14:paraId="094DC915"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0.497</w:t>
            </w:r>
          </w:p>
        </w:tc>
        <w:tc>
          <w:tcPr>
            <w:tcW w:w="1800" w:type="dxa"/>
            <w:vAlign w:val="center"/>
          </w:tcPr>
          <w:p w14:paraId="0827E18E"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27.6</w:t>
            </w:r>
          </w:p>
        </w:tc>
        <w:tc>
          <w:tcPr>
            <w:tcW w:w="1260" w:type="dxa"/>
            <w:vAlign w:val="center"/>
          </w:tcPr>
          <w:p w14:paraId="7D04BD87"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9.90</w:t>
            </w:r>
          </w:p>
        </w:tc>
        <w:tc>
          <w:tcPr>
            <w:tcW w:w="1530" w:type="dxa"/>
            <w:vAlign w:val="center"/>
          </w:tcPr>
          <w:p w14:paraId="39E7E60B" w14:textId="77777777" w:rsidR="00CC2218" w:rsidRPr="00822EC3" w:rsidRDefault="00CC2218" w:rsidP="000B300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710" w:type="dxa"/>
            <w:vAlign w:val="center"/>
          </w:tcPr>
          <w:p w14:paraId="10711388"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0.178</w:t>
            </w:r>
          </w:p>
        </w:tc>
        <w:tc>
          <w:tcPr>
            <w:tcW w:w="1710" w:type="dxa"/>
            <w:vAlign w:val="center"/>
          </w:tcPr>
          <w:p w14:paraId="5D071295"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0.328</w:t>
            </w:r>
          </w:p>
        </w:tc>
        <w:tc>
          <w:tcPr>
            <w:tcW w:w="1440" w:type="dxa"/>
            <w:vAlign w:val="center"/>
          </w:tcPr>
          <w:p w14:paraId="7360D796"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1.61</w:t>
            </w:r>
          </w:p>
        </w:tc>
        <w:tc>
          <w:tcPr>
            <w:tcW w:w="1535" w:type="dxa"/>
            <w:tcBorders>
              <w:right w:val="single" w:sz="12" w:space="0" w:color="0D0D0D" w:themeColor="text1" w:themeTint="F2"/>
            </w:tcBorders>
            <w:vAlign w:val="center"/>
          </w:tcPr>
          <w:p w14:paraId="653B8030"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Kononenko et al., 2022</w:t>
            </w:r>
          </w:p>
        </w:tc>
      </w:tr>
      <w:tr w:rsidR="000B3003" w:rsidRPr="00822EC3" w14:paraId="3936A206" w14:textId="77777777" w:rsidTr="00D27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bottom w:val="single" w:sz="12" w:space="0" w:color="0D0D0D" w:themeColor="text1" w:themeTint="F2"/>
            </w:tcBorders>
            <w:shd w:val="clear" w:color="auto" w:fill="D9D9D9" w:themeFill="background1" w:themeFillShade="D9"/>
            <w:vAlign w:val="center"/>
          </w:tcPr>
          <w:p w14:paraId="57FEC903" w14:textId="77777777" w:rsidR="00CC2218" w:rsidRPr="00ED5882" w:rsidRDefault="00CC2218" w:rsidP="000B3003">
            <w:pPr>
              <w:rPr>
                <w:b w:val="0"/>
                <w:bCs w:val="0"/>
                <w:i/>
                <w:iCs/>
                <w:sz w:val="22"/>
                <w:szCs w:val="22"/>
              </w:rPr>
            </w:pPr>
            <w:r w:rsidRPr="00ED5882">
              <w:rPr>
                <w:b w:val="0"/>
                <w:bCs w:val="0"/>
                <w:i/>
                <w:iCs/>
                <w:sz w:val="22"/>
                <w:szCs w:val="22"/>
              </w:rPr>
              <w:t>Fucus vesiculosis</w:t>
            </w:r>
          </w:p>
        </w:tc>
        <w:tc>
          <w:tcPr>
            <w:tcW w:w="1440" w:type="dxa"/>
            <w:tcBorders>
              <w:bottom w:val="single" w:sz="12" w:space="0" w:color="0D0D0D" w:themeColor="text1" w:themeTint="F2"/>
            </w:tcBorders>
            <w:shd w:val="clear" w:color="auto" w:fill="D9D9D9" w:themeFill="background1" w:themeFillShade="D9"/>
            <w:vAlign w:val="center"/>
          </w:tcPr>
          <w:p w14:paraId="64724DE1"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0.295</w:t>
            </w:r>
          </w:p>
        </w:tc>
        <w:tc>
          <w:tcPr>
            <w:tcW w:w="1800" w:type="dxa"/>
            <w:tcBorders>
              <w:bottom w:val="single" w:sz="12" w:space="0" w:color="0D0D0D" w:themeColor="text1" w:themeTint="F2"/>
            </w:tcBorders>
            <w:shd w:val="clear" w:color="auto" w:fill="D9D9D9" w:themeFill="background1" w:themeFillShade="D9"/>
            <w:vAlign w:val="center"/>
          </w:tcPr>
          <w:p w14:paraId="1022B01F"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12.3</w:t>
            </w:r>
          </w:p>
        </w:tc>
        <w:tc>
          <w:tcPr>
            <w:tcW w:w="1260" w:type="dxa"/>
            <w:tcBorders>
              <w:bottom w:val="single" w:sz="12" w:space="0" w:color="0D0D0D" w:themeColor="text1" w:themeTint="F2"/>
            </w:tcBorders>
            <w:shd w:val="clear" w:color="auto" w:fill="D9D9D9" w:themeFill="background1" w:themeFillShade="D9"/>
            <w:vAlign w:val="center"/>
          </w:tcPr>
          <w:p w14:paraId="1DCB40A6"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4.43</w:t>
            </w:r>
          </w:p>
        </w:tc>
        <w:tc>
          <w:tcPr>
            <w:tcW w:w="1530" w:type="dxa"/>
            <w:tcBorders>
              <w:bottom w:val="single" w:sz="12" w:space="0" w:color="0D0D0D" w:themeColor="text1" w:themeTint="F2"/>
            </w:tcBorders>
            <w:shd w:val="clear" w:color="auto" w:fill="D9D9D9" w:themeFill="background1" w:themeFillShade="D9"/>
            <w:vAlign w:val="center"/>
          </w:tcPr>
          <w:p w14:paraId="197BDA4D"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710" w:type="dxa"/>
            <w:tcBorders>
              <w:bottom w:val="single" w:sz="12" w:space="0" w:color="0D0D0D" w:themeColor="text1" w:themeTint="F2"/>
            </w:tcBorders>
            <w:shd w:val="clear" w:color="auto" w:fill="D9D9D9" w:themeFill="background1" w:themeFillShade="D9"/>
            <w:vAlign w:val="center"/>
          </w:tcPr>
          <w:p w14:paraId="3F728614"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0.180</w:t>
            </w:r>
          </w:p>
        </w:tc>
        <w:tc>
          <w:tcPr>
            <w:tcW w:w="1710" w:type="dxa"/>
            <w:tcBorders>
              <w:bottom w:val="single" w:sz="12" w:space="0" w:color="0D0D0D" w:themeColor="text1" w:themeTint="F2"/>
            </w:tcBorders>
            <w:shd w:val="clear" w:color="auto" w:fill="D9D9D9" w:themeFill="background1" w:themeFillShade="D9"/>
            <w:vAlign w:val="center"/>
          </w:tcPr>
          <w:p w14:paraId="278E7965"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0.250</w:t>
            </w:r>
          </w:p>
        </w:tc>
        <w:tc>
          <w:tcPr>
            <w:tcW w:w="1440" w:type="dxa"/>
            <w:tcBorders>
              <w:bottom w:val="single" w:sz="12" w:space="0" w:color="0D0D0D" w:themeColor="text1" w:themeTint="F2"/>
            </w:tcBorders>
            <w:shd w:val="clear" w:color="auto" w:fill="D9D9D9" w:themeFill="background1" w:themeFillShade="D9"/>
            <w:vAlign w:val="center"/>
          </w:tcPr>
          <w:p w14:paraId="1FD3E026"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0.880</w:t>
            </w:r>
          </w:p>
        </w:tc>
        <w:tc>
          <w:tcPr>
            <w:tcW w:w="1535" w:type="dxa"/>
            <w:tcBorders>
              <w:bottom w:val="single" w:sz="12" w:space="0" w:color="0D0D0D" w:themeColor="text1" w:themeTint="F2"/>
              <w:right w:val="single" w:sz="12" w:space="0" w:color="0D0D0D" w:themeColor="text1" w:themeTint="F2"/>
            </w:tcBorders>
            <w:shd w:val="clear" w:color="auto" w:fill="D9D9D9" w:themeFill="background1" w:themeFillShade="D9"/>
            <w:vAlign w:val="center"/>
          </w:tcPr>
          <w:p w14:paraId="1E4ADE16"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Kononenko et al., 2021</w:t>
            </w:r>
          </w:p>
        </w:tc>
      </w:tr>
      <w:tr w:rsidR="00ED5882" w:rsidRPr="00822EC3" w14:paraId="7A33BFC4" w14:textId="77777777" w:rsidTr="00D27879">
        <w:tc>
          <w:tcPr>
            <w:cnfStyle w:val="001000000000" w:firstRow="0" w:lastRow="0" w:firstColumn="1" w:lastColumn="0" w:oddVBand="0" w:evenVBand="0" w:oddHBand="0" w:evenHBand="0" w:firstRowFirstColumn="0" w:firstRowLastColumn="0" w:lastRowFirstColumn="0" w:lastRowLastColumn="0"/>
            <w:tcW w:w="2065" w:type="dxa"/>
            <w:tcBorders>
              <w:top w:val="single" w:sz="12" w:space="0" w:color="0D0D0D" w:themeColor="text1" w:themeTint="F2"/>
              <w:left w:val="single" w:sz="12" w:space="0" w:color="0D0D0D" w:themeColor="text1" w:themeTint="F2"/>
              <w:bottom w:val="single" w:sz="18" w:space="0" w:color="0D0D0D" w:themeColor="text1" w:themeTint="F2"/>
            </w:tcBorders>
            <w:vAlign w:val="center"/>
          </w:tcPr>
          <w:p w14:paraId="7FF28436" w14:textId="77777777" w:rsidR="00CC2218" w:rsidRPr="00ED5882" w:rsidRDefault="00CC2218" w:rsidP="000B3003">
            <w:pPr>
              <w:rPr>
                <w:b w:val="0"/>
                <w:bCs w:val="0"/>
                <w:i/>
                <w:iCs/>
                <w:sz w:val="22"/>
                <w:szCs w:val="22"/>
              </w:rPr>
            </w:pPr>
            <w:r w:rsidRPr="00ED5882">
              <w:rPr>
                <w:b w:val="0"/>
                <w:bCs w:val="0"/>
                <w:i/>
                <w:iCs/>
                <w:sz w:val="22"/>
                <w:szCs w:val="22"/>
              </w:rPr>
              <w:t>Laminaria digitata</w:t>
            </w:r>
          </w:p>
        </w:tc>
        <w:tc>
          <w:tcPr>
            <w:tcW w:w="1440" w:type="dxa"/>
            <w:tcBorders>
              <w:top w:val="single" w:sz="12" w:space="0" w:color="0D0D0D" w:themeColor="text1" w:themeTint="F2"/>
              <w:bottom w:val="single" w:sz="18" w:space="0" w:color="0D0D0D" w:themeColor="text1" w:themeTint="F2"/>
            </w:tcBorders>
            <w:vAlign w:val="center"/>
          </w:tcPr>
          <w:p w14:paraId="15C70920"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800" w:type="dxa"/>
            <w:tcBorders>
              <w:top w:val="single" w:sz="12" w:space="0" w:color="0D0D0D" w:themeColor="text1" w:themeTint="F2"/>
              <w:bottom w:val="single" w:sz="18" w:space="0" w:color="0D0D0D" w:themeColor="text1" w:themeTint="F2"/>
            </w:tcBorders>
            <w:vAlign w:val="center"/>
          </w:tcPr>
          <w:p w14:paraId="0FB5CDB2"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260" w:type="dxa"/>
            <w:tcBorders>
              <w:top w:val="single" w:sz="12" w:space="0" w:color="0D0D0D" w:themeColor="text1" w:themeTint="F2"/>
              <w:bottom w:val="single" w:sz="18" w:space="0" w:color="0D0D0D" w:themeColor="text1" w:themeTint="F2"/>
            </w:tcBorders>
            <w:vAlign w:val="center"/>
          </w:tcPr>
          <w:p w14:paraId="4CA0DA90"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530" w:type="dxa"/>
            <w:tcBorders>
              <w:top w:val="single" w:sz="12" w:space="0" w:color="0D0D0D" w:themeColor="text1" w:themeTint="F2"/>
              <w:bottom w:val="single" w:sz="18" w:space="0" w:color="0D0D0D" w:themeColor="text1" w:themeTint="F2"/>
            </w:tcBorders>
            <w:vAlign w:val="center"/>
          </w:tcPr>
          <w:p w14:paraId="51EDA94B" w14:textId="77777777" w:rsidR="00CC2218" w:rsidRPr="00822EC3" w:rsidRDefault="00CC2218" w:rsidP="000B300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710" w:type="dxa"/>
            <w:tcBorders>
              <w:top w:val="single" w:sz="12" w:space="0" w:color="0D0D0D" w:themeColor="text1" w:themeTint="F2"/>
              <w:bottom w:val="single" w:sz="18" w:space="0" w:color="0D0D0D" w:themeColor="text1" w:themeTint="F2"/>
            </w:tcBorders>
            <w:vAlign w:val="center"/>
          </w:tcPr>
          <w:p w14:paraId="25847A10"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710" w:type="dxa"/>
            <w:tcBorders>
              <w:top w:val="single" w:sz="12" w:space="0" w:color="0D0D0D" w:themeColor="text1" w:themeTint="F2"/>
              <w:bottom w:val="single" w:sz="18" w:space="0" w:color="0D0D0D" w:themeColor="text1" w:themeTint="F2"/>
            </w:tcBorders>
            <w:vAlign w:val="center"/>
          </w:tcPr>
          <w:p w14:paraId="664B8D27"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440" w:type="dxa"/>
            <w:tcBorders>
              <w:top w:val="single" w:sz="12" w:space="0" w:color="0D0D0D" w:themeColor="text1" w:themeTint="F2"/>
              <w:bottom w:val="single" w:sz="18" w:space="0" w:color="0D0D0D" w:themeColor="text1" w:themeTint="F2"/>
            </w:tcBorders>
            <w:vAlign w:val="center"/>
          </w:tcPr>
          <w:p w14:paraId="7B730D19"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535" w:type="dxa"/>
            <w:tcBorders>
              <w:top w:val="single" w:sz="12" w:space="0" w:color="0D0D0D" w:themeColor="text1" w:themeTint="F2"/>
              <w:bottom w:val="single" w:sz="18" w:space="0" w:color="0D0D0D" w:themeColor="text1" w:themeTint="F2"/>
              <w:right w:val="single" w:sz="12" w:space="0" w:color="0D0D0D" w:themeColor="text1" w:themeTint="F2"/>
            </w:tcBorders>
            <w:vAlign w:val="center"/>
          </w:tcPr>
          <w:p w14:paraId="07CA628F"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Kononenko et al., 2021</w:t>
            </w:r>
          </w:p>
        </w:tc>
      </w:tr>
      <w:tr w:rsidR="000B3003" w:rsidRPr="00822EC3" w14:paraId="714BEF42" w14:textId="77777777" w:rsidTr="00D27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12" w:space="0" w:color="0D0D0D" w:themeColor="text1" w:themeTint="F2"/>
              <w:left w:val="single" w:sz="12" w:space="0" w:color="0D0D0D" w:themeColor="text1" w:themeTint="F2"/>
              <w:bottom w:val="single" w:sz="12" w:space="0" w:color="0D0D0D" w:themeColor="text1" w:themeTint="F2"/>
            </w:tcBorders>
            <w:shd w:val="clear" w:color="auto" w:fill="D9D9D9" w:themeFill="background1" w:themeFillShade="D9"/>
            <w:vAlign w:val="center"/>
          </w:tcPr>
          <w:p w14:paraId="2E50CEC5" w14:textId="77777777" w:rsidR="00CC2218" w:rsidRPr="00ED5882" w:rsidRDefault="00CC2218" w:rsidP="000B3003">
            <w:pPr>
              <w:rPr>
                <w:b w:val="0"/>
                <w:bCs w:val="0"/>
                <w:i/>
                <w:iCs/>
                <w:sz w:val="22"/>
                <w:szCs w:val="22"/>
              </w:rPr>
            </w:pPr>
            <w:r w:rsidRPr="00ED5882">
              <w:rPr>
                <w:b w:val="0"/>
                <w:bCs w:val="0"/>
                <w:i/>
                <w:iCs/>
                <w:sz w:val="22"/>
                <w:szCs w:val="22"/>
              </w:rPr>
              <w:lastRenderedPageBreak/>
              <w:t>Mastocarpus stellatus</w:t>
            </w:r>
          </w:p>
        </w:tc>
        <w:tc>
          <w:tcPr>
            <w:tcW w:w="144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6D192C1D"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80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79BE387C"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Fusarium</w:t>
            </w:r>
            <w:r w:rsidRPr="00822EC3">
              <w:rPr>
                <w:sz w:val="22"/>
                <w:szCs w:val="22"/>
              </w:rPr>
              <w:t xml:space="preserve"> species</w:t>
            </w:r>
          </w:p>
        </w:tc>
        <w:tc>
          <w:tcPr>
            <w:tcW w:w="126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1189F93E"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Fusarium</w:t>
            </w:r>
            <w:r w:rsidRPr="00822EC3">
              <w:rPr>
                <w:sz w:val="22"/>
                <w:szCs w:val="22"/>
              </w:rPr>
              <w:t xml:space="preserve"> species</w:t>
            </w:r>
          </w:p>
        </w:tc>
        <w:tc>
          <w:tcPr>
            <w:tcW w:w="153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752B6D4D"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Penicillium</w:t>
            </w:r>
            <w:r w:rsidRPr="00822EC3">
              <w:rPr>
                <w:sz w:val="22"/>
                <w:szCs w:val="22"/>
              </w:rPr>
              <w:t xml:space="preserve"> species</w:t>
            </w:r>
          </w:p>
        </w:tc>
        <w:tc>
          <w:tcPr>
            <w:tcW w:w="171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1E0D2281"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A. carbonarius, A. niger, Penicillium</w:t>
            </w:r>
            <w:r w:rsidRPr="00822EC3">
              <w:rPr>
                <w:sz w:val="22"/>
                <w:szCs w:val="22"/>
              </w:rPr>
              <w:t xml:space="preserve"> species</w:t>
            </w:r>
          </w:p>
        </w:tc>
        <w:tc>
          <w:tcPr>
            <w:tcW w:w="171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78F16855"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Fusarium</w:t>
            </w:r>
            <w:r w:rsidRPr="00822EC3">
              <w:rPr>
                <w:sz w:val="22"/>
                <w:szCs w:val="22"/>
              </w:rPr>
              <w:t xml:space="preserve"> species</w:t>
            </w:r>
          </w:p>
        </w:tc>
        <w:tc>
          <w:tcPr>
            <w:tcW w:w="144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603C6AEE"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Fusifarium</w:t>
            </w:r>
            <w:r w:rsidRPr="00822EC3">
              <w:rPr>
                <w:sz w:val="22"/>
                <w:szCs w:val="22"/>
              </w:rPr>
              <w:t xml:space="preserve"> species</w:t>
            </w:r>
          </w:p>
        </w:tc>
        <w:tc>
          <w:tcPr>
            <w:tcW w:w="1535" w:type="dxa"/>
            <w:tcBorders>
              <w:top w:val="single" w:sz="12" w:space="0" w:color="0D0D0D" w:themeColor="text1" w:themeTint="F2"/>
              <w:bottom w:val="single" w:sz="12" w:space="0" w:color="0D0D0D" w:themeColor="text1" w:themeTint="F2"/>
              <w:right w:val="single" w:sz="12" w:space="0" w:color="0D0D0D" w:themeColor="text1" w:themeTint="F2"/>
            </w:tcBorders>
            <w:shd w:val="clear" w:color="auto" w:fill="D9D9D9" w:themeFill="background1" w:themeFillShade="D9"/>
            <w:vAlign w:val="center"/>
          </w:tcPr>
          <w:p w14:paraId="08DF1597"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Guimarães, 2021</w:t>
            </w:r>
          </w:p>
        </w:tc>
      </w:tr>
      <w:tr w:rsidR="00ED5882" w:rsidRPr="00822EC3" w14:paraId="108CA635" w14:textId="77777777" w:rsidTr="00D27879">
        <w:tc>
          <w:tcPr>
            <w:cnfStyle w:val="001000000000" w:firstRow="0" w:lastRow="0" w:firstColumn="1" w:lastColumn="0" w:oddVBand="0" w:evenVBand="0" w:oddHBand="0" w:evenHBand="0" w:firstRowFirstColumn="0" w:firstRowLastColumn="0" w:lastRowFirstColumn="0" w:lastRowLastColumn="0"/>
            <w:tcW w:w="2065" w:type="dxa"/>
            <w:tcBorders>
              <w:top w:val="single" w:sz="12" w:space="0" w:color="0D0D0D" w:themeColor="text1" w:themeTint="F2"/>
              <w:left w:val="single" w:sz="12" w:space="0" w:color="0D0D0D" w:themeColor="text1" w:themeTint="F2"/>
            </w:tcBorders>
            <w:vAlign w:val="center"/>
          </w:tcPr>
          <w:p w14:paraId="0926BA08" w14:textId="77777777" w:rsidR="00CC2218" w:rsidRPr="00ED5882" w:rsidRDefault="00CC2218" w:rsidP="000B3003">
            <w:pPr>
              <w:rPr>
                <w:b w:val="0"/>
                <w:bCs w:val="0"/>
                <w:sz w:val="22"/>
                <w:szCs w:val="22"/>
              </w:rPr>
            </w:pPr>
            <w:r w:rsidRPr="00ED5882">
              <w:rPr>
                <w:b w:val="0"/>
                <w:bCs w:val="0"/>
                <w:sz w:val="22"/>
                <w:szCs w:val="22"/>
              </w:rPr>
              <w:t xml:space="preserve">Mixture of brown algae: </w:t>
            </w:r>
            <w:r w:rsidRPr="00ED5882">
              <w:rPr>
                <w:b w:val="0"/>
                <w:bCs w:val="0"/>
                <w:i/>
                <w:iCs/>
                <w:sz w:val="22"/>
                <w:szCs w:val="22"/>
              </w:rPr>
              <w:t xml:space="preserve">Cystoseira myrica, Dictyota pinnatifida, Hydroclathrus clathratus, Padina pavonica, Sargassum </w:t>
            </w:r>
            <w:r w:rsidRPr="00ED5882">
              <w:rPr>
                <w:b w:val="0"/>
                <w:bCs w:val="0"/>
                <w:sz w:val="22"/>
                <w:szCs w:val="22"/>
              </w:rPr>
              <w:t>species</w:t>
            </w:r>
            <w:r w:rsidRPr="00ED5882">
              <w:rPr>
                <w:b w:val="0"/>
                <w:bCs w:val="0"/>
                <w:i/>
                <w:iCs/>
                <w:sz w:val="22"/>
                <w:szCs w:val="22"/>
              </w:rPr>
              <w:t>, Turbinaria decurrens</w:t>
            </w:r>
          </w:p>
        </w:tc>
        <w:tc>
          <w:tcPr>
            <w:tcW w:w="1440" w:type="dxa"/>
            <w:tcBorders>
              <w:top w:val="single" w:sz="12" w:space="0" w:color="0D0D0D" w:themeColor="text1" w:themeTint="F2"/>
            </w:tcBorders>
            <w:vAlign w:val="center"/>
          </w:tcPr>
          <w:p w14:paraId="2DBB6C8B"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i/>
                <w:iCs/>
                <w:sz w:val="22"/>
                <w:szCs w:val="22"/>
              </w:rPr>
            </w:pPr>
            <w:r w:rsidRPr="00822EC3">
              <w:rPr>
                <w:sz w:val="22"/>
                <w:szCs w:val="22"/>
              </w:rPr>
              <w:t xml:space="preserve">Viable </w:t>
            </w:r>
            <w:r w:rsidRPr="00822EC3">
              <w:rPr>
                <w:i/>
                <w:iCs/>
                <w:sz w:val="22"/>
                <w:szCs w:val="22"/>
              </w:rPr>
              <w:t>A. flavus</w:t>
            </w:r>
          </w:p>
        </w:tc>
        <w:tc>
          <w:tcPr>
            <w:tcW w:w="1800" w:type="dxa"/>
            <w:tcBorders>
              <w:top w:val="single" w:sz="12" w:space="0" w:color="0D0D0D" w:themeColor="text1" w:themeTint="F2"/>
            </w:tcBorders>
            <w:vAlign w:val="center"/>
          </w:tcPr>
          <w:p w14:paraId="0A3FEDB6"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Fusarium</w:t>
            </w:r>
            <w:r w:rsidRPr="00822EC3">
              <w:rPr>
                <w:sz w:val="22"/>
                <w:szCs w:val="22"/>
              </w:rPr>
              <w:t xml:space="preserve"> species</w:t>
            </w:r>
          </w:p>
        </w:tc>
        <w:tc>
          <w:tcPr>
            <w:tcW w:w="1260" w:type="dxa"/>
            <w:tcBorders>
              <w:top w:val="single" w:sz="12" w:space="0" w:color="0D0D0D" w:themeColor="text1" w:themeTint="F2"/>
            </w:tcBorders>
            <w:vAlign w:val="center"/>
          </w:tcPr>
          <w:p w14:paraId="518F1118"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Fusarium</w:t>
            </w:r>
            <w:r w:rsidRPr="00822EC3">
              <w:rPr>
                <w:sz w:val="22"/>
                <w:szCs w:val="22"/>
              </w:rPr>
              <w:t xml:space="preserve"> species</w:t>
            </w:r>
          </w:p>
        </w:tc>
        <w:tc>
          <w:tcPr>
            <w:tcW w:w="1530" w:type="dxa"/>
            <w:tcBorders>
              <w:top w:val="single" w:sz="12" w:space="0" w:color="0D0D0D" w:themeColor="text1" w:themeTint="F2"/>
            </w:tcBorders>
            <w:vAlign w:val="center"/>
          </w:tcPr>
          <w:p w14:paraId="788FA579" w14:textId="77777777" w:rsidR="00CC2218" w:rsidRPr="00822EC3" w:rsidRDefault="00CC2218" w:rsidP="000B300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710" w:type="dxa"/>
            <w:tcBorders>
              <w:top w:val="single" w:sz="12" w:space="0" w:color="0D0D0D" w:themeColor="text1" w:themeTint="F2"/>
            </w:tcBorders>
            <w:vAlign w:val="center"/>
          </w:tcPr>
          <w:p w14:paraId="39CC1868"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A. niger</w:t>
            </w:r>
          </w:p>
        </w:tc>
        <w:tc>
          <w:tcPr>
            <w:tcW w:w="1710" w:type="dxa"/>
            <w:tcBorders>
              <w:top w:val="single" w:sz="12" w:space="0" w:color="0D0D0D" w:themeColor="text1" w:themeTint="F2"/>
            </w:tcBorders>
            <w:vAlign w:val="center"/>
          </w:tcPr>
          <w:p w14:paraId="65D11496"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i/>
                <w:iCs/>
                <w:sz w:val="22"/>
                <w:szCs w:val="22"/>
              </w:rPr>
            </w:pPr>
            <w:r w:rsidRPr="00822EC3">
              <w:rPr>
                <w:sz w:val="22"/>
                <w:szCs w:val="22"/>
              </w:rPr>
              <w:t xml:space="preserve">Viable </w:t>
            </w:r>
            <w:r w:rsidRPr="00822EC3">
              <w:rPr>
                <w:i/>
                <w:iCs/>
                <w:sz w:val="22"/>
                <w:szCs w:val="22"/>
              </w:rPr>
              <w:t>Fusarium</w:t>
            </w:r>
            <w:r w:rsidRPr="00822EC3">
              <w:rPr>
                <w:sz w:val="22"/>
                <w:szCs w:val="22"/>
              </w:rPr>
              <w:t xml:space="preserve"> species, </w:t>
            </w:r>
            <w:r w:rsidRPr="00822EC3">
              <w:rPr>
                <w:i/>
                <w:iCs/>
                <w:sz w:val="22"/>
                <w:szCs w:val="22"/>
              </w:rPr>
              <w:t>Stachybotrys</w:t>
            </w:r>
          </w:p>
        </w:tc>
        <w:tc>
          <w:tcPr>
            <w:tcW w:w="1440" w:type="dxa"/>
            <w:tcBorders>
              <w:top w:val="single" w:sz="12" w:space="0" w:color="0D0D0D" w:themeColor="text1" w:themeTint="F2"/>
            </w:tcBorders>
            <w:vAlign w:val="center"/>
          </w:tcPr>
          <w:p w14:paraId="210FB149" w14:textId="704C1182"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Fusifarium</w:t>
            </w:r>
            <w:r w:rsidRPr="00822EC3">
              <w:rPr>
                <w:sz w:val="22"/>
                <w:szCs w:val="22"/>
              </w:rPr>
              <w:t xml:space="preserve"> </w:t>
            </w:r>
            <w:r w:rsidR="006D17D6" w:rsidRPr="00822EC3">
              <w:rPr>
                <w:sz w:val="22"/>
                <w:szCs w:val="22"/>
              </w:rPr>
              <w:t>species</w:t>
            </w:r>
          </w:p>
        </w:tc>
        <w:tc>
          <w:tcPr>
            <w:tcW w:w="1535" w:type="dxa"/>
            <w:tcBorders>
              <w:top w:val="single" w:sz="12" w:space="0" w:color="0D0D0D" w:themeColor="text1" w:themeTint="F2"/>
              <w:right w:val="single" w:sz="12" w:space="0" w:color="0D0D0D" w:themeColor="text1" w:themeTint="F2"/>
            </w:tcBorders>
            <w:vAlign w:val="center"/>
          </w:tcPr>
          <w:p w14:paraId="7210FB7C"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Abdel-Gawad et al., 2014</w:t>
            </w:r>
          </w:p>
        </w:tc>
      </w:tr>
      <w:tr w:rsidR="000B3003" w:rsidRPr="00822EC3" w14:paraId="0116D02B" w14:textId="77777777" w:rsidTr="00D27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tcBorders>
            <w:shd w:val="clear" w:color="auto" w:fill="D9D9D9" w:themeFill="background1" w:themeFillShade="D9"/>
            <w:vAlign w:val="center"/>
          </w:tcPr>
          <w:p w14:paraId="7ED0F0EE" w14:textId="621A7AF0" w:rsidR="00CC2218" w:rsidRPr="00ED5882" w:rsidRDefault="00CC2218" w:rsidP="000B3003">
            <w:pPr>
              <w:rPr>
                <w:b w:val="0"/>
                <w:bCs w:val="0"/>
                <w:sz w:val="22"/>
                <w:szCs w:val="22"/>
              </w:rPr>
            </w:pPr>
            <w:r w:rsidRPr="00ED5882">
              <w:rPr>
                <w:b w:val="0"/>
                <w:bCs w:val="0"/>
                <w:sz w:val="22"/>
                <w:szCs w:val="22"/>
              </w:rPr>
              <w:t xml:space="preserve">Mixture of green algae: </w:t>
            </w:r>
            <w:r w:rsidRPr="00ED5882">
              <w:rPr>
                <w:b w:val="0"/>
                <w:bCs w:val="0"/>
                <w:i/>
                <w:iCs/>
                <w:sz w:val="22"/>
                <w:szCs w:val="22"/>
              </w:rPr>
              <w:t>Cladophora</w:t>
            </w:r>
            <w:r w:rsidRPr="00ED5882">
              <w:rPr>
                <w:b w:val="0"/>
                <w:bCs w:val="0"/>
                <w:sz w:val="22"/>
                <w:szCs w:val="22"/>
              </w:rPr>
              <w:t xml:space="preserve"> species, </w:t>
            </w:r>
            <w:r w:rsidRPr="00ED5882">
              <w:rPr>
                <w:b w:val="0"/>
                <w:bCs w:val="0"/>
                <w:i/>
                <w:iCs/>
                <w:sz w:val="22"/>
                <w:szCs w:val="22"/>
              </w:rPr>
              <w:t>Dictyosphaeria</w:t>
            </w:r>
            <w:r w:rsidRPr="00ED5882">
              <w:rPr>
                <w:b w:val="0"/>
                <w:bCs w:val="0"/>
                <w:sz w:val="22"/>
                <w:szCs w:val="22"/>
              </w:rPr>
              <w:t xml:space="preserve"> </w:t>
            </w:r>
            <w:r w:rsidRPr="00ED5882">
              <w:rPr>
                <w:b w:val="0"/>
                <w:bCs w:val="0"/>
                <w:i/>
                <w:iCs/>
                <w:sz w:val="22"/>
                <w:szCs w:val="22"/>
              </w:rPr>
              <w:t>cavernosa</w:t>
            </w:r>
            <w:r w:rsidRPr="00ED5882">
              <w:rPr>
                <w:b w:val="0"/>
                <w:bCs w:val="0"/>
                <w:sz w:val="22"/>
                <w:szCs w:val="22"/>
              </w:rPr>
              <w:t xml:space="preserve">, </w:t>
            </w:r>
            <w:r w:rsidRPr="00ED5882">
              <w:rPr>
                <w:b w:val="0"/>
                <w:bCs w:val="0"/>
                <w:i/>
                <w:iCs/>
                <w:sz w:val="22"/>
                <w:szCs w:val="22"/>
              </w:rPr>
              <w:t>Ulva</w:t>
            </w:r>
            <w:r w:rsidRPr="00ED5882">
              <w:rPr>
                <w:b w:val="0"/>
                <w:bCs w:val="0"/>
                <w:sz w:val="22"/>
                <w:szCs w:val="22"/>
              </w:rPr>
              <w:t xml:space="preserve"> </w:t>
            </w:r>
            <w:r w:rsidRPr="00ED5882">
              <w:rPr>
                <w:b w:val="0"/>
                <w:bCs w:val="0"/>
                <w:i/>
                <w:iCs/>
                <w:sz w:val="22"/>
                <w:szCs w:val="22"/>
              </w:rPr>
              <w:t>lactuca</w:t>
            </w:r>
            <w:r w:rsidRPr="00ED5882">
              <w:rPr>
                <w:b w:val="0"/>
                <w:bCs w:val="0"/>
                <w:sz w:val="22"/>
                <w:szCs w:val="22"/>
              </w:rPr>
              <w:t xml:space="preserve">, </w:t>
            </w:r>
            <w:r w:rsidRPr="00ED5882">
              <w:rPr>
                <w:b w:val="0"/>
                <w:bCs w:val="0"/>
                <w:i/>
                <w:iCs/>
                <w:sz w:val="22"/>
                <w:szCs w:val="22"/>
              </w:rPr>
              <w:t>Valonia</w:t>
            </w:r>
            <w:r w:rsidRPr="00ED5882">
              <w:rPr>
                <w:b w:val="0"/>
                <w:bCs w:val="0"/>
                <w:sz w:val="22"/>
                <w:szCs w:val="22"/>
              </w:rPr>
              <w:t xml:space="preserve"> </w:t>
            </w:r>
            <w:r w:rsidRPr="00ED5882">
              <w:rPr>
                <w:b w:val="0"/>
                <w:bCs w:val="0"/>
                <w:i/>
                <w:iCs/>
                <w:sz w:val="22"/>
                <w:szCs w:val="22"/>
              </w:rPr>
              <w:t>aegagropila</w:t>
            </w:r>
          </w:p>
        </w:tc>
        <w:tc>
          <w:tcPr>
            <w:tcW w:w="1440" w:type="dxa"/>
            <w:shd w:val="clear" w:color="auto" w:fill="D9D9D9" w:themeFill="background1" w:themeFillShade="D9"/>
            <w:vAlign w:val="center"/>
          </w:tcPr>
          <w:p w14:paraId="30B7C4B6"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i/>
                <w:iCs/>
                <w:sz w:val="22"/>
                <w:szCs w:val="22"/>
              </w:rPr>
            </w:pPr>
            <w:r w:rsidRPr="00822EC3">
              <w:rPr>
                <w:sz w:val="22"/>
                <w:szCs w:val="22"/>
              </w:rPr>
              <w:t xml:space="preserve">Viable </w:t>
            </w:r>
            <w:r w:rsidRPr="00822EC3">
              <w:rPr>
                <w:i/>
                <w:iCs/>
                <w:sz w:val="22"/>
                <w:szCs w:val="22"/>
              </w:rPr>
              <w:t>A. flavus</w:t>
            </w:r>
          </w:p>
        </w:tc>
        <w:tc>
          <w:tcPr>
            <w:tcW w:w="1800" w:type="dxa"/>
            <w:shd w:val="clear" w:color="auto" w:fill="D9D9D9" w:themeFill="background1" w:themeFillShade="D9"/>
            <w:vAlign w:val="center"/>
          </w:tcPr>
          <w:p w14:paraId="1502437A"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Fusarium</w:t>
            </w:r>
            <w:r w:rsidRPr="00822EC3">
              <w:rPr>
                <w:sz w:val="22"/>
                <w:szCs w:val="22"/>
              </w:rPr>
              <w:t xml:space="preserve"> species</w:t>
            </w:r>
          </w:p>
        </w:tc>
        <w:tc>
          <w:tcPr>
            <w:tcW w:w="1260" w:type="dxa"/>
            <w:shd w:val="clear" w:color="auto" w:fill="D9D9D9" w:themeFill="background1" w:themeFillShade="D9"/>
            <w:vAlign w:val="center"/>
          </w:tcPr>
          <w:p w14:paraId="12E34C21"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Fusarium</w:t>
            </w:r>
            <w:r w:rsidRPr="00822EC3">
              <w:rPr>
                <w:sz w:val="22"/>
                <w:szCs w:val="22"/>
              </w:rPr>
              <w:t xml:space="preserve"> species</w:t>
            </w:r>
          </w:p>
        </w:tc>
        <w:tc>
          <w:tcPr>
            <w:tcW w:w="1530" w:type="dxa"/>
            <w:shd w:val="clear" w:color="auto" w:fill="D9D9D9" w:themeFill="background1" w:themeFillShade="D9"/>
            <w:vAlign w:val="center"/>
          </w:tcPr>
          <w:p w14:paraId="34EC594B"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710" w:type="dxa"/>
            <w:shd w:val="clear" w:color="auto" w:fill="D9D9D9" w:themeFill="background1" w:themeFillShade="D9"/>
            <w:vAlign w:val="center"/>
          </w:tcPr>
          <w:p w14:paraId="6A2A5AC6"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i/>
                <w:iCs/>
                <w:sz w:val="22"/>
                <w:szCs w:val="22"/>
              </w:rPr>
            </w:pPr>
            <w:r w:rsidRPr="00822EC3">
              <w:rPr>
                <w:sz w:val="22"/>
                <w:szCs w:val="22"/>
              </w:rPr>
              <w:t xml:space="preserve">Viable </w:t>
            </w:r>
            <w:r w:rsidRPr="00822EC3">
              <w:rPr>
                <w:i/>
                <w:iCs/>
                <w:sz w:val="22"/>
                <w:szCs w:val="22"/>
              </w:rPr>
              <w:t>A. niger</w:t>
            </w:r>
          </w:p>
        </w:tc>
        <w:tc>
          <w:tcPr>
            <w:tcW w:w="1710" w:type="dxa"/>
            <w:shd w:val="clear" w:color="auto" w:fill="D9D9D9" w:themeFill="background1" w:themeFillShade="D9"/>
            <w:vAlign w:val="center"/>
          </w:tcPr>
          <w:p w14:paraId="75E95789"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Fusarium</w:t>
            </w:r>
            <w:r w:rsidRPr="00822EC3">
              <w:rPr>
                <w:sz w:val="22"/>
                <w:szCs w:val="22"/>
              </w:rPr>
              <w:t xml:space="preserve"> species, </w:t>
            </w:r>
            <w:r w:rsidRPr="00822EC3">
              <w:rPr>
                <w:i/>
                <w:iCs/>
                <w:sz w:val="22"/>
                <w:szCs w:val="22"/>
              </w:rPr>
              <w:t>Stachybotrys</w:t>
            </w:r>
          </w:p>
        </w:tc>
        <w:tc>
          <w:tcPr>
            <w:tcW w:w="1440" w:type="dxa"/>
            <w:shd w:val="clear" w:color="auto" w:fill="D9D9D9" w:themeFill="background1" w:themeFillShade="D9"/>
            <w:vAlign w:val="center"/>
          </w:tcPr>
          <w:p w14:paraId="13D01B68" w14:textId="49F6E6C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Fusifarium</w:t>
            </w:r>
            <w:r w:rsidRPr="00822EC3">
              <w:rPr>
                <w:sz w:val="22"/>
                <w:szCs w:val="22"/>
              </w:rPr>
              <w:t xml:space="preserve"> </w:t>
            </w:r>
            <w:r w:rsidR="006D17D6" w:rsidRPr="00822EC3">
              <w:rPr>
                <w:sz w:val="22"/>
                <w:szCs w:val="22"/>
              </w:rPr>
              <w:t>species</w:t>
            </w:r>
          </w:p>
        </w:tc>
        <w:tc>
          <w:tcPr>
            <w:tcW w:w="1535" w:type="dxa"/>
            <w:tcBorders>
              <w:right w:val="single" w:sz="12" w:space="0" w:color="0D0D0D" w:themeColor="text1" w:themeTint="F2"/>
            </w:tcBorders>
            <w:shd w:val="clear" w:color="auto" w:fill="D9D9D9" w:themeFill="background1" w:themeFillShade="D9"/>
            <w:vAlign w:val="center"/>
          </w:tcPr>
          <w:p w14:paraId="31B82958"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Abdel-Gawad et al., 2014</w:t>
            </w:r>
          </w:p>
        </w:tc>
      </w:tr>
      <w:tr w:rsidR="00ED5882" w:rsidRPr="00822EC3" w14:paraId="12F6E077" w14:textId="77777777" w:rsidTr="00D27879">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tcBorders>
            <w:vAlign w:val="center"/>
          </w:tcPr>
          <w:p w14:paraId="633CA1C3" w14:textId="77777777" w:rsidR="00CC2218" w:rsidRPr="00ED5882" w:rsidRDefault="00CC2218" w:rsidP="000B3003">
            <w:pPr>
              <w:rPr>
                <w:b w:val="0"/>
                <w:bCs w:val="0"/>
                <w:sz w:val="22"/>
                <w:szCs w:val="22"/>
              </w:rPr>
            </w:pPr>
            <w:r w:rsidRPr="00ED5882">
              <w:rPr>
                <w:b w:val="0"/>
                <w:bCs w:val="0"/>
                <w:sz w:val="22"/>
                <w:szCs w:val="22"/>
              </w:rPr>
              <w:t xml:space="preserve">Mixture of red algae: </w:t>
            </w:r>
            <w:r w:rsidRPr="00ED5882">
              <w:rPr>
                <w:b w:val="0"/>
                <w:bCs w:val="0"/>
                <w:i/>
                <w:iCs/>
                <w:sz w:val="22"/>
                <w:szCs w:val="22"/>
              </w:rPr>
              <w:t>Digenea</w:t>
            </w:r>
            <w:r w:rsidRPr="00ED5882">
              <w:rPr>
                <w:b w:val="0"/>
                <w:bCs w:val="0"/>
                <w:sz w:val="22"/>
                <w:szCs w:val="22"/>
              </w:rPr>
              <w:t xml:space="preserve"> </w:t>
            </w:r>
            <w:r w:rsidRPr="00ED5882">
              <w:rPr>
                <w:b w:val="0"/>
                <w:bCs w:val="0"/>
                <w:i/>
                <w:iCs/>
                <w:sz w:val="22"/>
                <w:szCs w:val="22"/>
              </w:rPr>
              <w:t>simplex</w:t>
            </w:r>
            <w:r w:rsidRPr="00ED5882">
              <w:rPr>
                <w:b w:val="0"/>
                <w:bCs w:val="0"/>
                <w:sz w:val="22"/>
                <w:szCs w:val="22"/>
              </w:rPr>
              <w:t xml:space="preserve">, </w:t>
            </w:r>
            <w:r w:rsidRPr="00ED5882">
              <w:rPr>
                <w:b w:val="0"/>
                <w:bCs w:val="0"/>
                <w:i/>
                <w:iCs/>
                <w:sz w:val="22"/>
                <w:szCs w:val="22"/>
              </w:rPr>
              <w:t>Gracilaria</w:t>
            </w:r>
            <w:r w:rsidRPr="00ED5882">
              <w:rPr>
                <w:b w:val="0"/>
                <w:bCs w:val="0"/>
                <w:sz w:val="22"/>
                <w:szCs w:val="22"/>
              </w:rPr>
              <w:t xml:space="preserve"> </w:t>
            </w:r>
            <w:r w:rsidRPr="00ED5882">
              <w:rPr>
                <w:b w:val="0"/>
                <w:bCs w:val="0"/>
                <w:i/>
                <w:iCs/>
                <w:sz w:val="22"/>
                <w:szCs w:val="22"/>
              </w:rPr>
              <w:t>arcuate</w:t>
            </w:r>
            <w:r w:rsidRPr="00ED5882">
              <w:rPr>
                <w:b w:val="0"/>
                <w:bCs w:val="0"/>
                <w:sz w:val="22"/>
                <w:szCs w:val="22"/>
              </w:rPr>
              <w:t xml:space="preserve">, </w:t>
            </w:r>
            <w:r w:rsidRPr="00ED5882">
              <w:rPr>
                <w:b w:val="0"/>
                <w:bCs w:val="0"/>
                <w:i/>
                <w:iCs/>
                <w:sz w:val="22"/>
                <w:szCs w:val="22"/>
              </w:rPr>
              <w:t>Heterosiphonia</w:t>
            </w:r>
            <w:r w:rsidRPr="00ED5882">
              <w:rPr>
                <w:b w:val="0"/>
                <w:bCs w:val="0"/>
                <w:sz w:val="22"/>
                <w:szCs w:val="22"/>
              </w:rPr>
              <w:t xml:space="preserve"> species, </w:t>
            </w:r>
            <w:r w:rsidRPr="00ED5882">
              <w:rPr>
                <w:b w:val="0"/>
                <w:bCs w:val="0"/>
                <w:i/>
                <w:iCs/>
                <w:sz w:val="22"/>
                <w:szCs w:val="22"/>
              </w:rPr>
              <w:t>Hypnea</w:t>
            </w:r>
            <w:r w:rsidRPr="00ED5882">
              <w:rPr>
                <w:b w:val="0"/>
                <w:bCs w:val="0"/>
                <w:sz w:val="22"/>
                <w:szCs w:val="22"/>
              </w:rPr>
              <w:t xml:space="preserve"> </w:t>
            </w:r>
            <w:r w:rsidRPr="00ED5882">
              <w:rPr>
                <w:b w:val="0"/>
                <w:bCs w:val="0"/>
                <w:i/>
                <w:iCs/>
                <w:sz w:val="22"/>
                <w:szCs w:val="22"/>
              </w:rPr>
              <w:t>cornuata</w:t>
            </w:r>
            <w:r w:rsidRPr="00ED5882">
              <w:rPr>
                <w:b w:val="0"/>
                <w:bCs w:val="0"/>
                <w:sz w:val="22"/>
                <w:szCs w:val="22"/>
              </w:rPr>
              <w:t xml:space="preserve">, </w:t>
            </w:r>
            <w:r w:rsidRPr="00ED5882">
              <w:rPr>
                <w:b w:val="0"/>
                <w:bCs w:val="0"/>
                <w:i/>
                <w:iCs/>
                <w:sz w:val="22"/>
                <w:szCs w:val="22"/>
              </w:rPr>
              <w:t>Jania</w:t>
            </w:r>
            <w:r w:rsidRPr="00ED5882">
              <w:rPr>
                <w:b w:val="0"/>
                <w:bCs w:val="0"/>
                <w:sz w:val="22"/>
                <w:szCs w:val="22"/>
              </w:rPr>
              <w:t xml:space="preserve"> </w:t>
            </w:r>
            <w:r w:rsidRPr="00ED5882">
              <w:rPr>
                <w:b w:val="0"/>
                <w:bCs w:val="0"/>
                <w:i/>
                <w:iCs/>
                <w:sz w:val="22"/>
                <w:szCs w:val="22"/>
              </w:rPr>
              <w:t>rubens</w:t>
            </w:r>
            <w:r w:rsidRPr="00ED5882">
              <w:rPr>
                <w:b w:val="0"/>
                <w:bCs w:val="0"/>
                <w:sz w:val="22"/>
                <w:szCs w:val="22"/>
              </w:rPr>
              <w:t xml:space="preserve">, </w:t>
            </w:r>
            <w:r w:rsidRPr="00ED5882">
              <w:rPr>
                <w:b w:val="0"/>
                <w:bCs w:val="0"/>
                <w:i/>
                <w:iCs/>
                <w:sz w:val="22"/>
                <w:szCs w:val="22"/>
              </w:rPr>
              <w:t>Laurencia</w:t>
            </w:r>
            <w:r w:rsidRPr="00ED5882">
              <w:rPr>
                <w:b w:val="0"/>
                <w:bCs w:val="0"/>
                <w:sz w:val="22"/>
                <w:szCs w:val="22"/>
              </w:rPr>
              <w:t xml:space="preserve"> </w:t>
            </w:r>
            <w:r w:rsidRPr="00ED5882">
              <w:rPr>
                <w:b w:val="0"/>
                <w:bCs w:val="0"/>
                <w:sz w:val="22"/>
                <w:szCs w:val="22"/>
              </w:rPr>
              <w:lastRenderedPageBreak/>
              <w:t xml:space="preserve">species, </w:t>
            </w:r>
            <w:r w:rsidRPr="00ED5882">
              <w:rPr>
                <w:b w:val="0"/>
                <w:bCs w:val="0"/>
                <w:i/>
                <w:iCs/>
                <w:sz w:val="22"/>
                <w:szCs w:val="22"/>
              </w:rPr>
              <w:t>Palisada</w:t>
            </w:r>
            <w:r w:rsidRPr="00ED5882">
              <w:rPr>
                <w:b w:val="0"/>
                <w:bCs w:val="0"/>
                <w:sz w:val="22"/>
                <w:szCs w:val="22"/>
              </w:rPr>
              <w:t xml:space="preserve"> </w:t>
            </w:r>
            <w:r w:rsidRPr="00ED5882">
              <w:rPr>
                <w:b w:val="0"/>
                <w:bCs w:val="0"/>
                <w:i/>
                <w:iCs/>
                <w:sz w:val="22"/>
                <w:szCs w:val="22"/>
              </w:rPr>
              <w:t>perforate</w:t>
            </w:r>
          </w:p>
        </w:tc>
        <w:tc>
          <w:tcPr>
            <w:tcW w:w="1440" w:type="dxa"/>
            <w:vAlign w:val="center"/>
          </w:tcPr>
          <w:p w14:paraId="2816B31F"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i/>
                <w:iCs/>
                <w:sz w:val="22"/>
                <w:szCs w:val="22"/>
              </w:rPr>
            </w:pPr>
            <w:r w:rsidRPr="00822EC3">
              <w:rPr>
                <w:sz w:val="22"/>
                <w:szCs w:val="22"/>
              </w:rPr>
              <w:lastRenderedPageBreak/>
              <w:t xml:space="preserve">Viable </w:t>
            </w:r>
            <w:r w:rsidRPr="00822EC3">
              <w:rPr>
                <w:i/>
                <w:iCs/>
                <w:sz w:val="22"/>
                <w:szCs w:val="22"/>
              </w:rPr>
              <w:t>A. flavus</w:t>
            </w:r>
          </w:p>
        </w:tc>
        <w:tc>
          <w:tcPr>
            <w:tcW w:w="1800" w:type="dxa"/>
            <w:vAlign w:val="center"/>
          </w:tcPr>
          <w:p w14:paraId="09E2862E"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Fusarium</w:t>
            </w:r>
            <w:r w:rsidRPr="00822EC3">
              <w:rPr>
                <w:sz w:val="22"/>
                <w:szCs w:val="22"/>
              </w:rPr>
              <w:t xml:space="preserve"> species</w:t>
            </w:r>
          </w:p>
        </w:tc>
        <w:tc>
          <w:tcPr>
            <w:tcW w:w="1260" w:type="dxa"/>
            <w:vAlign w:val="center"/>
          </w:tcPr>
          <w:p w14:paraId="524244FD"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Fusarium</w:t>
            </w:r>
            <w:r w:rsidRPr="00822EC3">
              <w:rPr>
                <w:sz w:val="22"/>
                <w:szCs w:val="22"/>
              </w:rPr>
              <w:t xml:space="preserve"> species</w:t>
            </w:r>
          </w:p>
        </w:tc>
        <w:tc>
          <w:tcPr>
            <w:tcW w:w="1530" w:type="dxa"/>
            <w:vAlign w:val="center"/>
          </w:tcPr>
          <w:p w14:paraId="535D732D" w14:textId="77777777" w:rsidR="00CC2218" w:rsidRPr="00822EC3" w:rsidRDefault="00CC2218" w:rsidP="000B300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710" w:type="dxa"/>
            <w:vAlign w:val="center"/>
          </w:tcPr>
          <w:p w14:paraId="43187A50"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A. niger</w:t>
            </w:r>
          </w:p>
        </w:tc>
        <w:tc>
          <w:tcPr>
            <w:tcW w:w="1710" w:type="dxa"/>
            <w:vAlign w:val="center"/>
          </w:tcPr>
          <w:p w14:paraId="1D19174C"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Fusarium</w:t>
            </w:r>
            <w:r w:rsidRPr="00822EC3">
              <w:rPr>
                <w:sz w:val="22"/>
                <w:szCs w:val="22"/>
              </w:rPr>
              <w:t xml:space="preserve"> species, </w:t>
            </w:r>
            <w:r w:rsidRPr="00822EC3">
              <w:rPr>
                <w:i/>
                <w:iCs/>
                <w:sz w:val="22"/>
                <w:szCs w:val="22"/>
              </w:rPr>
              <w:t>Stachybotrys</w:t>
            </w:r>
          </w:p>
        </w:tc>
        <w:tc>
          <w:tcPr>
            <w:tcW w:w="1440" w:type="dxa"/>
            <w:vAlign w:val="center"/>
          </w:tcPr>
          <w:p w14:paraId="669F75FB" w14:textId="45C584E0"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Fusifarium</w:t>
            </w:r>
            <w:r w:rsidRPr="00822EC3">
              <w:rPr>
                <w:sz w:val="22"/>
                <w:szCs w:val="22"/>
              </w:rPr>
              <w:t xml:space="preserve"> </w:t>
            </w:r>
            <w:r w:rsidR="006D17D6" w:rsidRPr="00822EC3">
              <w:rPr>
                <w:sz w:val="22"/>
                <w:szCs w:val="22"/>
              </w:rPr>
              <w:t>species</w:t>
            </w:r>
          </w:p>
        </w:tc>
        <w:tc>
          <w:tcPr>
            <w:tcW w:w="1535" w:type="dxa"/>
            <w:tcBorders>
              <w:right w:val="single" w:sz="12" w:space="0" w:color="0D0D0D" w:themeColor="text1" w:themeTint="F2"/>
            </w:tcBorders>
            <w:vAlign w:val="center"/>
          </w:tcPr>
          <w:p w14:paraId="0E7E00F1"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Abdel-Gawad et al., 2014</w:t>
            </w:r>
          </w:p>
        </w:tc>
      </w:tr>
      <w:tr w:rsidR="000B3003" w:rsidRPr="00822EC3" w14:paraId="14C24AFA" w14:textId="77777777" w:rsidTr="00D27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bottom w:val="single" w:sz="12" w:space="0" w:color="0D0D0D" w:themeColor="text1" w:themeTint="F2"/>
            </w:tcBorders>
            <w:shd w:val="clear" w:color="auto" w:fill="D9D9D9" w:themeFill="background1" w:themeFillShade="D9"/>
            <w:vAlign w:val="center"/>
          </w:tcPr>
          <w:p w14:paraId="240DF093" w14:textId="77777777" w:rsidR="00CC2218" w:rsidRPr="00173FBA" w:rsidRDefault="00CC2218" w:rsidP="000B3003">
            <w:pPr>
              <w:rPr>
                <w:b w:val="0"/>
                <w:bCs w:val="0"/>
                <w:i/>
                <w:iCs/>
                <w:sz w:val="22"/>
                <w:szCs w:val="22"/>
                <w:lang w:val="es-ES"/>
              </w:rPr>
            </w:pPr>
            <w:r w:rsidRPr="00173FBA">
              <w:rPr>
                <w:b w:val="0"/>
                <w:bCs w:val="0"/>
                <w:sz w:val="22"/>
                <w:szCs w:val="22"/>
                <w:lang w:val="es-ES"/>
              </w:rPr>
              <w:t>Mixture of algae:</w:t>
            </w:r>
            <w:r w:rsidRPr="00173FBA">
              <w:rPr>
                <w:b w:val="0"/>
                <w:bCs w:val="0"/>
                <w:i/>
                <w:iCs/>
                <w:sz w:val="22"/>
                <w:szCs w:val="22"/>
                <w:lang w:val="es-ES"/>
              </w:rPr>
              <w:t xml:space="preserve"> Ascophyllum nodosum, Fucus vesiculosus, Laminaria digitata, Polysiphonia lanosa, Saccharina latissima, Ulva lactuca</w:t>
            </w:r>
          </w:p>
        </w:tc>
        <w:tc>
          <w:tcPr>
            <w:tcW w:w="1440" w:type="dxa"/>
            <w:tcBorders>
              <w:bottom w:val="single" w:sz="12" w:space="0" w:color="0D0D0D" w:themeColor="text1" w:themeTint="F2"/>
            </w:tcBorders>
            <w:shd w:val="clear" w:color="auto" w:fill="D9D9D9" w:themeFill="background1" w:themeFillShade="D9"/>
            <w:vAlign w:val="center"/>
          </w:tcPr>
          <w:p w14:paraId="45D30BD9"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800" w:type="dxa"/>
            <w:tcBorders>
              <w:bottom w:val="single" w:sz="12" w:space="0" w:color="0D0D0D" w:themeColor="text1" w:themeTint="F2"/>
            </w:tcBorders>
            <w:shd w:val="clear" w:color="auto" w:fill="D9D9D9" w:themeFill="background1" w:themeFillShade="D9"/>
            <w:vAlign w:val="center"/>
          </w:tcPr>
          <w:p w14:paraId="4C7A5282"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260" w:type="dxa"/>
            <w:tcBorders>
              <w:bottom w:val="single" w:sz="12" w:space="0" w:color="0D0D0D" w:themeColor="text1" w:themeTint="F2"/>
            </w:tcBorders>
            <w:shd w:val="clear" w:color="auto" w:fill="D9D9D9" w:themeFill="background1" w:themeFillShade="D9"/>
            <w:vAlign w:val="center"/>
          </w:tcPr>
          <w:p w14:paraId="0BBC146E"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530" w:type="dxa"/>
            <w:tcBorders>
              <w:bottom w:val="single" w:sz="12" w:space="0" w:color="0D0D0D" w:themeColor="text1" w:themeTint="F2"/>
            </w:tcBorders>
            <w:shd w:val="clear" w:color="auto" w:fill="D9D9D9" w:themeFill="background1" w:themeFillShade="D9"/>
            <w:vAlign w:val="center"/>
          </w:tcPr>
          <w:p w14:paraId="49687336"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Penicillium</w:t>
            </w:r>
            <w:r w:rsidRPr="00822EC3">
              <w:rPr>
                <w:sz w:val="22"/>
                <w:szCs w:val="22"/>
              </w:rPr>
              <w:t xml:space="preserve"> species</w:t>
            </w:r>
          </w:p>
        </w:tc>
        <w:tc>
          <w:tcPr>
            <w:tcW w:w="1710" w:type="dxa"/>
            <w:tcBorders>
              <w:bottom w:val="single" w:sz="12" w:space="0" w:color="0D0D0D" w:themeColor="text1" w:themeTint="F2"/>
            </w:tcBorders>
            <w:shd w:val="clear" w:color="auto" w:fill="D9D9D9" w:themeFill="background1" w:themeFillShade="D9"/>
            <w:vAlign w:val="center"/>
          </w:tcPr>
          <w:p w14:paraId="4718C1BF"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 xml:space="preserve">Viable </w:t>
            </w:r>
            <w:r w:rsidRPr="00822EC3">
              <w:rPr>
                <w:i/>
                <w:iCs/>
                <w:sz w:val="22"/>
                <w:szCs w:val="22"/>
              </w:rPr>
              <w:t>Penicillium</w:t>
            </w:r>
            <w:r w:rsidRPr="00822EC3">
              <w:rPr>
                <w:sz w:val="22"/>
                <w:szCs w:val="22"/>
              </w:rPr>
              <w:t xml:space="preserve"> species</w:t>
            </w:r>
          </w:p>
        </w:tc>
        <w:tc>
          <w:tcPr>
            <w:tcW w:w="1710" w:type="dxa"/>
            <w:tcBorders>
              <w:bottom w:val="single" w:sz="12" w:space="0" w:color="0D0D0D" w:themeColor="text1" w:themeTint="F2"/>
            </w:tcBorders>
            <w:shd w:val="clear" w:color="auto" w:fill="D9D9D9" w:themeFill="background1" w:themeFillShade="D9"/>
            <w:vAlign w:val="center"/>
          </w:tcPr>
          <w:p w14:paraId="1BCDA224"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440" w:type="dxa"/>
            <w:tcBorders>
              <w:bottom w:val="single" w:sz="12" w:space="0" w:color="0D0D0D" w:themeColor="text1" w:themeTint="F2"/>
            </w:tcBorders>
            <w:shd w:val="clear" w:color="auto" w:fill="D9D9D9" w:themeFill="background1" w:themeFillShade="D9"/>
            <w:vAlign w:val="center"/>
          </w:tcPr>
          <w:p w14:paraId="3AD20C2E"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535" w:type="dxa"/>
            <w:tcBorders>
              <w:bottom w:val="single" w:sz="12" w:space="0" w:color="0D0D0D" w:themeColor="text1" w:themeTint="F2"/>
              <w:right w:val="single" w:sz="12" w:space="0" w:color="0D0D0D" w:themeColor="text1" w:themeTint="F2"/>
            </w:tcBorders>
            <w:shd w:val="clear" w:color="auto" w:fill="D9D9D9" w:themeFill="background1" w:themeFillShade="D9"/>
            <w:vAlign w:val="center"/>
          </w:tcPr>
          <w:p w14:paraId="272A1708"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Miller &amp; Whitney, 1981</w:t>
            </w:r>
          </w:p>
        </w:tc>
      </w:tr>
      <w:tr w:rsidR="00C51CD8" w:rsidRPr="00822EC3" w14:paraId="094C4FD2" w14:textId="77777777" w:rsidTr="00D27879">
        <w:tc>
          <w:tcPr>
            <w:cnfStyle w:val="001000000000" w:firstRow="0" w:lastRow="0" w:firstColumn="1" w:lastColumn="0" w:oddVBand="0" w:evenVBand="0" w:oddHBand="0" w:evenHBand="0" w:firstRowFirstColumn="0" w:firstRowLastColumn="0" w:lastRowFirstColumn="0" w:lastRowLastColumn="0"/>
            <w:tcW w:w="2065" w:type="dxa"/>
            <w:tcBorders>
              <w:top w:val="single" w:sz="12" w:space="0" w:color="0D0D0D" w:themeColor="text1" w:themeTint="F2"/>
              <w:left w:val="single" w:sz="12" w:space="0" w:color="0D0D0D" w:themeColor="text1" w:themeTint="F2"/>
            </w:tcBorders>
            <w:vAlign w:val="center"/>
          </w:tcPr>
          <w:p w14:paraId="7CC30DB7" w14:textId="77777777" w:rsidR="00CC2218" w:rsidRPr="00ED5882" w:rsidRDefault="00CC2218" w:rsidP="000B3003">
            <w:pPr>
              <w:rPr>
                <w:b w:val="0"/>
                <w:bCs w:val="0"/>
                <w:i/>
                <w:iCs/>
                <w:sz w:val="22"/>
                <w:szCs w:val="22"/>
              </w:rPr>
            </w:pPr>
            <w:r w:rsidRPr="00ED5882">
              <w:rPr>
                <w:b w:val="0"/>
                <w:bCs w:val="0"/>
                <w:i/>
                <w:iCs/>
                <w:sz w:val="22"/>
                <w:szCs w:val="22"/>
              </w:rPr>
              <w:t>Pelvetia canaliculata</w:t>
            </w:r>
          </w:p>
        </w:tc>
        <w:tc>
          <w:tcPr>
            <w:tcW w:w="1440" w:type="dxa"/>
            <w:tcBorders>
              <w:top w:val="single" w:sz="12" w:space="0" w:color="0D0D0D" w:themeColor="text1" w:themeTint="F2"/>
            </w:tcBorders>
            <w:vAlign w:val="center"/>
          </w:tcPr>
          <w:p w14:paraId="61F22ED3"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0.003</w:t>
            </w:r>
          </w:p>
        </w:tc>
        <w:tc>
          <w:tcPr>
            <w:tcW w:w="1800" w:type="dxa"/>
            <w:tcBorders>
              <w:top w:val="single" w:sz="12" w:space="0" w:color="0D0D0D" w:themeColor="text1" w:themeTint="F2"/>
            </w:tcBorders>
            <w:vAlign w:val="center"/>
          </w:tcPr>
          <w:p w14:paraId="22FB2C8C"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0.735</w:t>
            </w:r>
          </w:p>
        </w:tc>
        <w:tc>
          <w:tcPr>
            <w:tcW w:w="1260" w:type="dxa"/>
            <w:tcBorders>
              <w:top w:val="single" w:sz="12" w:space="0" w:color="0D0D0D" w:themeColor="text1" w:themeTint="F2"/>
            </w:tcBorders>
            <w:vAlign w:val="center"/>
          </w:tcPr>
          <w:p w14:paraId="18E8ACCF"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0.263</w:t>
            </w:r>
          </w:p>
        </w:tc>
        <w:tc>
          <w:tcPr>
            <w:tcW w:w="1530" w:type="dxa"/>
            <w:tcBorders>
              <w:top w:val="single" w:sz="12" w:space="0" w:color="0D0D0D" w:themeColor="text1" w:themeTint="F2"/>
            </w:tcBorders>
            <w:vAlign w:val="center"/>
          </w:tcPr>
          <w:p w14:paraId="313A52A6" w14:textId="77777777" w:rsidR="00CC2218" w:rsidRPr="00822EC3" w:rsidRDefault="00CC2218" w:rsidP="000B300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710" w:type="dxa"/>
            <w:tcBorders>
              <w:top w:val="single" w:sz="12" w:space="0" w:color="0D0D0D" w:themeColor="text1" w:themeTint="F2"/>
            </w:tcBorders>
            <w:vAlign w:val="center"/>
          </w:tcPr>
          <w:p w14:paraId="25816ECB"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0.10</w:t>
            </w:r>
          </w:p>
        </w:tc>
        <w:tc>
          <w:tcPr>
            <w:tcW w:w="1710" w:type="dxa"/>
            <w:tcBorders>
              <w:top w:val="single" w:sz="12" w:space="0" w:color="0D0D0D" w:themeColor="text1" w:themeTint="F2"/>
            </w:tcBorders>
            <w:vAlign w:val="center"/>
          </w:tcPr>
          <w:p w14:paraId="718415F8"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0.029</w:t>
            </w:r>
          </w:p>
        </w:tc>
        <w:tc>
          <w:tcPr>
            <w:tcW w:w="1440" w:type="dxa"/>
            <w:tcBorders>
              <w:top w:val="single" w:sz="12" w:space="0" w:color="0D0D0D" w:themeColor="text1" w:themeTint="F2"/>
            </w:tcBorders>
            <w:vAlign w:val="center"/>
          </w:tcPr>
          <w:p w14:paraId="734BBC15"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0.074</w:t>
            </w:r>
          </w:p>
        </w:tc>
        <w:tc>
          <w:tcPr>
            <w:tcW w:w="1535" w:type="dxa"/>
            <w:tcBorders>
              <w:top w:val="single" w:sz="12" w:space="0" w:color="0D0D0D" w:themeColor="text1" w:themeTint="F2"/>
              <w:right w:val="single" w:sz="12" w:space="0" w:color="0D0D0D" w:themeColor="text1" w:themeTint="F2"/>
            </w:tcBorders>
            <w:vAlign w:val="center"/>
          </w:tcPr>
          <w:p w14:paraId="3B7B6E89"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Burkin &amp; Kononenko, 2023</w:t>
            </w:r>
          </w:p>
        </w:tc>
      </w:tr>
      <w:tr w:rsidR="000B3003" w:rsidRPr="00822EC3" w14:paraId="3FE3050E" w14:textId="77777777" w:rsidTr="00D27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tcBorders>
            <w:shd w:val="clear" w:color="auto" w:fill="D9D9D9" w:themeFill="background1" w:themeFillShade="D9"/>
            <w:vAlign w:val="center"/>
          </w:tcPr>
          <w:p w14:paraId="4F9EDACB" w14:textId="77777777" w:rsidR="00CC2218" w:rsidRPr="00ED5882" w:rsidRDefault="00CC2218" w:rsidP="000B3003">
            <w:pPr>
              <w:rPr>
                <w:b w:val="0"/>
                <w:bCs w:val="0"/>
                <w:i/>
                <w:iCs/>
                <w:sz w:val="22"/>
                <w:szCs w:val="22"/>
              </w:rPr>
            </w:pPr>
            <w:r w:rsidRPr="00ED5882">
              <w:rPr>
                <w:b w:val="0"/>
                <w:bCs w:val="0"/>
                <w:i/>
                <w:iCs/>
                <w:sz w:val="22"/>
                <w:szCs w:val="22"/>
              </w:rPr>
              <w:t>Pelvetia canaliculata</w:t>
            </w:r>
          </w:p>
        </w:tc>
        <w:tc>
          <w:tcPr>
            <w:tcW w:w="1440" w:type="dxa"/>
            <w:shd w:val="clear" w:color="auto" w:fill="D9D9D9" w:themeFill="background1" w:themeFillShade="D9"/>
            <w:vAlign w:val="center"/>
          </w:tcPr>
          <w:p w14:paraId="1C3C7DBB"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0.071</w:t>
            </w:r>
          </w:p>
        </w:tc>
        <w:tc>
          <w:tcPr>
            <w:tcW w:w="1800" w:type="dxa"/>
            <w:shd w:val="clear" w:color="auto" w:fill="D9D9D9" w:themeFill="background1" w:themeFillShade="D9"/>
            <w:vAlign w:val="center"/>
          </w:tcPr>
          <w:p w14:paraId="57B03C8F"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1.74</w:t>
            </w:r>
          </w:p>
        </w:tc>
        <w:tc>
          <w:tcPr>
            <w:tcW w:w="1260" w:type="dxa"/>
            <w:shd w:val="clear" w:color="auto" w:fill="D9D9D9" w:themeFill="background1" w:themeFillShade="D9"/>
            <w:vAlign w:val="center"/>
          </w:tcPr>
          <w:p w14:paraId="1F101AAF"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0.790</w:t>
            </w:r>
          </w:p>
        </w:tc>
        <w:tc>
          <w:tcPr>
            <w:tcW w:w="1530" w:type="dxa"/>
            <w:shd w:val="clear" w:color="auto" w:fill="D9D9D9" w:themeFill="background1" w:themeFillShade="D9"/>
            <w:vAlign w:val="center"/>
          </w:tcPr>
          <w:p w14:paraId="47DC7228"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710" w:type="dxa"/>
            <w:shd w:val="clear" w:color="auto" w:fill="D9D9D9" w:themeFill="background1" w:themeFillShade="D9"/>
            <w:vAlign w:val="center"/>
          </w:tcPr>
          <w:p w14:paraId="6F14466A"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0.130</w:t>
            </w:r>
          </w:p>
        </w:tc>
        <w:tc>
          <w:tcPr>
            <w:tcW w:w="1710" w:type="dxa"/>
            <w:shd w:val="clear" w:color="auto" w:fill="D9D9D9" w:themeFill="background1" w:themeFillShade="D9"/>
            <w:vAlign w:val="center"/>
          </w:tcPr>
          <w:p w14:paraId="77DE4132"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0.034</w:t>
            </w:r>
          </w:p>
        </w:tc>
        <w:tc>
          <w:tcPr>
            <w:tcW w:w="1440" w:type="dxa"/>
            <w:shd w:val="clear" w:color="auto" w:fill="D9D9D9" w:themeFill="background1" w:themeFillShade="D9"/>
            <w:vAlign w:val="center"/>
          </w:tcPr>
          <w:p w14:paraId="24782290"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Toxin: 0.165</w:t>
            </w:r>
          </w:p>
        </w:tc>
        <w:tc>
          <w:tcPr>
            <w:tcW w:w="1535" w:type="dxa"/>
            <w:tcBorders>
              <w:right w:val="single" w:sz="12" w:space="0" w:color="0D0D0D" w:themeColor="text1" w:themeTint="F2"/>
            </w:tcBorders>
            <w:shd w:val="clear" w:color="auto" w:fill="D9D9D9" w:themeFill="background1" w:themeFillShade="D9"/>
            <w:vAlign w:val="center"/>
          </w:tcPr>
          <w:p w14:paraId="2FD2AA7B"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Burkin et al., 2021</w:t>
            </w:r>
          </w:p>
        </w:tc>
      </w:tr>
      <w:tr w:rsidR="00C51CD8" w:rsidRPr="00822EC3" w14:paraId="51F41EAC" w14:textId="77777777" w:rsidTr="00D27879">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bottom w:val="single" w:sz="12" w:space="0" w:color="0D0D0D" w:themeColor="text1" w:themeTint="F2"/>
            </w:tcBorders>
            <w:vAlign w:val="center"/>
          </w:tcPr>
          <w:p w14:paraId="0345B1CC" w14:textId="77777777" w:rsidR="00CC2218" w:rsidRPr="00ED5882" w:rsidRDefault="00CC2218" w:rsidP="000B3003">
            <w:pPr>
              <w:rPr>
                <w:b w:val="0"/>
                <w:bCs w:val="0"/>
                <w:i/>
                <w:iCs/>
                <w:sz w:val="22"/>
                <w:szCs w:val="22"/>
              </w:rPr>
            </w:pPr>
            <w:r w:rsidRPr="00ED5882">
              <w:rPr>
                <w:b w:val="0"/>
                <w:bCs w:val="0"/>
                <w:i/>
                <w:iCs/>
                <w:sz w:val="22"/>
                <w:szCs w:val="22"/>
              </w:rPr>
              <w:t>Pelvetia canaliculata</w:t>
            </w:r>
          </w:p>
        </w:tc>
        <w:tc>
          <w:tcPr>
            <w:tcW w:w="1440" w:type="dxa"/>
            <w:tcBorders>
              <w:bottom w:val="single" w:sz="12" w:space="0" w:color="0D0D0D" w:themeColor="text1" w:themeTint="F2"/>
            </w:tcBorders>
            <w:vAlign w:val="center"/>
          </w:tcPr>
          <w:p w14:paraId="23C28C12"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0.024</w:t>
            </w:r>
          </w:p>
        </w:tc>
        <w:tc>
          <w:tcPr>
            <w:tcW w:w="1800" w:type="dxa"/>
            <w:tcBorders>
              <w:bottom w:val="single" w:sz="12" w:space="0" w:color="0D0D0D" w:themeColor="text1" w:themeTint="F2"/>
            </w:tcBorders>
            <w:vAlign w:val="center"/>
          </w:tcPr>
          <w:p w14:paraId="7984416A"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0.490</w:t>
            </w:r>
          </w:p>
        </w:tc>
        <w:tc>
          <w:tcPr>
            <w:tcW w:w="1260" w:type="dxa"/>
            <w:tcBorders>
              <w:bottom w:val="single" w:sz="12" w:space="0" w:color="0D0D0D" w:themeColor="text1" w:themeTint="F2"/>
            </w:tcBorders>
            <w:vAlign w:val="center"/>
          </w:tcPr>
          <w:p w14:paraId="61CE7D29"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0.605</w:t>
            </w:r>
          </w:p>
        </w:tc>
        <w:tc>
          <w:tcPr>
            <w:tcW w:w="1530" w:type="dxa"/>
            <w:tcBorders>
              <w:bottom w:val="single" w:sz="12" w:space="0" w:color="0D0D0D" w:themeColor="text1" w:themeTint="F2"/>
            </w:tcBorders>
            <w:vAlign w:val="center"/>
          </w:tcPr>
          <w:p w14:paraId="49A47F43" w14:textId="77777777" w:rsidR="00CC2218" w:rsidRPr="00822EC3" w:rsidRDefault="00CC2218" w:rsidP="000B300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710" w:type="dxa"/>
            <w:tcBorders>
              <w:bottom w:val="single" w:sz="12" w:space="0" w:color="0D0D0D" w:themeColor="text1" w:themeTint="F2"/>
            </w:tcBorders>
            <w:vAlign w:val="center"/>
          </w:tcPr>
          <w:p w14:paraId="46B3005C"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0.130</w:t>
            </w:r>
          </w:p>
        </w:tc>
        <w:tc>
          <w:tcPr>
            <w:tcW w:w="1710" w:type="dxa"/>
            <w:tcBorders>
              <w:bottom w:val="single" w:sz="12" w:space="0" w:color="0D0D0D" w:themeColor="text1" w:themeTint="F2"/>
            </w:tcBorders>
            <w:vAlign w:val="center"/>
          </w:tcPr>
          <w:p w14:paraId="5C21AD26"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0.016</w:t>
            </w:r>
          </w:p>
        </w:tc>
        <w:tc>
          <w:tcPr>
            <w:tcW w:w="1440" w:type="dxa"/>
            <w:tcBorders>
              <w:bottom w:val="single" w:sz="12" w:space="0" w:color="0D0D0D" w:themeColor="text1" w:themeTint="F2"/>
            </w:tcBorders>
            <w:vAlign w:val="center"/>
          </w:tcPr>
          <w:p w14:paraId="12FC81F2"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Toxin: 0.180</w:t>
            </w:r>
          </w:p>
        </w:tc>
        <w:tc>
          <w:tcPr>
            <w:tcW w:w="1535" w:type="dxa"/>
            <w:tcBorders>
              <w:bottom w:val="single" w:sz="12" w:space="0" w:color="0D0D0D" w:themeColor="text1" w:themeTint="F2"/>
              <w:right w:val="single" w:sz="12" w:space="0" w:color="0D0D0D" w:themeColor="text1" w:themeTint="F2"/>
            </w:tcBorders>
            <w:vAlign w:val="center"/>
          </w:tcPr>
          <w:p w14:paraId="7C11CD0B"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Kononenko et al., 2021</w:t>
            </w:r>
          </w:p>
        </w:tc>
      </w:tr>
      <w:tr w:rsidR="000B3003" w:rsidRPr="00822EC3" w14:paraId="1FB48903" w14:textId="77777777" w:rsidTr="00D27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12" w:space="0" w:color="0D0D0D" w:themeColor="text1" w:themeTint="F2"/>
              <w:left w:val="single" w:sz="12" w:space="0" w:color="0D0D0D" w:themeColor="text1" w:themeTint="F2"/>
            </w:tcBorders>
            <w:shd w:val="clear" w:color="auto" w:fill="D9D9D9" w:themeFill="background1" w:themeFillShade="D9"/>
            <w:vAlign w:val="center"/>
          </w:tcPr>
          <w:p w14:paraId="1D499A1B" w14:textId="77777777" w:rsidR="00CC2218" w:rsidRPr="00ED5882" w:rsidRDefault="00CC2218" w:rsidP="000B3003">
            <w:pPr>
              <w:rPr>
                <w:b w:val="0"/>
                <w:bCs w:val="0"/>
                <w:i/>
                <w:iCs/>
                <w:sz w:val="22"/>
                <w:szCs w:val="22"/>
              </w:rPr>
            </w:pPr>
            <w:r w:rsidRPr="00ED5882">
              <w:rPr>
                <w:b w:val="0"/>
                <w:bCs w:val="0"/>
                <w:i/>
                <w:iCs/>
                <w:sz w:val="22"/>
                <w:szCs w:val="22"/>
              </w:rPr>
              <w:t>Saccharina latissima</w:t>
            </w:r>
          </w:p>
        </w:tc>
        <w:tc>
          <w:tcPr>
            <w:tcW w:w="1440" w:type="dxa"/>
            <w:tcBorders>
              <w:top w:val="single" w:sz="12" w:space="0" w:color="0D0D0D" w:themeColor="text1" w:themeTint="F2"/>
            </w:tcBorders>
            <w:shd w:val="clear" w:color="auto" w:fill="D9D9D9" w:themeFill="background1" w:themeFillShade="D9"/>
            <w:vAlign w:val="center"/>
          </w:tcPr>
          <w:p w14:paraId="2BA9CDAF"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800" w:type="dxa"/>
            <w:tcBorders>
              <w:top w:val="single" w:sz="12" w:space="0" w:color="0D0D0D" w:themeColor="text1" w:themeTint="F2"/>
            </w:tcBorders>
            <w:shd w:val="clear" w:color="auto" w:fill="D9D9D9" w:themeFill="background1" w:themeFillShade="D9"/>
            <w:vAlign w:val="center"/>
          </w:tcPr>
          <w:p w14:paraId="2C447E2E"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260" w:type="dxa"/>
            <w:tcBorders>
              <w:top w:val="single" w:sz="12" w:space="0" w:color="0D0D0D" w:themeColor="text1" w:themeTint="F2"/>
            </w:tcBorders>
            <w:shd w:val="clear" w:color="auto" w:fill="D9D9D9" w:themeFill="background1" w:themeFillShade="D9"/>
            <w:vAlign w:val="center"/>
          </w:tcPr>
          <w:p w14:paraId="5AA968C0"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530" w:type="dxa"/>
            <w:tcBorders>
              <w:top w:val="single" w:sz="12" w:space="0" w:color="0D0D0D" w:themeColor="text1" w:themeTint="F2"/>
            </w:tcBorders>
            <w:shd w:val="clear" w:color="auto" w:fill="D9D9D9" w:themeFill="background1" w:themeFillShade="D9"/>
            <w:vAlign w:val="center"/>
          </w:tcPr>
          <w:p w14:paraId="302476E0"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710" w:type="dxa"/>
            <w:tcBorders>
              <w:top w:val="single" w:sz="12" w:space="0" w:color="0D0D0D" w:themeColor="text1" w:themeTint="F2"/>
            </w:tcBorders>
            <w:shd w:val="clear" w:color="auto" w:fill="D9D9D9" w:themeFill="background1" w:themeFillShade="D9"/>
            <w:vAlign w:val="center"/>
          </w:tcPr>
          <w:p w14:paraId="01F14326"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710" w:type="dxa"/>
            <w:tcBorders>
              <w:top w:val="single" w:sz="12" w:space="0" w:color="0D0D0D" w:themeColor="text1" w:themeTint="F2"/>
            </w:tcBorders>
            <w:shd w:val="clear" w:color="auto" w:fill="D9D9D9" w:themeFill="background1" w:themeFillShade="D9"/>
            <w:vAlign w:val="center"/>
          </w:tcPr>
          <w:p w14:paraId="1FA9BF21"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440" w:type="dxa"/>
            <w:tcBorders>
              <w:top w:val="single" w:sz="12" w:space="0" w:color="0D0D0D" w:themeColor="text1" w:themeTint="F2"/>
            </w:tcBorders>
            <w:shd w:val="clear" w:color="auto" w:fill="D9D9D9" w:themeFill="background1" w:themeFillShade="D9"/>
            <w:vAlign w:val="center"/>
          </w:tcPr>
          <w:p w14:paraId="4E1622EA"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Not detected</w:t>
            </w:r>
          </w:p>
        </w:tc>
        <w:tc>
          <w:tcPr>
            <w:tcW w:w="1535" w:type="dxa"/>
            <w:tcBorders>
              <w:top w:val="single" w:sz="12" w:space="0" w:color="0D0D0D" w:themeColor="text1" w:themeTint="F2"/>
              <w:right w:val="single" w:sz="12" w:space="0" w:color="0D0D0D" w:themeColor="text1" w:themeTint="F2"/>
            </w:tcBorders>
            <w:shd w:val="clear" w:color="auto" w:fill="D9D9D9" w:themeFill="background1" w:themeFillShade="D9"/>
            <w:vAlign w:val="center"/>
          </w:tcPr>
          <w:p w14:paraId="42465841"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Burkin &amp; Kononenko, 2023</w:t>
            </w:r>
          </w:p>
        </w:tc>
      </w:tr>
      <w:tr w:rsidR="00ED5882" w:rsidRPr="00822EC3" w14:paraId="012DDB2F" w14:textId="77777777" w:rsidTr="00D27879">
        <w:tc>
          <w:tcPr>
            <w:cnfStyle w:val="001000000000" w:firstRow="0" w:lastRow="0" w:firstColumn="1" w:lastColumn="0" w:oddVBand="0" w:evenVBand="0" w:oddHBand="0" w:evenHBand="0" w:firstRowFirstColumn="0" w:firstRowLastColumn="0" w:lastRowFirstColumn="0" w:lastRowLastColumn="0"/>
            <w:tcW w:w="2065" w:type="dxa"/>
            <w:tcBorders>
              <w:left w:val="single" w:sz="12" w:space="0" w:color="0D0D0D" w:themeColor="text1" w:themeTint="F2"/>
              <w:bottom w:val="single" w:sz="12" w:space="0" w:color="0D0D0D" w:themeColor="text1" w:themeTint="F2"/>
            </w:tcBorders>
            <w:vAlign w:val="center"/>
          </w:tcPr>
          <w:p w14:paraId="6BF8F1EF" w14:textId="77777777" w:rsidR="00CC2218" w:rsidRPr="00ED5882" w:rsidRDefault="00CC2218" w:rsidP="000B3003">
            <w:pPr>
              <w:rPr>
                <w:b w:val="0"/>
                <w:bCs w:val="0"/>
                <w:i/>
                <w:iCs/>
                <w:sz w:val="22"/>
                <w:szCs w:val="22"/>
              </w:rPr>
            </w:pPr>
            <w:r w:rsidRPr="00ED5882">
              <w:rPr>
                <w:b w:val="0"/>
                <w:bCs w:val="0"/>
                <w:i/>
                <w:iCs/>
                <w:sz w:val="22"/>
                <w:szCs w:val="22"/>
              </w:rPr>
              <w:t>Saccharina latissima</w:t>
            </w:r>
          </w:p>
        </w:tc>
        <w:tc>
          <w:tcPr>
            <w:tcW w:w="1440" w:type="dxa"/>
            <w:tcBorders>
              <w:bottom w:val="single" w:sz="12" w:space="0" w:color="0D0D0D" w:themeColor="text1" w:themeTint="F2"/>
            </w:tcBorders>
            <w:vAlign w:val="center"/>
          </w:tcPr>
          <w:p w14:paraId="4866405B"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800" w:type="dxa"/>
            <w:tcBorders>
              <w:bottom w:val="single" w:sz="12" w:space="0" w:color="0D0D0D" w:themeColor="text1" w:themeTint="F2"/>
            </w:tcBorders>
            <w:vAlign w:val="center"/>
          </w:tcPr>
          <w:p w14:paraId="15BFB781"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260" w:type="dxa"/>
            <w:tcBorders>
              <w:bottom w:val="single" w:sz="12" w:space="0" w:color="0D0D0D" w:themeColor="text1" w:themeTint="F2"/>
            </w:tcBorders>
            <w:vAlign w:val="center"/>
          </w:tcPr>
          <w:p w14:paraId="76EF9E89"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530" w:type="dxa"/>
            <w:tcBorders>
              <w:bottom w:val="single" w:sz="12" w:space="0" w:color="0D0D0D" w:themeColor="text1" w:themeTint="F2"/>
            </w:tcBorders>
            <w:vAlign w:val="center"/>
          </w:tcPr>
          <w:p w14:paraId="61A1E355" w14:textId="77777777" w:rsidR="00CC2218" w:rsidRPr="00822EC3" w:rsidRDefault="00CC2218" w:rsidP="000B300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710" w:type="dxa"/>
            <w:tcBorders>
              <w:bottom w:val="single" w:sz="12" w:space="0" w:color="0D0D0D" w:themeColor="text1" w:themeTint="F2"/>
            </w:tcBorders>
            <w:vAlign w:val="center"/>
          </w:tcPr>
          <w:p w14:paraId="1A9B0D92"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710" w:type="dxa"/>
            <w:tcBorders>
              <w:bottom w:val="single" w:sz="12" w:space="0" w:color="0D0D0D" w:themeColor="text1" w:themeTint="F2"/>
            </w:tcBorders>
            <w:vAlign w:val="center"/>
          </w:tcPr>
          <w:p w14:paraId="49645DC6"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440" w:type="dxa"/>
            <w:tcBorders>
              <w:bottom w:val="single" w:sz="12" w:space="0" w:color="0D0D0D" w:themeColor="text1" w:themeTint="F2"/>
            </w:tcBorders>
            <w:vAlign w:val="center"/>
          </w:tcPr>
          <w:p w14:paraId="2A6E5690"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Not detected</w:t>
            </w:r>
          </w:p>
        </w:tc>
        <w:tc>
          <w:tcPr>
            <w:tcW w:w="1535" w:type="dxa"/>
            <w:tcBorders>
              <w:bottom w:val="single" w:sz="12" w:space="0" w:color="0D0D0D" w:themeColor="text1" w:themeTint="F2"/>
              <w:right w:val="single" w:sz="12" w:space="0" w:color="0D0D0D" w:themeColor="text1" w:themeTint="F2"/>
            </w:tcBorders>
            <w:vAlign w:val="center"/>
          </w:tcPr>
          <w:p w14:paraId="65FB9FC9" w14:textId="77777777" w:rsidR="00CC2218" w:rsidRPr="00822EC3" w:rsidRDefault="00CC2218" w:rsidP="000B3003">
            <w:pPr>
              <w:cnfStyle w:val="000000000000" w:firstRow="0" w:lastRow="0" w:firstColumn="0" w:lastColumn="0" w:oddVBand="0" w:evenVBand="0" w:oddHBand="0" w:evenHBand="0" w:firstRowFirstColumn="0" w:firstRowLastColumn="0" w:lastRowFirstColumn="0" w:lastRowLastColumn="0"/>
              <w:rPr>
                <w:sz w:val="22"/>
                <w:szCs w:val="22"/>
              </w:rPr>
            </w:pPr>
            <w:r w:rsidRPr="00822EC3">
              <w:rPr>
                <w:sz w:val="22"/>
                <w:szCs w:val="22"/>
              </w:rPr>
              <w:t>Kononenko et al., 2021</w:t>
            </w:r>
          </w:p>
        </w:tc>
      </w:tr>
      <w:tr w:rsidR="000B3003" w:rsidRPr="00822EC3" w14:paraId="6E8CD9DF" w14:textId="77777777" w:rsidTr="00D27879">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65" w:type="dxa"/>
            <w:tcBorders>
              <w:top w:val="single" w:sz="12" w:space="0" w:color="0D0D0D" w:themeColor="text1" w:themeTint="F2"/>
              <w:left w:val="single" w:sz="12" w:space="0" w:color="0D0D0D" w:themeColor="text1" w:themeTint="F2"/>
              <w:bottom w:val="single" w:sz="12" w:space="0" w:color="0D0D0D" w:themeColor="text1" w:themeTint="F2"/>
            </w:tcBorders>
            <w:shd w:val="clear" w:color="auto" w:fill="D9D9D9" w:themeFill="background1" w:themeFillShade="D9"/>
            <w:vAlign w:val="center"/>
          </w:tcPr>
          <w:p w14:paraId="573E4289" w14:textId="77777777" w:rsidR="00CC2218" w:rsidRPr="00ED5882" w:rsidRDefault="00CC2218" w:rsidP="000B3003">
            <w:pPr>
              <w:rPr>
                <w:b w:val="0"/>
                <w:bCs w:val="0"/>
                <w:i/>
                <w:iCs/>
                <w:sz w:val="22"/>
                <w:szCs w:val="22"/>
              </w:rPr>
            </w:pPr>
            <w:r w:rsidRPr="00ED5882">
              <w:rPr>
                <w:b w:val="0"/>
                <w:bCs w:val="0"/>
                <w:i/>
                <w:iCs/>
                <w:sz w:val="22"/>
                <w:szCs w:val="22"/>
              </w:rPr>
              <w:t>Ulva rigida</w:t>
            </w:r>
          </w:p>
        </w:tc>
        <w:tc>
          <w:tcPr>
            <w:tcW w:w="144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0A8B5EE9"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80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1FC4C71F"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26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5B17A5C2"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53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353EF7D7"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71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4BB6D051"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71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3F628BC4" w14:textId="77777777" w:rsidR="00CC2218" w:rsidRPr="00822EC3" w:rsidRDefault="00CC2218" w:rsidP="000B300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440" w:type="dxa"/>
            <w:tcBorders>
              <w:top w:val="single" w:sz="12" w:space="0" w:color="0D0D0D" w:themeColor="text1" w:themeTint="F2"/>
              <w:bottom w:val="single" w:sz="12" w:space="0" w:color="0D0D0D" w:themeColor="text1" w:themeTint="F2"/>
            </w:tcBorders>
            <w:shd w:val="clear" w:color="auto" w:fill="D9D9D9" w:themeFill="background1" w:themeFillShade="D9"/>
            <w:vAlign w:val="center"/>
          </w:tcPr>
          <w:p w14:paraId="4298BDF6"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i/>
                <w:iCs/>
                <w:sz w:val="22"/>
                <w:szCs w:val="22"/>
              </w:rPr>
            </w:pPr>
            <w:r w:rsidRPr="00822EC3">
              <w:rPr>
                <w:sz w:val="22"/>
                <w:szCs w:val="22"/>
              </w:rPr>
              <w:t xml:space="preserve">Viable </w:t>
            </w:r>
            <w:r w:rsidRPr="00822EC3">
              <w:rPr>
                <w:i/>
                <w:iCs/>
                <w:sz w:val="22"/>
                <w:szCs w:val="22"/>
              </w:rPr>
              <w:t>F. oxysporum</w:t>
            </w:r>
          </w:p>
        </w:tc>
        <w:tc>
          <w:tcPr>
            <w:tcW w:w="1535" w:type="dxa"/>
            <w:tcBorders>
              <w:top w:val="single" w:sz="12" w:space="0" w:color="0D0D0D" w:themeColor="text1" w:themeTint="F2"/>
              <w:bottom w:val="single" w:sz="12" w:space="0" w:color="0D0D0D" w:themeColor="text1" w:themeTint="F2"/>
              <w:right w:val="single" w:sz="12" w:space="0" w:color="0D0D0D" w:themeColor="text1" w:themeTint="F2"/>
            </w:tcBorders>
            <w:shd w:val="clear" w:color="auto" w:fill="D9D9D9" w:themeFill="background1" w:themeFillShade="D9"/>
            <w:vAlign w:val="center"/>
          </w:tcPr>
          <w:p w14:paraId="78BC6573" w14:textId="77777777" w:rsidR="00CC2218" w:rsidRPr="00822EC3" w:rsidRDefault="00CC2218" w:rsidP="000B3003">
            <w:pPr>
              <w:cnfStyle w:val="000000100000" w:firstRow="0" w:lastRow="0" w:firstColumn="0" w:lastColumn="0" w:oddVBand="0" w:evenVBand="0" w:oddHBand="1" w:evenHBand="0" w:firstRowFirstColumn="0" w:firstRowLastColumn="0" w:lastRowFirstColumn="0" w:lastRowLastColumn="0"/>
              <w:rPr>
                <w:sz w:val="22"/>
                <w:szCs w:val="22"/>
              </w:rPr>
            </w:pPr>
            <w:r w:rsidRPr="00822EC3">
              <w:rPr>
                <w:sz w:val="22"/>
                <w:szCs w:val="22"/>
              </w:rPr>
              <w:t>Guimarães, 2021</w:t>
            </w:r>
          </w:p>
        </w:tc>
      </w:tr>
    </w:tbl>
    <w:p w14:paraId="7FA5A57B" w14:textId="6F856A4B" w:rsidR="00045395" w:rsidRDefault="00045395" w:rsidP="00C54E07">
      <w:pPr>
        <w:pStyle w:val="Caption"/>
      </w:pPr>
      <w:r w:rsidRPr="00045395">
        <w:rPr>
          <w:b/>
          <w:bCs/>
        </w:rPr>
        <w:lastRenderedPageBreak/>
        <w:t>Table C-</w:t>
      </w:r>
      <w:r w:rsidRPr="00045395">
        <w:rPr>
          <w:b/>
          <w:bCs/>
        </w:rPr>
        <w:fldChar w:fldCharType="begin"/>
      </w:r>
      <w:r w:rsidRPr="00045395">
        <w:rPr>
          <w:b/>
          <w:bCs/>
        </w:rPr>
        <w:instrText xml:space="preserve"> SEQ Table_C- \* ARABIC </w:instrText>
      </w:r>
      <w:r w:rsidRPr="00045395">
        <w:rPr>
          <w:b/>
          <w:bCs/>
        </w:rPr>
        <w:fldChar w:fldCharType="separate"/>
      </w:r>
      <w:r w:rsidR="00A042AD">
        <w:rPr>
          <w:b/>
          <w:bCs/>
          <w:noProof/>
        </w:rPr>
        <w:t>3</w:t>
      </w:r>
      <w:r w:rsidRPr="00045395">
        <w:rPr>
          <w:b/>
          <w:bCs/>
        </w:rPr>
        <w:fldChar w:fldCharType="end"/>
      </w:r>
      <w:r>
        <w:t xml:space="preserve">: </w:t>
      </w:r>
      <w:r w:rsidR="002D13BE">
        <w:t>Mycot</w:t>
      </w:r>
      <w:r w:rsidRPr="00132FE2">
        <w:t>oxins and associated producing fungal species.</w:t>
      </w:r>
    </w:p>
    <w:tbl>
      <w:tblPr>
        <w:tblStyle w:val="TableGrid"/>
        <w:tblW w:w="14575" w:type="dxa"/>
        <w:tblLook w:val="04A0" w:firstRow="1" w:lastRow="0" w:firstColumn="1" w:lastColumn="0" w:noHBand="0" w:noVBand="1"/>
      </w:tblPr>
      <w:tblGrid>
        <w:gridCol w:w="3145"/>
        <w:gridCol w:w="11430"/>
      </w:tblGrid>
      <w:tr w:rsidR="00882CA8" w14:paraId="6761922E" w14:textId="77777777" w:rsidTr="00D27879">
        <w:trPr>
          <w:trHeight w:val="458"/>
        </w:trPr>
        <w:tc>
          <w:tcPr>
            <w:tcW w:w="3145" w:type="dxa"/>
            <w:tcBorders>
              <w:top w:val="single" w:sz="12" w:space="0" w:color="0D0D0D" w:themeColor="text1" w:themeTint="F2"/>
              <w:left w:val="single" w:sz="12" w:space="0" w:color="0D0D0D" w:themeColor="text1" w:themeTint="F2"/>
              <w:bottom w:val="single" w:sz="12" w:space="0" w:color="0D0D0D" w:themeColor="text1" w:themeTint="F2"/>
            </w:tcBorders>
            <w:shd w:val="clear" w:color="auto" w:fill="28666E"/>
            <w:vAlign w:val="center"/>
          </w:tcPr>
          <w:p w14:paraId="71AE46DA" w14:textId="4EB51630" w:rsidR="00882CA8" w:rsidRPr="00F9694B" w:rsidRDefault="00882CA8" w:rsidP="00F9694B">
            <w:pPr>
              <w:ind w:right="-270"/>
              <w:rPr>
                <w:b/>
                <w:bCs/>
                <w:color w:val="FFFFFF" w:themeColor="background1"/>
              </w:rPr>
            </w:pPr>
            <w:r w:rsidRPr="00F9694B">
              <w:rPr>
                <w:b/>
                <w:bCs/>
                <w:color w:val="FFFFFF" w:themeColor="background1"/>
              </w:rPr>
              <w:t>Toxin</w:t>
            </w:r>
          </w:p>
        </w:tc>
        <w:tc>
          <w:tcPr>
            <w:tcW w:w="11430" w:type="dxa"/>
            <w:tcBorders>
              <w:top w:val="single" w:sz="12" w:space="0" w:color="0D0D0D" w:themeColor="text1" w:themeTint="F2"/>
              <w:bottom w:val="single" w:sz="12" w:space="0" w:color="0D0D0D" w:themeColor="text1" w:themeTint="F2"/>
              <w:right w:val="single" w:sz="12" w:space="0" w:color="0D0D0D" w:themeColor="text1" w:themeTint="F2"/>
            </w:tcBorders>
            <w:shd w:val="clear" w:color="auto" w:fill="28666E"/>
            <w:vAlign w:val="center"/>
          </w:tcPr>
          <w:p w14:paraId="45E117F9" w14:textId="11562EDC" w:rsidR="00882CA8" w:rsidRPr="00F9694B" w:rsidRDefault="00882CA8" w:rsidP="00F9694B">
            <w:pPr>
              <w:ind w:right="-270"/>
              <w:rPr>
                <w:b/>
                <w:bCs/>
                <w:color w:val="FFFFFF" w:themeColor="background1"/>
              </w:rPr>
            </w:pPr>
            <w:r w:rsidRPr="00F9694B">
              <w:rPr>
                <w:b/>
                <w:bCs/>
                <w:color w:val="FFFFFF" w:themeColor="background1"/>
              </w:rPr>
              <w:t>Producing Fungal Species</w:t>
            </w:r>
          </w:p>
        </w:tc>
      </w:tr>
      <w:tr w:rsidR="00882CA8" w14:paraId="302218F6" w14:textId="77777777" w:rsidTr="00D27879">
        <w:trPr>
          <w:trHeight w:val="467"/>
        </w:trPr>
        <w:tc>
          <w:tcPr>
            <w:tcW w:w="3145" w:type="dxa"/>
            <w:tcBorders>
              <w:top w:val="single" w:sz="12" w:space="0" w:color="0D0D0D" w:themeColor="text1" w:themeTint="F2"/>
              <w:left w:val="single" w:sz="12" w:space="0" w:color="0D0D0D" w:themeColor="text1" w:themeTint="F2"/>
            </w:tcBorders>
            <w:shd w:val="clear" w:color="auto" w:fill="D9D9D9" w:themeFill="background1" w:themeFillShade="D9"/>
          </w:tcPr>
          <w:p w14:paraId="2531F00A" w14:textId="0DFCE7D7" w:rsidR="00882CA8" w:rsidRPr="00882CA8" w:rsidRDefault="00882CA8" w:rsidP="00CC2218">
            <w:pPr>
              <w:ind w:right="-270"/>
            </w:pPr>
            <w:r w:rsidRPr="00882CA8">
              <w:t>Aflatoxin</w:t>
            </w:r>
          </w:p>
        </w:tc>
        <w:tc>
          <w:tcPr>
            <w:tcW w:w="11430" w:type="dxa"/>
            <w:tcBorders>
              <w:top w:val="single" w:sz="12" w:space="0" w:color="0D0D0D" w:themeColor="text1" w:themeTint="F2"/>
              <w:right w:val="single" w:sz="12" w:space="0" w:color="0D0D0D" w:themeColor="text1" w:themeTint="F2"/>
            </w:tcBorders>
            <w:shd w:val="clear" w:color="auto" w:fill="D9D9D9" w:themeFill="background1" w:themeFillShade="D9"/>
          </w:tcPr>
          <w:p w14:paraId="07D276BE" w14:textId="511FBFD1" w:rsidR="00882CA8" w:rsidRPr="00882CA8" w:rsidRDefault="00882CA8" w:rsidP="00CC2218">
            <w:pPr>
              <w:ind w:right="-270"/>
            </w:pPr>
            <w:r>
              <w:rPr>
                <w:i/>
                <w:iCs/>
              </w:rPr>
              <w:t>Aspergillus</w:t>
            </w:r>
            <w:r>
              <w:t xml:space="preserve"> species:</w:t>
            </w:r>
            <w:r>
              <w:rPr>
                <w:i/>
                <w:iCs/>
              </w:rPr>
              <w:t xml:space="preserve"> Aspergillus flavus; Aspergillus parasiticus</w:t>
            </w:r>
          </w:p>
        </w:tc>
      </w:tr>
      <w:tr w:rsidR="00882CA8" w14:paraId="0313E73D" w14:textId="77777777" w:rsidTr="00D27879">
        <w:trPr>
          <w:trHeight w:val="701"/>
        </w:trPr>
        <w:tc>
          <w:tcPr>
            <w:tcW w:w="3145" w:type="dxa"/>
            <w:tcBorders>
              <w:left w:val="single" w:sz="12" w:space="0" w:color="0D0D0D" w:themeColor="text1" w:themeTint="F2"/>
            </w:tcBorders>
          </w:tcPr>
          <w:p w14:paraId="27246937" w14:textId="4E9109F4" w:rsidR="00882CA8" w:rsidRPr="00882CA8" w:rsidRDefault="00882CA8" w:rsidP="00CC2218">
            <w:pPr>
              <w:ind w:right="-270"/>
            </w:pPr>
            <w:r>
              <w:t>Deoxynivalenol</w:t>
            </w:r>
          </w:p>
        </w:tc>
        <w:tc>
          <w:tcPr>
            <w:tcW w:w="11430" w:type="dxa"/>
            <w:tcBorders>
              <w:right w:val="single" w:sz="12" w:space="0" w:color="0D0D0D" w:themeColor="text1" w:themeTint="F2"/>
            </w:tcBorders>
          </w:tcPr>
          <w:p w14:paraId="3AE52046" w14:textId="42D12B59" w:rsidR="00882CA8" w:rsidRPr="00882CA8" w:rsidRDefault="00882CA8" w:rsidP="00CC2218">
            <w:pPr>
              <w:ind w:right="-270"/>
              <w:rPr>
                <w:i/>
                <w:iCs/>
              </w:rPr>
            </w:pPr>
            <w:r>
              <w:rPr>
                <w:i/>
                <w:iCs/>
              </w:rPr>
              <w:t>Fusarium</w:t>
            </w:r>
            <w:r>
              <w:t xml:space="preserve"> species: </w:t>
            </w:r>
            <w:r w:rsidR="001100BF">
              <w:rPr>
                <w:i/>
                <w:iCs/>
              </w:rPr>
              <w:t xml:space="preserve">Fusarium crookwellense; Fusarium culmorum; </w:t>
            </w:r>
            <w:r>
              <w:rPr>
                <w:i/>
                <w:iCs/>
              </w:rPr>
              <w:t>Fusarium graminareum; Fusarium pseudograminareum</w:t>
            </w:r>
          </w:p>
        </w:tc>
      </w:tr>
      <w:tr w:rsidR="00882CA8" w14:paraId="46D3038F" w14:textId="77777777" w:rsidTr="00D27879">
        <w:trPr>
          <w:trHeight w:val="467"/>
        </w:trPr>
        <w:tc>
          <w:tcPr>
            <w:tcW w:w="3145" w:type="dxa"/>
            <w:tcBorders>
              <w:left w:val="single" w:sz="12" w:space="0" w:color="0D0D0D" w:themeColor="text1" w:themeTint="F2"/>
            </w:tcBorders>
            <w:shd w:val="clear" w:color="auto" w:fill="D9D9D9" w:themeFill="background1" w:themeFillShade="D9"/>
          </w:tcPr>
          <w:p w14:paraId="2D9ABF6A" w14:textId="0AF3425E" w:rsidR="00882CA8" w:rsidRPr="00882CA8" w:rsidRDefault="00882CA8" w:rsidP="00CC2218">
            <w:pPr>
              <w:ind w:right="-270"/>
            </w:pPr>
            <w:r>
              <w:t>Fumonisin</w:t>
            </w:r>
          </w:p>
        </w:tc>
        <w:tc>
          <w:tcPr>
            <w:tcW w:w="11430" w:type="dxa"/>
            <w:tcBorders>
              <w:right w:val="single" w:sz="12" w:space="0" w:color="0D0D0D" w:themeColor="text1" w:themeTint="F2"/>
            </w:tcBorders>
            <w:shd w:val="clear" w:color="auto" w:fill="D9D9D9" w:themeFill="background1" w:themeFillShade="D9"/>
          </w:tcPr>
          <w:p w14:paraId="24AE1E74" w14:textId="356C85B1" w:rsidR="00882CA8" w:rsidRPr="00882CA8" w:rsidRDefault="00882CA8" w:rsidP="00CC2218">
            <w:pPr>
              <w:ind w:right="-270"/>
              <w:rPr>
                <w:i/>
                <w:iCs/>
              </w:rPr>
            </w:pPr>
            <w:r>
              <w:rPr>
                <w:i/>
                <w:iCs/>
              </w:rPr>
              <w:t>Aspergillus nig</w:t>
            </w:r>
            <w:r w:rsidR="00C51CD8">
              <w:rPr>
                <w:i/>
                <w:iCs/>
              </w:rPr>
              <w:t>e</w:t>
            </w:r>
            <w:r>
              <w:rPr>
                <w:i/>
                <w:iCs/>
              </w:rPr>
              <w:t>r; Fusarium</w:t>
            </w:r>
            <w:r>
              <w:t xml:space="preserve"> species: </w:t>
            </w:r>
            <w:r w:rsidR="001100BF">
              <w:rPr>
                <w:i/>
                <w:iCs/>
              </w:rPr>
              <w:t xml:space="preserve">Fusarium proliferatum; </w:t>
            </w:r>
            <w:r>
              <w:rPr>
                <w:i/>
                <w:iCs/>
              </w:rPr>
              <w:t>Fusarium verticilloides</w:t>
            </w:r>
          </w:p>
        </w:tc>
      </w:tr>
      <w:tr w:rsidR="00882CA8" w14:paraId="35B2CB2E" w14:textId="77777777" w:rsidTr="00D27879">
        <w:trPr>
          <w:trHeight w:val="440"/>
        </w:trPr>
        <w:tc>
          <w:tcPr>
            <w:tcW w:w="3145" w:type="dxa"/>
            <w:tcBorders>
              <w:left w:val="single" w:sz="12" w:space="0" w:color="0D0D0D" w:themeColor="text1" w:themeTint="F2"/>
            </w:tcBorders>
          </w:tcPr>
          <w:p w14:paraId="283C605D" w14:textId="780D5531" w:rsidR="00882CA8" w:rsidRPr="00882CA8" w:rsidRDefault="00882CA8" w:rsidP="00CC2218">
            <w:pPr>
              <w:ind w:right="-270"/>
            </w:pPr>
            <w:r>
              <w:t>Patulin</w:t>
            </w:r>
          </w:p>
        </w:tc>
        <w:tc>
          <w:tcPr>
            <w:tcW w:w="11430" w:type="dxa"/>
            <w:tcBorders>
              <w:right w:val="single" w:sz="12" w:space="0" w:color="0D0D0D" w:themeColor="text1" w:themeTint="F2"/>
            </w:tcBorders>
          </w:tcPr>
          <w:p w14:paraId="2F499A57" w14:textId="2E51FA86" w:rsidR="00882CA8" w:rsidRPr="00882CA8" w:rsidRDefault="00882CA8" w:rsidP="00CC2218">
            <w:pPr>
              <w:ind w:right="-270"/>
              <w:rPr>
                <w:i/>
                <w:iCs/>
              </w:rPr>
            </w:pPr>
            <w:r>
              <w:rPr>
                <w:i/>
                <w:iCs/>
              </w:rPr>
              <w:t>Aspergillus</w:t>
            </w:r>
            <w:r>
              <w:t xml:space="preserve"> species; </w:t>
            </w:r>
            <w:r w:rsidRPr="00882CA8">
              <w:rPr>
                <w:i/>
                <w:iCs/>
              </w:rPr>
              <w:t>Byssochlamys</w:t>
            </w:r>
            <w:r>
              <w:rPr>
                <w:i/>
                <w:iCs/>
              </w:rPr>
              <w:t xml:space="preserve"> </w:t>
            </w:r>
            <w:r>
              <w:t xml:space="preserve">species; </w:t>
            </w:r>
            <w:r w:rsidRPr="00882CA8">
              <w:rPr>
                <w:i/>
                <w:iCs/>
              </w:rPr>
              <w:t>Penicillium</w:t>
            </w:r>
            <w:r>
              <w:t xml:space="preserve"> species: </w:t>
            </w:r>
            <w:r>
              <w:rPr>
                <w:i/>
                <w:iCs/>
              </w:rPr>
              <w:t>Penicillium expansum</w:t>
            </w:r>
          </w:p>
        </w:tc>
      </w:tr>
      <w:tr w:rsidR="00882CA8" w14:paraId="1A8B8B0D" w14:textId="77777777" w:rsidTr="00D27879">
        <w:trPr>
          <w:trHeight w:val="674"/>
        </w:trPr>
        <w:tc>
          <w:tcPr>
            <w:tcW w:w="3145" w:type="dxa"/>
            <w:tcBorders>
              <w:left w:val="single" w:sz="12" w:space="0" w:color="0D0D0D" w:themeColor="text1" w:themeTint="F2"/>
            </w:tcBorders>
            <w:shd w:val="clear" w:color="auto" w:fill="D9D9D9" w:themeFill="background1" w:themeFillShade="D9"/>
          </w:tcPr>
          <w:p w14:paraId="272979CE" w14:textId="5E05F495" w:rsidR="00882CA8" w:rsidRPr="00882CA8" w:rsidRDefault="00882CA8" w:rsidP="00CC2218">
            <w:pPr>
              <w:ind w:right="-270"/>
            </w:pPr>
            <w:r>
              <w:t>Ocratoxin A</w:t>
            </w:r>
          </w:p>
        </w:tc>
        <w:tc>
          <w:tcPr>
            <w:tcW w:w="11430" w:type="dxa"/>
            <w:tcBorders>
              <w:right w:val="single" w:sz="12" w:space="0" w:color="0D0D0D" w:themeColor="text1" w:themeTint="F2"/>
            </w:tcBorders>
            <w:shd w:val="clear" w:color="auto" w:fill="D9D9D9" w:themeFill="background1" w:themeFillShade="D9"/>
          </w:tcPr>
          <w:p w14:paraId="7D32A25B" w14:textId="34E12C50" w:rsidR="00882CA8" w:rsidRPr="00882CA8" w:rsidRDefault="00882CA8" w:rsidP="00CC2218">
            <w:pPr>
              <w:ind w:right="-270"/>
              <w:rPr>
                <w:i/>
                <w:iCs/>
              </w:rPr>
            </w:pPr>
            <w:r>
              <w:rPr>
                <w:i/>
                <w:iCs/>
              </w:rPr>
              <w:t>Aspergillus</w:t>
            </w:r>
            <w:r>
              <w:t xml:space="preserve"> species:</w:t>
            </w:r>
            <w:r>
              <w:rPr>
                <w:i/>
                <w:iCs/>
              </w:rPr>
              <w:t xml:space="preserve"> Aspergillus carbonarius; Aspergillus nig</w:t>
            </w:r>
            <w:r w:rsidR="00C51CD8">
              <w:rPr>
                <w:i/>
                <w:iCs/>
              </w:rPr>
              <w:t>e</w:t>
            </w:r>
            <w:r>
              <w:rPr>
                <w:i/>
                <w:iCs/>
              </w:rPr>
              <w:t>r; Aspergillus ochraceus; Penicillium</w:t>
            </w:r>
            <w:r>
              <w:t xml:space="preserve"> species: </w:t>
            </w:r>
            <w:r>
              <w:rPr>
                <w:i/>
                <w:iCs/>
              </w:rPr>
              <w:t>Penicillium nordicum</w:t>
            </w:r>
            <w:r w:rsidR="001100BF">
              <w:rPr>
                <w:i/>
                <w:iCs/>
              </w:rPr>
              <w:t>; Penicillium verrucosum</w:t>
            </w:r>
          </w:p>
        </w:tc>
      </w:tr>
      <w:tr w:rsidR="00882CA8" w14:paraId="041C1543" w14:textId="77777777" w:rsidTr="00D27879">
        <w:trPr>
          <w:trHeight w:val="710"/>
        </w:trPr>
        <w:tc>
          <w:tcPr>
            <w:tcW w:w="3145" w:type="dxa"/>
            <w:tcBorders>
              <w:left w:val="single" w:sz="12" w:space="0" w:color="0D0D0D" w:themeColor="text1" w:themeTint="F2"/>
            </w:tcBorders>
          </w:tcPr>
          <w:p w14:paraId="76622D4A" w14:textId="1E43D52B" w:rsidR="00882CA8" w:rsidRPr="00882CA8" w:rsidRDefault="00882CA8" w:rsidP="00CC2218">
            <w:pPr>
              <w:ind w:right="-270"/>
            </w:pPr>
            <w:r>
              <w:t>T-2 Toxin</w:t>
            </w:r>
          </w:p>
        </w:tc>
        <w:tc>
          <w:tcPr>
            <w:tcW w:w="11430" w:type="dxa"/>
            <w:tcBorders>
              <w:right w:val="single" w:sz="12" w:space="0" w:color="0D0D0D" w:themeColor="text1" w:themeTint="F2"/>
            </w:tcBorders>
          </w:tcPr>
          <w:p w14:paraId="2F70593C" w14:textId="1E0992E2" w:rsidR="00882CA8" w:rsidRPr="00882CA8" w:rsidRDefault="00882CA8" w:rsidP="00CC2218">
            <w:pPr>
              <w:ind w:right="-270"/>
            </w:pPr>
            <w:r>
              <w:rPr>
                <w:i/>
                <w:iCs/>
              </w:rPr>
              <w:t xml:space="preserve">Fusarium </w:t>
            </w:r>
            <w:r>
              <w:t xml:space="preserve">species: </w:t>
            </w:r>
            <w:r w:rsidR="001100BF">
              <w:rPr>
                <w:i/>
                <w:iCs/>
              </w:rPr>
              <w:t xml:space="preserve">Fusarium acuminatum </w:t>
            </w:r>
            <w:r>
              <w:rPr>
                <w:i/>
                <w:iCs/>
              </w:rPr>
              <w:t xml:space="preserve">; Fusarium poae; </w:t>
            </w:r>
            <w:r w:rsidR="001100BF">
              <w:rPr>
                <w:i/>
                <w:iCs/>
              </w:rPr>
              <w:t xml:space="preserve">Fusarium sporotrichioides; </w:t>
            </w:r>
            <w:r>
              <w:rPr>
                <w:i/>
                <w:iCs/>
              </w:rPr>
              <w:t xml:space="preserve">Myrothecium </w:t>
            </w:r>
            <w:r>
              <w:t xml:space="preserve">species; </w:t>
            </w:r>
            <w:r>
              <w:rPr>
                <w:i/>
                <w:iCs/>
              </w:rPr>
              <w:t>Stachybotrys</w:t>
            </w:r>
            <w:r>
              <w:t xml:space="preserve"> species</w:t>
            </w:r>
          </w:p>
        </w:tc>
      </w:tr>
      <w:tr w:rsidR="00882CA8" w14:paraId="6E15D3DF" w14:textId="77777777" w:rsidTr="00D27879">
        <w:trPr>
          <w:trHeight w:val="1070"/>
        </w:trPr>
        <w:tc>
          <w:tcPr>
            <w:tcW w:w="3145" w:type="dxa"/>
            <w:tcBorders>
              <w:left w:val="single" w:sz="12" w:space="0" w:color="0D0D0D" w:themeColor="text1" w:themeTint="F2"/>
              <w:bottom w:val="single" w:sz="12" w:space="0" w:color="0D0D0D" w:themeColor="text1" w:themeTint="F2"/>
            </w:tcBorders>
            <w:shd w:val="clear" w:color="auto" w:fill="D9D9D9" w:themeFill="background1" w:themeFillShade="D9"/>
          </w:tcPr>
          <w:p w14:paraId="15881851" w14:textId="02EF298A" w:rsidR="00882CA8" w:rsidRDefault="00882CA8" w:rsidP="00CC2218">
            <w:pPr>
              <w:ind w:right="-270"/>
            </w:pPr>
            <w:r>
              <w:t>Zeralenone</w:t>
            </w:r>
          </w:p>
        </w:tc>
        <w:tc>
          <w:tcPr>
            <w:tcW w:w="11430" w:type="dxa"/>
            <w:tcBorders>
              <w:bottom w:val="single" w:sz="12" w:space="0" w:color="0D0D0D" w:themeColor="text1" w:themeTint="F2"/>
              <w:right w:val="single" w:sz="12" w:space="0" w:color="0D0D0D" w:themeColor="text1" w:themeTint="F2"/>
            </w:tcBorders>
            <w:shd w:val="clear" w:color="auto" w:fill="D9D9D9" w:themeFill="background1" w:themeFillShade="D9"/>
          </w:tcPr>
          <w:p w14:paraId="5144FD00" w14:textId="77777777" w:rsidR="00D27879" w:rsidRDefault="00882CA8" w:rsidP="00CC2218">
            <w:pPr>
              <w:ind w:right="-270"/>
              <w:rPr>
                <w:i/>
                <w:iCs/>
              </w:rPr>
            </w:pPr>
            <w:r>
              <w:rPr>
                <w:i/>
                <w:iCs/>
              </w:rPr>
              <w:t xml:space="preserve">Fusarium </w:t>
            </w:r>
            <w:r>
              <w:t xml:space="preserve">species: </w:t>
            </w:r>
            <w:r w:rsidR="001100BF">
              <w:rPr>
                <w:i/>
                <w:iCs/>
              </w:rPr>
              <w:t xml:space="preserve">Fusarium acuminatum; Fusarium crookwellense; Fusarium culmorum; Fusarium equiseti; </w:t>
            </w:r>
          </w:p>
          <w:p w14:paraId="2119992B" w14:textId="3D326477" w:rsidR="00882CA8" w:rsidRPr="00882CA8" w:rsidRDefault="001100BF" w:rsidP="00CC2218">
            <w:pPr>
              <w:ind w:right="-270"/>
              <w:rPr>
                <w:i/>
                <w:iCs/>
              </w:rPr>
            </w:pPr>
            <w:r>
              <w:rPr>
                <w:i/>
                <w:iCs/>
              </w:rPr>
              <w:t>Fusarium graminareum; Fusarium oxysporum; Fusarium poae; Fusarium rosum; Fusarium semitectum; Fusarium solani; Fusarium sporaotrichioides; Fusarium verticilloides</w:t>
            </w:r>
          </w:p>
        </w:tc>
      </w:tr>
    </w:tbl>
    <w:p w14:paraId="63A61043" w14:textId="77777777" w:rsidR="002B4698" w:rsidRDefault="002B4698" w:rsidP="00DD0681">
      <w:pPr>
        <w:sectPr w:rsidR="002B4698" w:rsidSect="005003BC">
          <w:footnotePr>
            <w:numFmt w:val="lowerLetter"/>
            <w:numRestart w:val="eachSect"/>
          </w:footnotePr>
          <w:pgSz w:w="15840" w:h="12240" w:orient="landscape"/>
          <w:pgMar w:top="720" w:right="720" w:bottom="720" w:left="720" w:header="720" w:footer="720" w:gutter="0"/>
          <w:pgNumType w:chapStyle="6"/>
          <w:cols w:space="720"/>
          <w:docGrid w:linePitch="360"/>
        </w:sectPr>
      </w:pPr>
    </w:p>
    <w:p w14:paraId="3D398B69" w14:textId="64350F76" w:rsidR="002B4698" w:rsidRDefault="002B4698" w:rsidP="002B4698">
      <w:pPr>
        <w:pStyle w:val="Heading7"/>
        <w:spacing w:after="240"/>
      </w:pPr>
      <w:r>
        <w:lastRenderedPageBreak/>
        <w:t>References</w:t>
      </w:r>
    </w:p>
    <w:p w14:paraId="72E593AC" w14:textId="77777777" w:rsidR="002B4698" w:rsidRDefault="002B4698" w:rsidP="002B4698">
      <w:pPr>
        <w:rPr>
          <w:rFonts w:ascii="Times New Roman" w:hAnsi="Times New Roman"/>
        </w:rPr>
      </w:pPr>
      <w:r>
        <w:t xml:space="preserve">Abdel-Gawad, K. M., Hifney, A. F., Issa, A. A., &amp; Gomaa, M. (2014). Spatio-temporal, environmental factors, and host identity shape culturable-epibiotic fungi of seaweeds in the Red Sea, Egypt. </w:t>
      </w:r>
      <w:r>
        <w:rPr>
          <w:i/>
          <w:iCs/>
        </w:rPr>
        <w:t>Hydrobiologia</w:t>
      </w:r>
      <w:r>
        <w:t xml:space="preserve">, </w:t>
      </w:r>
      <w:r>
        <w:rPr>
          <w:i/>
          <w:iCs/>
        </w:rPr>
        <w:t>740</w:t>
      </w:r>
      <w:r>
        <w:t>(1), 37–49. https://doi.org/10.1007/s10750-014-1935-0</w:t>
      </w:r>
    </w:p>
    <w:p w14:paraId="6C5F2AE9" w14:textId="77777777" w:rsidR="002B4698" w:rsidRDefault="002B4698" w:rsidP="002B4698">
      <w:r>
        <w:t xml:space="preserve">Burkin, A. A., &amp; Kononenko, G. P. (2023). Mycotoxins in Macroalgae from the Kandalaksha Gulf of the White Sea after Natural and Experimental Isolation from the Substrate. </w:t>
      </w:r>
      <w:r>
        <w:rPr>
          <w:i/>
          <w:iCs/>
        </w:rPr>
        <w:t>Russian Journal of Marine Biology</w:t>
      </w:r>
      <w:r>
        <w:t xml:space="preserve">, </w:t>
      </w:r>
      <w:r>
        <w:rPr>
          <w:i/>
          <w:iCs/>
        </w:rPr>
        <w:t>49</w:t>
      </w:r>
      <w:r>
        <w:t>(5), 331–336. https://doi.org/10.1134/S106307402305005X</w:t>
      </w:r>
    </w:p>
    <w:p w14:paraId="19FE2F8C" w14:textId="77777777" w:rsidR="002B4698" w:rsidRDefault="002B4698" w:rsidP="002B4698">
      <w:r>
        <w:t xml:space="preserve">Burkin, A. A., Kononenko, G. P., Georgiev, A. A., &amp; Georgieva, M. L. (2021). Toxic Metabolites of Micromycetes in Brown Algae of the Families Fucaceae and Laminariaceae from the White Sea. </w:t>
      </w:r>
      <w:r>
        <w:rPr>
          <w:i/>
          <w:iCs/>
        </w:rPr>
        <w:t>Russian Journal of Marine Biology</w:t>
      </w:r>
      <w:r>
        <w:t xml:space="preserve">, </w:t>
      </w:r>
      <w:r>
        <w:rPr>
          <w:i/>
          <w:iCs/>
        </w:rPr>
        <w:t>47</w:t>
      </w:r>
      <w:r>
        <w:t>(1), 35–38. https://doi.org/10.1134/S1063074021010028</w:t>
      </w:r>
    </w:p>
    <w:p w14:paraId="4772CDEC" w14:textId="77777777" w:rsidR="002B4698" w:rsidRPr="000B1F22" w:rsidRDefault="002B4698" w:rsidP="002B4698">
      <w:pPr>
        <w:rPr>
          <w:lang w:val="es-ES"/>
        </w:rPr>
      </w:pPr>
      <w:r>
        <w:t xml:space="preserve">Doty, M. S., &amp; Aguilar-Santos, G. (1966). Caulerpicin, a toxic constituent of Caulerpa [49]. </w:t>
      </w:r>
      <w:r w:rsidRPr="000B1F22">
        <w:rPr>
          <w:lang w:val="es-ES"/>
        </w:rPr>
        <w:t xml:space="preserve">Nature, 211(5052), 990. </w:t>
      </w:r>
      <w:hyperlink r:id="rId197" w:history="1">
        <w:r w:rsidRPr="000B1F22">
          <w:rPr>
            <w:rStyle w:val="Hyperlink"/>
            <w:rFonts w:cs="Calibri"/>
            <w:color w:val="000000"/>
            <w:lang w:val="es-ES"/>
          </w:rPr>
          <w:t>https://doi.org/10.1038/211990a0</w:t>
        </w:r>
      </w:hyperlink>
    </w:p>
    <w:p w14:paraId="1A52BC31" w14:textId="77777777" w:rsidR="002B4698" w:rsidRDefault="002B4698" w:rsidP="002B4698">
      <w:r w:rsidRPr="000B1F22">
        <w:rPr>
          <w:lang w:val="es-ES"/>
        </w:rPr>
        <w:t xml:space="preserve">Doty, M. S., &amp; Aguilar-Santos, G. (1970). </w:t>
      </w:r>
      <w:r>
        <w:t>Transfer of Toxic Algal Substances in Marine Food Chains. Pacific Science, 24, 351–355. http://hdl.handle.net/10125/4061</w:t>
      </w:r>
    </w:p>
    <w:p w14:paraId="730A5507" w14:textId="77777777" w:rsidR="002B4698" w:rsidRDefault="002B4698" w:rsidP="002B4698">
      <w:r>
        <w:t xml:space="preserve">EFSA Panel on Contaminants in the Food Chain. (2011). Scientific opinion on the risks for public health related to the presence of zearalenone in food. </w:t>
      </w:r>
      <w:r>
        <w:rPr>
          <w:i/>
          <w:iCs/>
        </w:rPr>
        <w:t>EFSA Journal</w:t>
      </w:r>
      <w:r>
        <w:t xml:space="preserve">, </w:t>
      </w:r>
      <w:r>
        <w:rPr>
          <w:i/>
          <w:iCs/>
        </w:rPr>
        <w:t>9</w:t>
      </w:r>
      <w:r>
        <w:t>(6), 2197.</w:t>
      </w:r>
    </w:p>
    <w:p w14:paraId="6E6CD458" w14:textId="77777777" w:rsidR="002B4698" w:rsidRDefault="002B4698" w:rsidP="002B4698">
      <w:r>
        <w:t xml:space="preserve">European Union. (2023, March 26). </w:t>
      </w:r>
      <w:r>
        <w:rPr>
          <w:i/>
          <w:iCs/>
        </w:rPr>
        <w:t>Consolidated text: Commission Regulation (EC) No 1881/2006 of 19 December 2006 setting maximum levels for certain contaminants in foodstuffs (Text with EEA relevance)</w:t>
      </w:r>
      <w:r>
        <w:t>. https://eur-lex.europa.eu/legal-content/EN/TXT/?uri=CELEX%3A02006R1881-20230326</w:t>
      </w:r>
    </w:p>
    <w:p w14:paraId="601B15E6" w14:textId="77777777" w:rsidR="002B4698" w:rsidRDefault="002B4698" w:rsidP="002B4698">
      <w:r>
        <w:t xml:space="preserve">European Union. (2024a, April 9). </w:t>
      </w:r>
      <w:r>
        <w:rPr>
          <w:i/>
          <w:iCs/>
        </w:rPr>
        <w:t>Commission Regulation (EU) 2024/1022 of 8 April 2024 Amending REgulation (EU) 2023/915 as regards maximum levels of deoxynivalenol in food (Text with EEA relevance)</w:t>
      </w:r>
      <w:r>
        <w:t>. Official Journal of the European Union. https://eur-lex.europa.eu/legal-content/EN/TXT/PDF/?uri=OJ:L_202401022#:~:text=(4)%20In%20order%20to%20ensure,forms%20in%20food%20and%20feed.</w:t>
      </w:r>
    </w:p>
    <w:p w14:paraId="0A2401FB" w14:textId="77777777" w:rsidR="002B4698" w:rsidRDefault="002B4698" w:rsidP="002B4698">
      <w:r>
        <w:t xml:space="preserve">European Union. (2024b, April 10). </w:t>
      </w:r>
      <w:r>
        <w:rPr>
          <w:i/>
          <w:iCs/>
        </w:rPr>
        <w:t>Commission Regulation (EU) 2024/1038 of 9 April 2024 Amending Regulation (EU) 2023/915 as regards maximum levels of T-2 and HT-2 toxins in food (Text with EEA relevance)</w:t>
      </w:r>
      <w:r>
        <w:t>. Official Journal of the European Union. https://eur-lex.europa.eu/legal-content/EN/TXT/PDF/?uri=OJ:L_202401038#:~:text=The%20Authority%20established%20a%20group,%2C1%20%CE%BCg/kg%20bw.</w:t>
      </w:r>
    </w:p>
    <w:p w14:paraId="226CC377" w14:textId="77777777" w:rsidR="002B4698" w:rsidRDefault="002B4698" w:rsidP="002B4698">
      <w:r>
        <w:t xml:space="preserve">USFDA. (2001, November). </w:t>
      </w:r>
      <w:r>
        <w:rPr>
          <w:i/>
          <w:iCs/>
        </w:rPr>
        <w:t>Guidance for industry: Fumonisin levels in human foods and animal feeds</w:t>
      </w:r>
      <w:r>
        <w:t>. U.S. Food &amp; Drug Administration. https://www.fda.gov/regulatory-information/search-fda-guidance-documents/guidance-industry-fumonisin-levels-human-foods-and-animal-feeds</w:t>
      </w:r>
    </w:p>
    <w:p w14:paraId="4193786F" w14:textId="77777777" w:rsidR="002B4698" w:rsidRDefault="002B4698" w:rsidP="002B4698">
      <w:r>
        <w:t xml:space="preserve">USFDA. (2005, November). </w:t>
      </w:r>
      <w:r>
        <w:rPr>
          <w:i/>
          <w:iCs/>
        </w:rPr>
        <w:t>CPG Sec 510.150 Apple juice, apple juice concentrates, and apple juice products—Adulteration with patulin</w:t>
      </w:r>
      <w:r>
        <w:t>. U.S. Food &amp; Drug Administration. https://www.fda.gov/regulatory-information/search-fda-guidance-documents/cpg-sec-510150-apple-juice-apple-juice-concentrates-and-apple-juice-products-adulteration-patulin</w:t>
      </w:r>
    </w:p>
    <w:p w14:paraId="518009BF" w14:textId="77777777" w:rsidR="002B4698" w:rsidRDefault="002B4698" w:rsidP="002B4698">
      <w:r>
        <w:lastRenderedPageBreak/>
        <w:t xml:space="preserve">USFDA. (2010, July). </w:t>
      </w:r>
      <w:r>
        <w:rPr>
          <w:i/>
          <w:iCs/>
        </w:rPr>
        <w:t>Guidance for Industry and FDA: Advisory levels for deoxynivalenol (DON) in finished wheat products for human consumption and grains and grain by-products used for animal feed</w:t>
      </w:r>
      <w:r>
        <w:t>. U.S. Food &amp; Drug Administration. https://www.fda.gov/regulatory-information/search-fda-guidance-documents/guidance-industry-and-fda-advisory-levels-deoxynivalenol-don-finished-wheat-products-human</w:t>
      </w:r>
    </w:p>
    <w:p w14:paraId="3802D2E8" w14:textId="77777777" w:rsidR="002B4698" w:rsidRDefault="002B4698" w:rsidP="002B4698">
      <w:r>
        <w:t xml:space="preserve">USFDA. (2018, September 20). </w:t>
      </w:r>
      <w:r>
        <w:rPr>
          <w:i/>
          <w:iCs/>
        </w:rPr>
        <w:t>Guidance for Industry: Action levels for poisonous or deleterious substances in human food and animal feed, Docket FDA-2020-D-1956.</w:t>
      </w:r>
      <w:r>
        <w:t xml:space="preserve"> https://www.fda.gov/regulatory-information/search-fda-guidance-documents/guidance-industry-action-levels-poisonous-or-deleterious-substances-human-food-and-animal-feed#afla</w:t>
      </w:r>
    </w:p>
    <w:p w14:paraId="5F61E50C" w14:textId="77777777" w:rsidR="002B4698" w:rsidRDefault="002B4698" w:rsidP="002B4698">
      <w:r>
        <w:t xml:space="preserve">USFDA. (2024, September 26). </w:t>
      </w:r>
      <w:r>
        <w:rPr>
          <w:i/>
          <w:iCs/>
        </w:rPr>
        <w:t>Mycotoxins</w:t>
      </w:r>
      <w:r>
        <w:t>. Fda.Gov. https://www.fda.gov/food/natural-toxins-food/mycotoxins</w:t>
      </w:r>
    </w:p>
    <w:p w14:paraId="499CE43C" w14:textId="77777777" w:rsidR="002B4698" w:rsidRDefault="002B4698" w:rsidP="002B4698">
      <w:r>
        <w:t xml:space="preserve">Felline, S., Caricato, R., Cutignano, A., Gorbi, S., Lionetto, M. G., Mollo, E., Regoli, F., &amp; Terlizzi, A. (2012). Subtle effects of biological invasions: Cellular and physiological responses of fish eating the exotic pest Caulerpa racemosa. PLoS ONE, 7(6). </w:t>
      </w:r>
      <w:hyperlink r:id="rId198" w:history="1">
        <w:r>
          <w:rPr>
            <w:rStyle w:val="Hyperlink"/>
            <w:rFonts w:cs="Calibri"/>
            <w:color w:val="000000"/>
          </w:rPr>
          <w:t>https://doi.org/10.1371/journal.pone.0038763</w:t>
        </w:r>
      </w:hyperlink>
    </w:p>
    <w:p w14:paraId="22ECBAB3" w14:textId="26E2616D" w:rsidR="002B4698" w:rsidRDefault="002B4698" w:rsidP="002B4698">
      <w:r>
        <w:t xml:space="preserve">Fusetani, N., &amp; Hashimoto, K. (1981). Diethyl Peroxides Probably Responsible for Mozuku Poisoning. Nippon Suisan Gakkaishi (Japanese Edition), 47(8), 1059–1063. </w:t>
      </w:r>
      <w:hyperlink r:id="rId199" w:history="1">
        <w:r>
          <w:rPr>
            <w:rStyle w:val="Hyperlink"/>
            <w:rFonts w:cs="Calibri"/>
            <w:color w:val="467886"/>
          </w:rPr>
          <w:t>https://doi.org/10.2331/suisan.47.1059</w:t>
        </w:r>
      </w:hyperlink>
    </w:p>
    <w:p w14:paraId="6EC323E4" w14:textId="77777777" w:rsidR="002B4698" w:rsidRDefault="002B4698" w:rsidP="002B4698">
      <w:proofErr w:type="spellStart"/>
      <w:r w:rsidRPr="00F85DE5">
        <w:t>Garzoli</w:t>
      </w:r>
      <w:proofErr w:type="spellEnd"/>
      <w:r w:rsidRPr="00F85DE5">
        <w:t xml:space="preserve">, L., </w:t>
      </w:r>
      <w:proofErr w:type="spellStart"/>
      <w:r w:rsidRPr="00F85DE5">
        <w:t>Gnavi</w:t>
      </w:r>
      <w:proofErr w:type="spellEnd"/>
      <w:r w:rsidRPr="00F85DE5">
        <w:t xml:space="preserve">, G., Varese, G. C., &amp; Picco, A. M. (2015). </w:t>
      </w:r>
      <w:proofErr w:type="spellStart"/>
      <w:r>
        <w:t>Mycobiota</w:t>
      </w:r>
      <w:proofErr w:type="spellEnd"/>
      <w:r>
        <w:t xml:space="preserve"> associated with the rhodophyte alien species </w:t>
      </w:r>
      <w:r>
        <w:rPr>
          <w:i/>
          <w:iCs/>
        </w:rPr>
        <w:t> </w:t>
      </w:r>
      <w:r>
        <w:rPr>
          <w:i/>
          <w:iCs/>
          <w:smallCaps/>
        </w:rPr>
        <w:t>A</w:t>
      </w:r>
      <w:r>
        <w:rPr>
          <w:i/>
          <w:iCs/>
        </w:rPr>
        <w:t xml:space="preserve"> sparagopsis taxiformis </w:t>
      </w:r>
      <w:r>
        <w:t xml:space="preserve"> ( </w:t>
      </w:r>
      <w:r>
        <w:rPr>
          <w:smallCaps/>
        </w:rPr>
        <w:t>D</w:t>
      </w:r>
      <w:r>
        <w:t xml:space="preserve"> elile) </w:t>
      </w:r>
      <w:r>
        <w:rPr>
          <w:smallCaps/>
        </w:rPr>
        <w:t>T</w:t>
      </w:r>
      <w:r>
        <w:t xml:space="preserve"> revisan de </w:t>
      </w:r>
      <w:r>
        <w:rPr>
          <w:smallCaps/>
        </w:rPr>
        <w:t>S</w:t>
      </w:r>
      <w:r>
        <w:t xml:space="preserve"> aint‐ </w:t>
      </w:r>
      <w:r>
        <w:rPr>
          <w:smallCaps/>
        </w:rPr>
        <w:t>L</w:t>
      </w:r>
      <w:r>
        <w:t xml:space="preserve"> éon in the </w:t>
      </w:r>
      <w:r>
        <w:rPr>
          <w:smallCaps/>
        </w:rPr>
        <w:t>M</w:t>
      </w:r>
      <w:r>
        <w:t xml:space="preserve"> editerranean </w:t>
      </w:r>
      <w:r>
        <w:rPr>
          <w:smallCaps/>
        </w:rPr>
        <w:t>S</w:t>
      </w:r>
      <w:r>
        <w:t xml:space="preserve"> ea. </w:t>
      </w:r>
      <w:r>
        <w:rPr>
          <w:i/>
          <w:iCs/>
        </w:rPr>
        <w:t>Marine Ecology</w:t>
      </w:r>
      <w:r>
        <w:t xml:space="preserve">, </w:t>
      </w:r>
      <w:r>
        <w:rPr>
          <w:i/>
          <w:iCs/>
        </w:rPr>
        <w:t>36</w:t>
      </w:r>
      <w:r>
        <w:t xml:space="preserve">(4), 959–968. </w:t>
      </w:r>
      <w:r>
        <w:rPr>
          <w:u w:val="single"/>
        </w:rPr>
        <w:t>https://doi.org/10.1111/maec.12189</w:t>
      </w:r>
    </w:p>
    <w:p w14:paraId="4F44CAE1" w14:textId="77777777" w:rsidR="002B4698" w:rsidRDefault="002B4698" w:rsidP="002B4698">
      <w:r>
        <w:t xml:space="preserve">Gregson, R. P., Marwood, J. F., &amp; Quinn, R. J. (1979). The occurrence of prostaglandins PGE2 and PGF2α in a plant - the red alga Gracilaria Lichenoides. </w:t>
      </w:r>
      <w:r>
        <w:rPr>
          <w:i/>
          <w:iCs/>
        </w:rPr>
        <w:t>Tetrahedron Letters</w:t>
      </w:r>
      <w:r>
        <w:t xml:space="preserve">, </w:t>
      </w:r>
      <w:r>
        <w:rPr>
          <w:i/>
          <w:iCs/>
        </w:rPr>
        <w:t>20</w:t>
      </w:r>
      <w:r>
        <w:t>(46), 4505–4506. https://doi.org/10.1016/S0040-4039(01)86633-8</w:t>
      </w:r>
    </w:p>
    <w:p w14:paraId="1D27E6B1" w14:textId="77777777" w:rsidR="002B4698" w:rsidRDefault="002B4698" w:rsidP="002B4698">
      <w:r>
        <w:t xml:space="preserve">Govenkar, M. B., &amp; Wahidulla, S. (2000). Constituents of Chondria armata. Phytochemistry, 54(8), 979–981. </w:t>
      </w:r>
      <w:hyperlink r:id="rId200" w:history="1">
        <w:r>
          <w:rPr>
            <w:rStyle w:val="Hyperlink"/>
            <w:rFonts w:cs="Calibri"/>
            <w:color w:val="000000"/>
          </w:rPr>
          <w:t>https://doi.org/10.1016/S0031-9422(00)00078-9</w:t>
        </w:r>
      </w:hyperlink>
    </w:p>
    <w:p w14:paraId="1EC9DCAF" w14:textId="77777777" w:rsidR="002B4698" w:rsidRDefault="002B4698" w:rsidP="002B4698">
      <w:r w:rsidRPr="00F85DE5">
        <w:t xml:space="preserve">Guimarães, T. N. M. V. P. (2021). </w:t>
      </w:r>
      <w:r>
        <w:rPr>
          <w:i/>
          <w:iCs/>
        </w:rPr>
        <w:t>Isolation and identification of toxin-producing fungi associated with macroalgae</w:t>
      </w:r>
      <w:r>
        <w:t xml:space="preserve"> [Master’s]. Porto University.</w:t>
      </w:r>
    </w:p>
    <w:p w14:paraId="4123EAE2" w14:textId="55C056B5" w:rsidR="002B4698" w:rsidRDefault="002B4698" w:rsidP="002B4698">
      <w:r>
        <w:t xml:space="preserve">Hsu, B. Y., Tsao, C. Y., Chiou, T. K., &amp; Hwang, D. F. (2008). Factors affecting PGE2 production in seaweed </w:t>
      </w:r>
      <w:r>
        <w:rPr>
          <w:i/>
          <w:iCs/>
        </w:rPr>
        <w:t>Gracilaria tenuistipitata</w:t>
      </w:r>
      <w:r>
        <w:t xml:space="preserve">. Journal of Food and Drug Analysis, 16(3), 59–65. </w:t>
      </w:r>
      <w:hyperlink r:id="rId201" w:history="1">
        <w:r>
          <w:rPr>
            <w:rStyle w:val="Hyperlink"/>
            <w:rFonts w:cs="Calibri"/>
            <w:color w:val="1155CC"/>
          </w:rPr>
          <w:t>https://doi.org/10.38212/2224-6614.2358</w:t>
        </w:r>
      </w:hyperlink>
    </w:p>
    <w:p w14:paraId="19F6BA9E" w14:textId="77777777" w:rsidR="002B4698" w:rsidRDefault="002B4698" w:rsidP="002B4698">
      <w:r>
        <w:t xml:space="preserve">Impellizzeri, G., Mangiafico, S., Oriente, G., Piattelli, M., Sciuto, S., Fattorusso, E., Magno, S., Santacroce, C., &amp; Sica, D. (1975). Amino acids and low-molecular-weight carbohydrates of some marine red algae. Phytochemistry, 14(7), 1549–1557. </w:t>
      </w:r>
      <w:hyperlink r:id="rId202" w:history="1">
        <w:r>
          <w:rPr>
            <w:rStyle w:val="Hyperlink"/>
            <w:rFonts w:cs="Calibri"/>
            <w:color w:val="000000"/>
          </w:rPr>
          <w:t>https://doi.org/10.1016/0031-9422(75)85349-0</w:t>
        </w:r>
      </w:hyperlink>
    </w:p>
    <w:p w14:paraId="2962030F" w14:textId="4ECB3BDD" w:rsidR="002B4698" w:rsidRDefault="002B4698" w:rsidP="002B4698">
      <w:r>
        <w:t>Jørgensen, K., &amp; Olesen, P. T. (2018). Kainic acid in the seaweed Palmaria palmata (dulse). Food Additives and Contaminants: Part B Surveillance, 11(3), 198–200. https://doi.org/10.1080/19393210.2018.1462258</w:t>
      </w:r>
    </w:p>
    <w:p w14:paraId="301C311D" w14:textId="77777777" w:rsidR="002B4698" w:rsidRDefault="002B4698" w:rsidP="002B4698">
      <w:r>
        <w:t xml:space="preserve">Kononenko, G. P., Burkin, A. A., Georgiev, A. A., &amp; Georgieva, M. L. (2021). Mycotoxins in Macroalgae from the Velikaya Salma Strait of the Kandalaksha Gulf of the White Sea. Russian Journal of Marine Biology, 47(6), 480–488. </w:t>
      </w:r>
      <w:r>
        <w:rPr>
          <w:u w:val="single"/>
        </w:rPr>
        <w:t>https://doi.org/10.1134/S1063074021060080</w:t>
      </w:r>
    </w:p>
    <w:p w14:paraId="4494F722" w14:textId="77777777" w:rsidR="002B4698" w:rsidRDefault="002B4698" w:rsidP="002B4698">
      <w:r>
        <w:lastRenderedPageBreak/>
        <w:t xml:space="preserve">Kononenko, G. P., Burkin, A. A., Georgiev, A. A., &amp; Georgieva, M. L. (2022). Composition and Content of Mycotoxins in the White Sea Fucoids. </w:t>
      </w:r>
      <w:r>
        <w:rPr>
          <w:i/>
          <w:iCs/>
        </w:rPr>
        <w:t>Oceanology</w:t>
      </w:r>
      <w:r>
        <w:t xml:space="preserve">, </w:t>
      </w:r>
      <w:r>
        <w:rPr>
          <w:i/>
          <w:iCs/>
        </w:rPr>
        <w:t>62</w:t>
      </w:r>
      <w:r>
        <w:t xml:space="preserve">(6), 833–838. </w:t>
      </w:r>
      <w:hyperlink r:id="rId203" w:history="1">
        <w:r>
          <w:rPr>
            <w:rStyle w:val="Hyperlink"/>
            <w:rFonts w:cs="Calibri"/>
            <w:color w:val="000000"/>
          </w:rPr>
          <w:t>https://doi.org/10.1134/S0001437022050071</w:t>
        </w:r>
      </w:hyperlink>
    </w:p>
    <w:p w14:paraId="21D9A5C6" w14:textId="77777777" w:rsidR="002B4698" w:rsidRDefault="002B4698" w:rsidP="002B4698">
      <w:r>
        <w:t xml:space="preserve">Kumar, M. S., &amp; Sharma, S. A. (2021). Toxicological effects of marine seaweeds: a cautious insight for human consumption. Critical Reviews in Food Science and Nutrition, 61(3), 500–521. </w:t>
      </w:r>
      <w:hyperlink r:id="rId204" w:history="1">
        <w:r>
          <w:rPr>
            <w:rStyle w:val="Hyperlink"/>
            <w:rFonts w:cs="Calibri"/>
            <w:color w:val="000000"/>
          </w:rPr>
          <w:t>https://doi.org/10.1080/10408398.2020.1738334</w:t>
        </w:r>
      </w:hyperlink>
    </w:p>
    <w:p w14:paraId="35B96F47" w14:textId="77777777" w:rsidR="002B4698" w:rsidRDefault="002B4698" w:rsidP="002B4698">
      <w:r>
        <w:t xml:space="preserve">Miller, J. D., &amp; Whitney, N. J. (1981). Fungi from the Bay of Fundy II. Observations on fungi from living and cast seaweeds. </w:t>
      </w:r>
      <w:r>
        <w:rPr>
          <w:i/>
          <w:iCs/>
        </w:rPr>
        <w:t>Botanica Marina</w:t>
      </w:r>
      <w:r>
        <w:t xml:space="preserve">, </w:t>
      </w:r>
      <w:r>
        <w:rPr>
          <w:i/>
          <w:iCs/>
        </w:rPr>
        <w:t>24</w:t>
      </w:r>
      <w:r>
        <w:t>, 405–411.</w:t>
      </w:r>
    </w:p>
    <w:p w14:paraId="25EEC22C" w14:textId="77777777" w:rsidR="002B4698" w:rsidRDefault="002B4698" w:rsidP="002B4698">
      <w:r w:rsidRPr="000B1F22">
        <w:rPr>
          <w:lang w:val="es-ES"/>
        </w:rPr>
        <w:t xml:space="preserve">Nagai, H., Yasumoto, T., &amp; Hokama, Y. (1996). </w:t>
      </w:r>
      <w:r>
        <w:t xml:space="preserve">APLYSIATOXIN AND DEBROMOAPLYSIATOXIN AS THE CAUSATIVE AGENTS OF A RED ALGA GRACILARIA CORONOPIFOLIA POISONING IN HAWA. </w:t>
      </w:r>
      <w:r>
        <w:rPr>
          <w:i/>
          <w:iCs/>
        </w:rPr>
        <w:t>Toxicon</w:t>
      </w:r>
      <w:r>
        <w:t xml:space="preserve">, </w:t>
      </w:r>
      <w:r>
        <w:rPr>
          <w:i/>
          <w:iCs/>
        </w:rPr>
        <w:t>34</w:t>
      </w:r>
      <w:r>
        <w:t>(7), 753–761.</w:t>
      </w:r>
    </w:p>
    <w:p w14:paraId="539BE17C" w14:textId="77777777" w:rsidR="002B4698" w:rsidRDefault="002B4698" w:rsidP="002B4698">
      <w:r>
        <w:t xml:space="preserve">Nagai, H., Yasumoto, T., &amp; Hokama, Y. (1997). Manauelides, Some of the Causitive Agents of a Red Alga Gracilaria coronopifolia in Hawaii. </w:t>
      </w:r>
      <w:r>
        <w:rPr>
          <w:i/>
          <w:iCs/>
        </w:rPr>
        <w:t>Journal of Natural Products</w:t>
      </w:r>
      <w:r>
        <w:t xml:space="preserve">, </w:t>
      </w:r>
      <w:r>
        <w:rPr>
          <w:i/>
          <w:iCs/>
        </w:rPr>
        <w:t>60</w:t>
      </w:r>
      <w:r>
        <w:t>(9), 925–928.</w:t>
      </w:r>
    </w:p>
    <w:p w14:paraId="1E26212C" w14:textId="77777777" w:rsidR="002B4698" w:rsidRDefault="002B4698" w:rsidP="002B4698">
      <w:r>
        <w:t xml:space="preserve">Noguchi, T., &amp; Arakawa, O. (1996). Distribution of domoic acid in seaweeds occurring in Kagoshima, Southern Japan. Advances in Experimental Medicine and Biology, 391(August 1994), 521–526. </w:t>
      </w:r>
      <w:hyperlink r:id="rId205" w:history="1">
        <w:r>
          <w:rPr>
            <w:rStyle w:val="Hyperlink"/>
            <w:rFonts w:cs="Calibri"/>
            <w:color w:val="000000"/>
          </w:rPr>
          <w:t>https://doi.org/10.1007/978-1-4613-0361-9_43</w:t>
        </w:r>
      </w:hyperlink>
    </w:p>
    <w:p w14:paraId="37D367A2" w14:textId="77777777" w:rsidR="002B4698" w:rsidRPr="000B1F22" w:rsidRDefault="002B4698" w:rsidP="002B4698">
      <w:pPr>
        <w:rPr>
          <w:lang w:val="es-ES"/>
        </w:rPr>
      </w:pPr>
      <w:r>
        <w:t xml:space="preserve">Noguchi, T., Matsui, T., Miyazawa, K., Asakawa, M., Iijima, N., Shida, Y., Fuse, M., Hosaka, Y., Kirigaya, C., Watabe, K., Usui, S., &amp; Fukagawa, A. (1994). Poisoning by the red alga “Ononori” (Gracilaria verrucosa) on the nojima coast, yokohama, kanagawa prefecture, Japan. </w:t>
      </w:r>
      <w:r w:rsidRPr="000B1F22">
        <w:rPr>
          <w:i/>
          <w:iCs/>
          <w:lang w:val="es-ES"/>
        </w:rPr>
        <w:t>Toxicon</w:t>
      </w:r>
      <w:r w:rsidRPr="000B1F22">
        <w:rPr>
          <w:lang w:val="es-ES"/>
        </w:rPr>
        <w:t xml:space="preserve">, </w:t>
      </w:r>
      <w:r w:rsidRPr="000B1F22">
        <w:rPr>
          <w:i/>
          <w:iCs/>
          <w:lang w:val="es-ES"/>
        </w:rPr>
        <w:t>32</w:t>
      </w:r>
      <w:r w:rsidRPr="000B1F22">
        <w:rPr>
          <w:lang w:val="es-ES"/>
        </w:rPr>
        <w:t>(12), 1533–1538.</w:t>
      </w:r>
    </w:p>
    <w:p w14:paraId="443B72BD" w14:textId="3B83FEFC" w:rsidR="002B4698" w:rsidRDefault="002B4698" w:rsidP="002B4698">
      <w:r w:rsidRPr="000B1F22">
        <w:rPr>
          <w:lang w:val="es-ES"/>
        </w:rPr>
        <w:t xml:space="preserve">Sato, M., Nakano, T., Takeuchi, M., Kanno, N., Nagahisa, E., &amp; Sato, Y. (1996). </w:t>
      </w:r>
      <w:r>
        <w:t xml:space="preserve">Distribution of neuroexcitatory amino acids in marine algae. Phytochemistry, 42(6), 1595–1597. </w:t>
      </w:r>
      <w:hyperlink r:id="rId206" w:history="1">
        <w:r>
          <w:rPr>
            <w:rStyle w:val="Hyperlink"/>
            <w:rFonts w:cs="Calibri"/>
            <w:color w:val="467886"/>
          </w:rPr>
          <w:t>https://doi.org/10.1016/0031-9422(96)00190-2</w:t>
        </w:r>
      </w:hyperlink>
    </w:p>
    <w:p w14:paraId="37ADA20A" w14:textId="51D9ED20" w:rsidR="002B4698" w:rsidRDefault="002B4698" w:rsidP="002B4698">
      <w:r>
        <w:t xml:space="preserve">Sobel, J., &amp; Painter, J. (2005). Illnesses caused by marine toxins. Clinical Infectious Diseases, 41(9), 1290–1296. </w:t>
      </w:r>
      <w:hyperlink r:id="rId207" w:history="1">
        <w:r>
          <w:rPr>
            <w:rStyle w:val="Hyperlink"/>
            <w:rFonts w:cs="Calibri"/>
            <w:color w:val="1155CC"/>
          </w:rPr>
          <w:t>https://doi.org/10.1086/496926</w:t>
        </w:r>
      </w:hyperlink>
    </w:p>
    <w:p w14:paraId="1B2E2A42" w14:textId="77777777" w:rsidR="002B4698" w:rsidRDefault="002B4698" w:rsidP="002B4698">
      <w:r>
        <w:t>Steele, T. S., Brunson, J. K., Maeno, Y., Terada, R., Allen, A. E., Yotsu-Yamashita, M., Chekan, J. R., &amp; Moore, B. S. (2022). Domoic acid biosynthesis in the red alga Chondria armata suggests a complex evolutionary history for toxin production. Proceedings of the National Academy of Sciences of the United States of America, 119(6), 2–9. https://doi.org/10.1073/pnas.2117407119</w:t>
      </w:r>
    </w:p>
    <w:p w14:paraId="5517EA89" w14:textId="306ACDD3" w:rsidR="002B4698" w:rsidRDefault="002B4698" w:rsidP="002B4698">
      <w:r>
        <w:t>USFDA. (2021). APPENDIX 5: FDA and EPA Safety Levels in Regulations and Guidance to safety attributes of fish and fishery products. In Fish and Fishery Prodcuts Hazards and Controls Guide (Issue June, pp. 439–442). Food and Drug Administration. https://www.fda.gov/%0Ahttp://www.fda.gov/downloads/Food/GuidanceRegulation/UCM252448.pdf</w:t>
      </w:r>
    </w:p>
    <w:p w14:paraId="2789C81E" w14:textId="118D6B54" w:rsidR="002B4698" w:rsidRPr="002B4698" w:rsidRDefault="002B4698" w:rsidP="002B4698">
      <w:r w:rsidRPr="000B1F22">
        <w:rPr>
          <w:lang w:val="es-ES"/>
        </w:rPr>
        <w:t xml:space="preserve">Yotsu-Yamashita, M., Yasumoto, T., Yamada, S., Bajarias, F. F. A., Formeloza, M. A., Romero, M. L., &amp; Fukuyo, Y. (2004). </w:t>
      </w:r>
      <w:r>
        <w:t xml:space="preserve">Identification of polycavernoside A as the causative agent of the fatal food poisoning resulting from ingestion of the red alga Gracilaria edulis in the Philippines. Chemical Research in Toxicology, 17(9), 1265–1271. </w:t>
      </w:r>
      <w:r>
        <w:rPr>
          <w:u w:val="single"/>
        </w:rPr>
        <w:t>https://doi.org/10.1021/tx0498556</w:t>
      </w:r>
    </w:p>
    <w:p w14:paraId="239CF5E9" w14:textId="77777777" w:rsidR="002B4698" w:rsidRDefault="002B4698" w:rsidP="00DD0681"/>
    <w:p w14:paraId="7F18D6CF" w14:textId="77777777" w:rsidR="00687F47" w:rsidRDefault="00687F47" w:rsidP="00DD0681">
      <w:pPr>
        <w:sectPr w:rsidR="00687F47" w:rsidSect="002B4698">
          <w:footnotePr>
            <w:numFmt w:val="lowerLetter"/>
            <w:numRestart w:val="eachSect"/>
          </w:footnotePr>
          <w:pgSz w:w="12240" w:h="15840"/>
          <w:pgMar w:top="720" w:right="720" w:bottom="720" w:left="720" w:header="720" w:footer="720" w:gutter="0"/>
          <w:pgNumType w:chapStyle="6"/>
          <w:cols w:space="720"/>
          <w:docGrid w:linePitch="360"/>
        </w:sectPr>
      </w:pPr>
    </w:p>
    <w:p w14:paraId="3DB68F74" w14:textId="6E32A602" w:rsidR="00DD0681" w:rsidRPr="005003BC" w:rsidRDefault="00DD0681" w:rsidP="00AA56A6">
      <w:pPr>
        <w:pStyle w:val="Heading6"/>
      </w:pPr>
      <w:bookmarkStart w:id="287" w:name="_Toc208503352"/>
      <w:bookmarkStart w:id="288" w:name="_Toc210042869"/>
      <w:r w:rsidRPr="005003BC">
        <w:lastRenderedPageBreak/>
        <w:t xml:space="preserve">Iodine </w:t>
      </w:r>
      <w:r w:rsidR="0059485C" w:rsidRPr="005003BC">
        <w:t xml:space="preserve">Concentrations </w:t>
      </w:r>
      <w:r w:rsidRPr="005003BC">
        <w:t>Reference Table</w:t>
      </w:r>
      <w:r w:rsidR="0059485C" w:rsidRPr="005003BC">
        <w:t>s</w:t>
      </w:r>
      <w:bookmarkEnd w:id="287"/>
      <w:bookmarkEnd w:id="288"/>
    </w:p>
    <w:p w14:paraId="3D785A0E" w14:textId="2E598A5A" w:rsidR="00045395" w:rsidRDefault="00045395" w:rsidP="00C54E07">
      <w:pPr>
        <w:pStyle w:val="Caption"/>
      </w:pPr>
      <w:r w:rsidRPr="00045395">
        <w:rPr>
          <w:b/>
          <w:bCs/>
        </w:rPr>
        <w:t>Table D-</w:t>
      </w:r>
      <w:r w:rsidRPr="00045395">
        <w:rPr>
          <w:b/>
          <w:bCs/>
        </w:rPr>
        <w:fldChar w:fldCharType="begin"/>
      </w:r>
      <w:r w:rsidRPr="00045395">
        <w:rPr>
          <w:b/>
          <w:bCs/>
        </w:rPr>
        <w:instrText xml:space="preserve"> SEQ Table_D- \* ARABIC </w:instrText>
      </w:r>
      <w:r w:rsidRPr="00045395">
        <w:rPr>
          <w:b/>
          <w:bCs/>
        </w:rPr>
        <w:fldChar w:fldCharType="separate"/>
      </w:r>
      <w:r w:rsidR="00A042AD">
        <w:rPr>
          <w:b/>
          <w:bCs/>
          <w:noProof/>
        </w:rPr>
        <w:t>1</w:t>
      </w:r>
      <w:r w:rsidRPr="00045395">
        <w:rPr>
          <w:b/>
          <w:bCs/>
        </w:rPr>
        <w:fldChar w:fldCharType="end"/>
      </w:r>
      <w:r w:rsidRPr="00045395">
        <w:rPr>
          <w:b/>
          <w:bCs/>
        </w:rPr>
        <w:t>:</w:t>
      </w:r>
      <w:r>
        <w:t xml:space="preserve"> </w:t>
      </w:r>
      <w:r w:rsidRPr="005866D6">
        <w:t>Recommended Dietary Allowances (RDAs) and Upper Limits (UL) for Iodine.</w:t>
      </w:r>
    </w:p>
    <w:tbl>
      <w:tblPr>
        <w:tblStyle w:val="GridTable4"/>
        <w:tblW w:w="9715" w:type="dxa"/>
        <w:tbl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insideH w:val="single" w:sz="6" w:space="0" w:color="0D0D0D" w:themeColor="text1" w:themeTint="F2"/>
          <w:insideV w:val="single" w:sz="6" w:space="0" w:color="0D0D0D" w:themeColor="text1" w:themeTint="F2"/>
        </w:tblBorders>
        <w:tblCellMar>
          <w:top w:w="43" w:type="dxa"/>
          <w:bottom w:w="43" w:type="dxa"/>
        </w:tblCellMar>
        <w:tblLook w:val="04A0" w:firstRow="1" w:lastRow="0" w:firstColumn="1" w:lastColumn="0" w:noHBand="0" w:noVBand="1"/>
      </w:tblPr>
      <w:tblGrid>
        <w:gridCol w:w="2155"/>
        <w:gridCol w:w="2970"/>
        <w:gridCol w:w="1350"/>
        <w:gridCol w:w="1170"/>
        <w:gridCol w:w="2070"/>
      </w:tblGrid>
      <w:tr w:rsidR="00565F31" w14:paraId="74E963FC" w14:textId="77777777" w:rsidTr="007E4940">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155" w:type="dxa"/>
            <w:tcBorders>
              <w:top w:val="none" w:sz="0" w:space="0" w:color="auto"/>
              <w:left w:val="none" w:sz="0" w:space="0" w:color="auto"/>
              <w:bottom w:val="none" w:sz="0" w:space="0" w:color="auto"/>
              <w:right w:val="none" w:sz="0" w:space="0" w:color="auto"/>
            </w:tcBorders>
            <w:shd w:val="clear" w:color="auto" w:fill="28666E"/>
            <w:vAlign w:val="center"/>
          </w:tcPr>
          <w:p w14:paraId="40D20B94" w14:textId="474E1DB8" w:rsidR="0059485C" w:rsidRPr="00F9694B" w:rsidRDefault="0059485C" w:rsidP="000B3003">
            <w:r w:rsidRPr="00F9694B">
              <w:t>Age</w:t>
            </w:r>
          </w:p>
        </w:tc>
        <w:tc>
          <w:tcPr>
            <w:tcW w:w="2970" w:type="dxa"/>
            <w:tcBorders>
              <w:top w:val="none" w:sz="0" w:space="0" w:color="auto"/>
              <w:left w:val="none" w:sz="0" w:space="0" w:color="auto"/>
              <w:bottom w:val="none" w:sz="0" w:space="0" w:color="auto"/>
              <w:right w:val="none" w:sz="0" w:space="0" w:color="auto"/>
            </w:tcBorders>
            <w:shd w:val="clear" w:color="auto" w:fill="28666E"/>
            <w:vAlign w:val="center"/>
          </w:tcPr>
          <w:p w14:paraId="5512F3CC" w14:textId="52A8AFB5" w:rsidR="0059485C" w:rsidRPr="00F9694B" w:rsidRDefault="0059485C" w:rsidP="000B3003">
            <w:pPr>
              <w:cnfStyle w:val="100000000000" w:firstRow="1" w:lastRow="0" w:firstColumn="0" w:lastColumn="0" w:oddVBand="0" w:evenVBand="0" w:oddHBand="0" w:evenHBand="0" w:firstRowFirstColumn="0" w:firstRowLastColumn="0" w:lastRowFirstColumn="0" w:lastRowLastColumn="0"/>
            </w:pPr>
            <w:r w:rsidRPr="00F9694B">
              <w:t>Female and Male</w:t>
            </w:r>
          </w:p>
        </w:tc>
        <w:tc>
          <w:tcPr>
            <w:tcW w:w="1350" w:type="dxa"/>
            <w:tcBorders>
              <w:top w:val="none" w:sz="0" w:space="0" w:color="auto"/>
              <w:left w:val="none" w:sz="0" w:space="0" w:color="auto"/>
              <w:bottom w:val="none" w:sz="0" w:space="0" w:color="auto"/>
              <w:right w:val="none" w:sz="0" w:space="0" w:color="auto"/>
            </w:tcBorders>
            <w:shd w:val="clear" w:color="auto" w:fill="28666E"/>
            <w:vAlign w:val="center"/>
          </w:tcPr>
          <w:p w14:paraId="03405905" w14:textId="3C87149B" w:rsidR="0059485C" w:rsidRPr="00F9694B" w:rsidRDefault="0059485C" w:rsidP="000B3003">
            <w:pPr>
              <w:cnfStyle w:val="100000000000" w:firstRow="1" w:lastRow="0" w:firstColumn="0" w:lastColumn="0" w:oddVBand="0" w:evenVBand="0" w:oddHBand="0" w:evenHBand="0" w:firstRowFirstColumn="0" w:firstRowLastColumn="0" w:lastRowFirstColumn="0" w:lastRowLastColumn="0"/>
            </w:pPr>
            <w:r w:rsidRPr="00F9694B">
              <w:t>Pregnancy</w:t>
            </w:r>
          </w:p>
        </w:tc>
        <w:tc>
          <w:tcPr>
            <w:tcW w:w="1170" w:type="dxa"/>
            <w:tcBorders>
              <w:top w:val="none" w:sz="0" w:space="0" w:color="auto"/>
              <w:left w:val="none" w:sz="0" w:space="0" w:color="auto"/>
              <w:bottom w:val="none" w:sz="0" w:space="0" w:color="auto"/>
              <w:right w:val="none" w:sz="0" w:space="0" w:color="auto"/>
            </w:tcBorders>
            <w:shd w:val="clear" w:color="auto" w:fill="28666E"/>
            <w:vAlign w:val="center"/>
          </w:tcPr>
          <w:p w14:paraId="56A3D1BB" w14:textId="0213048D" w:rsidR="0059485C" w:rsidRPr="00F9694B" w:rsidRDefault="0059485C" w:rsidP="000B3003">
            <w:pPr>
              <w:cnfStyle w:val="100000000000" w:firstRow="1" w:lastRow="0" w:firstColumn="0" w:lastColumn="0" w:oddVBand="0" w:evenVBand="0" w:oddHBand="0" w:evenHBand="0" w:firstRowFirstColumn="0" w:firstRowLastColumn="0" w:lastRowFirstColumn="0" w:lastRowLastColumn="0"/>
            </w:pPr>
            <w:r w:rsidRPr="00F9694B">
              <w:t>Lactation</w:t>
            </w:r>
          </w:p>
        </w:tc>
        <w:tc>
          <w:tcPr>
            <w:tcW w:w="2070" w:type="dxa"/>
            <w:tcBorders>
              <w:top w:val="none" w:sz="0" w:space="0" w:color="auto"/>
              <w:left w:val="none" w:sz="0" w:space="0" w:color="auto"/>
              <w:bottom w:val="none" w:sz="0" w:space="0" w:color="auto"/>
              <w:right w:val="none" w:sz="0" w:space="0" w:color="auto"/>
            </w:tcBorders>
            <w:shd w:val="clear" w:color="auto" w:fill="28666E"/>
            <w:vAlign w:val="center"/>
          </w:tcPr>
          <w:p w14:paraId="65B1E6A0" w14:textId="002A48F9" w:rsidR="0059485C" w:rsidRPr="00F9694B" w:rsidRDefault="0059485C" w:rsidP="000B3003">
            <w:pPr>
              <w:cnfStyle w:val="100000000000" w:firstRow="1" w:lastRow="0" w:firstColumn="0" w:lastColumn="0" w:oddVBand="0" w:evenVBand="0" w:oddHBand="0" w:evenHBand="0" w:firstRowFirstColumn="0" w:firstRowLastColumn="0" w:lastRowFirstColumn="0" w:lastRowLastColumn="0"/>
            </w:pPr>
            <w:r w:rsidRPr="00F9694B">
              <w:t>Upper Limit</w:t>
            </w:r>
            <w:r w:rsidR="00207A8C" w:rsidRPr="00F9694B">
              <w:t xml:space="preserve"> (UL)</w:t>
            </w:r>
          </w:p>
        </w:tc>
      </w:tr>
      <w:tr w:rsidR="00334FB1" w14:paraId="33E3AF51"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tcPr>
          <w:p w14:paraId="38ADAEE9" w14:textId="6AACB0AA" w:rsidR="0059485C" w:rsidRDefault="0059485C" w:rsidP="00590CA5">
            <w:pPr>
              <w:jc w:val="right"/>
            </w:pPr>
            <w:r>
              <w:t>Birth to 6 months</w:t>
            </w:r>
          </w:p>
        </w:tc>
        <w:tc>
          <w:tcPr>
            <w:tcW w:w="2970" w:type="dxa"/>
            <w:shd w:val="clear" w:color="auto" w:fill="D9D9D9" w:themeFill="background1" w:themeFillShade="D9"/>
            <w:vAlign w:val="center"/>
          </w:tcPr>
          <w:p w14:paraId="78643A97" w14:textId="5EF3FD9B" w:rsidR="00590CA5" w:rsidRDefault="0059485C" w:rsidP="00565F31">
            <w:pPr>
              <w:jc w:val="center"/>
              <w:cnfStyle w:val="000000100000" w:firstRow="0" w:lastRow="0" w:firstColumn="0" w:lastColumn="0" w:oddVBand="0" w:evenVBand="0" w:oddHBand="1" w:evenHBand="0" w:firstRowFirstColumn="0" w:firstRowLastColumn="0" w:lastRowFirstColumn="0" w:lastRowLastColumn="0"/>
            </w:pPr>
            <w:r>
              <w:t xml:space="preserve">110 </w:t>
            </w:r>
            <w:r w:rsidRPr="0059485C">
              <w:t>µg</w:t>
            </w:r>
          </w:p>
          <w:p w14:paraId="7A1BFDED" w14:textId="382ED9BF" w:rsidR="0059485C" w:rsidRDefault="00334FB1" w:rsidP="00565F31">
            <w:pPr>
              <w:jc w:val="center"/>
              <w:cnfStyle w:val="000000100000" w:firstRow="0" w:lastRow="0" w:firstColumn="0" w:lastColumn="0" w:oddVBand="0" w:evenVBand="0" w:oddHBand="1" w:evenHBand="0" w:firstRowFirstColumn="0" w:firstRowLastColumn="0" w:lastRowFirstColumn="0" w:lastRowLastColumn="0"/>
            </w:pPr>
            <w:r>
              <w:t>Adequate Intake (AI)</w:t>
            </w:r>
          </w:p>
        </w:tc>
        <w:tc>
          <w:tcPr>
            <w:tcW w:w="1350" w:type="dxa"/>
            <w:shd w:val="clear" w:color="auto" w:fill="D9D9D9" w:themeFill="background1" w:themeFillShade="D9"/>
            <w:vAlign w:val="center"/>
          </w:tcPr>
          <w:p w14:paraId="7CE4CB33" w14:textId="6A2B0E2E" w:rsidR="0059485C" w:rsidRDefault="009B73BE" w:rsidP="00565F31">
            <w:pPr>
              <w:jc w:val="center"/>
              <w:cnfStyle w:val="000000100000" w:firstRow="0" w:lastRow="0" w:firstColumn="0" w:lastColumn="0" w:oddVBand="0" w:evenVBand="0" w:oddHBand="1" w:evenHBand="0" w:firstRowFirstColumn="0" w:firstRowLastColumn="0" w:lastRowFirstColumn="0" w:lastRowLastColumn="0"/>
            </w:pPr>
            <w:r>
              <w:t>NA</w:t>
            </w:r>
          </w:p>
        </w:tc>
        <w:tc>
          <w:tcPr>
            <w:tcW w:w="1170" w:type="dxa"/>
            <w:shd w:val="clear" w:color="auto" w:fill="D9D9D9" w:themeFill="background1" w:themeFillShade="D9"/>
            <w:vAlign w:val="center"/>
          </w:tcPr>
          <w:p w14:paraId="70546959" w14:textId="788EA0E8" w:rsidR="0059485C" w:rsidRDefault="009B73BE" w:rsidP="00565F31">
            <w:pPr>
              <w:jc w:val="center"/>
              <w:cnfStyle w:val="000000100000" w:firstRow="0" w:lastRow="0" w:firstColumn="0" w:lastColumn="0" w:oddVBand="0" w:evenVBand="0" w:oddHBand="1" w:evenHBand="0" w:firstRowFirstColumn="0" w:firstRowLastColumn="0" w:lastRowFirstColumn="0" w:lastRowLastColumn="0"/>
            </w:pPr>
            <w:r>
              <w:t>NA</w:t>
            </w:r>
          </w:p>
        </w:tc>
        <w:tc>
          <w:tcPr>
            <w:tcW w:w="2070" w:type="dxa"/>
            <w:shd w:val="clear" w:color="auto" w:fill="D9D9D9" w:themeFill="background1" w:themeFillShade="D9"/>
            <w:vAlign w:val="center"/>
          </w:tcPr>
          <w:p w14:paraId="715A650E" w14:textId="1A349863" w:rsidR="0059485C" w:rsidRDefault="0059485C" w:rsidP="00565F31">
            <w:pPr>
              <w:jc w:val="center"/>
              <w:cnfStyle w:val="000000100000" w:firstRow="0" w:lastRow="0" w:firstColumn="0" w:lastColumn="0" w:oddVBand="0" w:evenVBand="0" w:oddHBand="1" w:evenHBand="0" w:firstRowFirstColumn="0" w:firstRowLastColumn="0" w:lastRowFirstColumn="0" w:lastRowLastColumn="0"/>
            </w:pPr>
            <w:r>
              <w:t>Not established</w:t>
            </w:r>
          </w:p>
        </w:tc>
      </w:tr>
      <w:tr w:rsidR="00334FB1" w14:paraId="53162F50" w14:textId="77777777" w:rsidTr="007E4940">
        <w:tc>
          <w:tcPr>
            <w:cnfStyle w:val="001000000000" w:firstRow="0" w:lastRow="0" w:firstColumn="1" w:lastColumn="0" w:oddVBand="0" w:evenVBand="0" w:oddHBand="0" w:evenHBand="0" w:firstRowFirstColumn="0" w:firstRowLastColumn="0" w:lastRowFirstColumn="0" w:lastRowLastColumn="0"/>
            <w:tcW w:w="2155" w:type="dxa"/>
          </w:tcPr>
          <w:p w14:paraId="40C97930" w14:textId="5F8EAEBE" w:rsidR="0059485C" w:rsidRPr="0059485C" w:rsidRDefault="0059485C" w:rsidP="00590CA5">
            <w:pPr>
              <w:jc w:val="right"/>
              <w:rPr>
                <w:vertAlign w:val="subscript"/>
              </w:rPr>
            </w:pPr>
            <w:r>
              <w:t>7</w:t>
            </w:r>
            <w:r w:rsidRPr="0059485C">
              <w:t>–</w:t>
            </w:r>
            <w:r>
              <w:t>12 months</w:t>
            </w:r>
          </w:p>
        </w:tc>
        <w:tc>
          <w:tcPr>
            <w:tcW w:w="2970" w:type="dxa"/>
            <w:vAlign w:val="center"/>
          </w:tcPr>
          <w:p w14:paraId="0D8C6B10" w14:textId="5155175F" w:rsidR="00590CA5" w:rsidRDefault="0059485C" w:rsidP="00565F31">
            <w:pPr>
              <w:jc w:val="center"/>
              <w:cnfStyle w:val="000000000000" w:firstRow="0" w:lastRow="0" w:firstColumn="0" w:lastColumn="0" w:oddVBand="0" w:evenVBand="0" w:oddHBand="0" w:evenHBand="0" w:firstRowFirstColumn="0" w:firstRowLastColumn="0" w:lastRowFirstColumn="0" w:lastRowLastColumn="0"/>
            </w:pPr>
            <w:r>
              <w:t xml:space="preserve">130 </w:t>
            </w:r>
            <w:r w:rsidRPr="0059485C">
              <w:t>µg</w:t>
            </w:r>
          </w:p>
          <w:p w14:paraId="0C3AFA36" w14:textId="3828BAA0" w:rsidR="0059485C" w:rsidRDefault="00334FB1" w:rsidP="00565F31">
            <w:pPr>
              <w:jc w:val="center"/>
              <w:cnfStyle w:val="000000000000" w:firstRow="0" w:lastRow="0" w:firstColumn="0" w:lastColumn="0" w:oddVBand="0" w:evenVBand="0" w:oddHBand="0" w:evenHBand="0" w:firstRowFirstColumn="0" w:firstRowLastColumn="0" w:lastRowFirstColumn="0" w:lastRowLastColumn="0"/>
            </w:pPr>
            <w:r>
              <w:t>Adequate Intake (AI)</w:t>
            </w:r>
          </w:p>
        </w:tc>
        <w:tc>
          <w:tcPr>
            <w:tcW w:w="1350" w:type="dxa"/>
            <w:vAlign w:val="center"/>
          </w:tcPr>
          <w:p w14:paraId="330DAE7A" w14:textId="651ACCE6" w:rsidR="0059485C" w:rsidRDefault="009B73BE" w:rsidP="00565F31">
            <w:pPr>
              <w:jc w:val="center"/>
              <w:cnfStyle w:val="000000000000" w:firstRow="0" w:lastRow="0" w:firstColumn="0" w:lastColumn="0" w:oddVBand="0" w:evenVBand="0" w:oddHBand="0" w:evenHBand="0" w:firstRowFirstColumn="0" w:firstRowLastColumn="0" w:lastRowFirstColumn="0" w:lastRowLastColumn="0"/>
            </w:pPr>
            <w:r>
              <w:t>NA</w:t>
            </w:r>
          </w:p>
        </w:tc>
        <w:tc>
          <w:tcPr>
            <w:tcW w:w="1170" w:type="dxa"/>
            <w:vAlign w:val="center"/>
          </w:tcPr>
          <w:p w14:paraId="2EEB5490" w14:textId="612C1F86" w:rsidR="0059485C" w:rsidRDefault="009B73BE" w:rsidP="00565F31">
            <w:pPr>
              <w:jc w:val="center"/>
              <w:cnfStyle w:val="000000000000" w:firstRow="0" w:lastRow="0" w:firstColumn="0" w:lastColumn="0" w:oddVBand="0" w:evenVBand="0" w:oddHBand="0" w:evenHBand="0" w:firstRowFirstColumn="0" w:firstRowLastColumn="0" w:lastRowFirstColumn="0" w:lastRowLastColumn="0"/>
            </w:pPr>
            <w:r>
              <w:t>NA</w:t>
            </w:r>
          </w:p>
        </w:tc>
        <w:tc>
          <w:tcPr>
            <w:tcW w:w="2070" w:type="dxa"/>
            <w:vAlign w:val="center"/>
          </w:tcPr>
          <w:p w14:paraId="1517F4C7" w14:textId="2BBB52C5" w:rsidR="0059485C" w:rsidRDefault="0059485C" w:rsidP="00565F31">
            <w:pPr>
              <w:jc w:val="center"/>
              <w:cnfStyle w:val="000000000000" w:firstRow="0" w:lastRow="0" w:firstColumn="0" w:lastColumn="0" w:oddVBand="0" w:evenVBand="0" w:oddHBand="0" w:evenHBand="0" w:firstRowFirstColumn="0" w:firstRowLastColumn="0" w:lastRowFirstColumn="0" w:lastRowLastColumn="0"/>
            </w:pPr>
            <w:r>
              <w:t>Not established</w:t>
            </w:r>
          </w:p>
        </w:tc>
      </w:tr>
      <w:tr w:rsidR="00334FB1" w14:paraId="49658610"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tcPr>
          <w:p w14:paraId="4D90AE5C" w14:textId="4EF7BD27" w:rsidR="0059485C" w:rsidRDefault="0059485C" w:rsidP="00590CA5">
            <w:pPr>
              <w:jc w:val="right"/>
            </w:pPr>
            <w:r>
              <w:t>1</w:t>
            </w:r>
            <w:r w:rsidRPr="0059485C">
              <w:t>–</w:t>
            </w:r>
            <w:r>
              <w:t>3 years</w:t>
            </w:r>
          </w:p>
        </w:tc>
        <w:tc>
          <w:tcPr>
            <w:tcW w:w="2970" w:type="dxa"/>
            <w:shd w:val="clear" w:color="auto" w:fill="D9D9D9" w:themeFill="background1" w:themeFillShade="D9"/>
            <w:vAlign w:val="center"/>
          </w:tcPr>
          <w:p w14:paraId="427DCD0C" w14:textId="44878C6F" w:rsidR="0059485C" w:rsidRDefault="0059485C" w:rsidP="00565F31">
            <w:pPr>
              <w:jc w:val="center"/>
              <w:cnfStyle w:val="000000100000" w:firstRow="0" w:lastRow="0" w:firstColumn="0" w:lastColumn="0" w:oddVBand="0" w:evenVBand="0" w:oddHBand="1" w:evenHBand="0" w:firstRowFirstColumn="0" w:firstRowLastColumn="0" w:lastRowFirstColumn="0" w:lastRowLastColumn="0"/>
            </w:pPr>
            <w:r>
              <w:t xml:space="preserve">90 </w:t>
            </w:r>
            <w:r w:rsidRPr="0059485C">
              <w:t>µg</w:t>
            </w:r>
          </w:p>
        </w:tc>
        <w:tc>
          <w:tcPr>
            <w:tcW w:w="1350" w:type="dxa"/>
            <w:shd w:val="clear" w:color="auto" w:fill="D9D9D9" w:themeFill="background1" w:themeFillShade="D9"/>
            <w:vAlign w:val="center"/>
          </w:tcPr>
          <w:p w14:paraId="25322D4E" w14:textId="5BC9CC44" w:rsidR="0059485C" w:rsidRDefault="009B73BE" w:rsidP="00565F31">
            <w:pPr>
              <w:jc w:val="center"/>
              <w:cnfStyle w:val="000000100000" w:firstRow="0" w:lastRow="0" w:firstColumn="0" w:lastColumn="0" w:oddVBand="0" w:evenVBand="0" w:oddHBand="1" w:evenHBand="0" w:firstRowFirstColumn="0" w:firstRowLastColumn="0" w:lastRowFirstColumn="0" w:lastRowLastColumn="0"/>
            </w:pPr>
            <w:r>
              <w:t>NA</w:t>
            </w:r>
          </w:p>
        </w:tc>
        <w:tc>
          <w:tcPr>
            <w:tcW w:w="1170" w:type="dxa"/>
            <w:shd w:val="clear" w:color="auto" w:fill="D9D9D9" w:themeFill="background1" w:themeFillShade="D9"/>
            <w:vAlign w:val="center"/>
          </w:tcPr>
          <w:p w14:paraId="1100C103" w14:textId="23B53E5F" w:rsidR="0059485C" w:rsidRDefault="009B73BE" w:rsidP="00565F31">
            <w:pPr>
              <w:jc w:val="center"/>
              <w:cnfStyle w:val="000000100000" w:firstRow="0" w:lastRow="0" w:firstColumn="0" w:lastColumn="0" w:oddVBand="0" w:evenVBand="0" w:oddHBand="1" w:evenHBand="0" w:firstRowFirstColumn="0" w:firstRowLastColumn="0" w:lastRowFirstColumn="0" w:lastRowLastColumn="0"/>
            </w:pPr>
            <w:r>
              <w:t>NA</w:t>
            </w:r>
          </w:p>
        </w:tc>
        <w:tc>
          <w:tcPr>
            <w:tcW w:w="2070" w:type="dxa"/>
            <w:shd w:val="clear" w:color="auto" w:fill="D9D9D9" w:themeFill="background1" w:themeFillShade="D9"/>
            <w:vAlign w:val="center"/>
          </w:tcPr>
          <w:p w14:paraId="64F941FD" w14:textId="7E18E900" w:rsidR="0059485C" w:rsidRDefault="0059485C" w:rsidP="00565F31">
            <w:pPr>
              <w:jc w:val="center"/>
              <w:cnfStyle w:val="000000100000" w:firstRow="0" w:lastRow="0" w:firstColumn="0" w:lastColumn="0" w:oddVBand="0" w:evenVBand="0" w:oddHBand="1" w:evenHBand="0" w:firstRowFirstColumn="0" w:firstRowLastColumn="0" w:lastRowFirstColumn="0" w:lastRowLastColumn="0"/>
            </w:pPr>
            <w:r>
              <w:t xml:space="preserve">200 </w:t>
            </w:r>
            <w:r w:rsidRPr="0059485C">
              <w:t>µg</w:t>
            </w:r>
          </w:p>
        </w:tc>
      </w:tr>
      <w:tr w:rsidR="00334FB1" w14:paraId="4C9AC0DC" w14:textId="77777777" w:rsidTr="007E4940">
        <w:tc>
          <w:tcPr>
            <w:cnfStyle w:val="001000000000" w:firstRow="0" w:lastRow="0" w:firstColumn="1" w:lastColumn="0" w:oddVBand="0" w:evenVBand="0" w:oddHBand="0" w:evenHBand="0" w:firstRowFirstColumn="0" w:firstRowLastColumn="0" w:lastRowFirstColumn="0" w:lastRowLastColumn="0"/>
            <w:tcW w:w="2155" w:type="dxa"/>
          </w:tcPr>
          <w:p w14:paraId="56D4F704" w14:textId="06AF18BB" w:rsidR="0059485C" w:rsidRDefault="0059485C" w:rsidP="00590CA5">
            <w:pPr>
              <w:jc w:val="right"/>
            </w:pPr>
            <w:r>
              <w:t>4</w:t>
            </w:r>
            <w:r w:rsidRPr="0059485C">
              <w:t>–</w:t>
            </w:r>
            <w:r>
              <w:t>8 years</w:t>
            </w:r>
          </w:p>
        </w:tc>
        <w:tc>
          <w:tcPr>
            <w:tcW w:w="2970" w:type="dxa"/>
            <w:vAlign w:val="center"/>
          </w:tcPr>
          <w:p w14:paraId="4315412D" w14:textId="4B4A520A" w:rsidR="0059485C" w:rsidRDefault="0059485C" w:rsidP="00565F31">
            <w:pPr>
              <w:jc w:val="center"/>
              <w:cnfStyle w:val="000000000000" w:firstRow="0" w:lastRow="0" w:firstColumn="0" w:lastColumn="0" w:oddVBand="0" w:evenVBand="0" w:oddHBand="0" w:evenHBand="0" w:firstRowFirstColumn="0" w:firstRowLastColumn="0" w:lastRowFirstColumn="0" w:lastRowLastColumn="0"/>
            </w:pPr>
            <w:r>
              <w:t xml:space="preserve">90 </w:t>
            </w:r>
            <w:r w:rsidRPr="0059485C">
              <w:t>µg</w:t>
            </w:r>
          </w:p>
        </w:tc>
        <w:tc>
          <w:tcPr>
            <w:tcW w:w="1350" w:type="dxa"/>
            <w:vAlign w:val="center"/>
          </w:tcPr>
          <w:p w14:paraId="32E88135" w14:textId="1B173BD2" w:rsidR="0059485C" w:rsidRDefault="009B73BE" w:rsidP="00565F31">
            <w:pPr>
              <w:jc w:val="center"/>
              <w:cnfStyle w:val="000000000000" w:firstRow="0" w:lastRow="0" w:firstColumn="0" w:lastColumn="0" w:oddVBand="0" w:evenVBand="0" w:oddHBand="0" w:evenHBand="0" w:firstRowFirstColumn="0" w:firstRowLastColumn="0" w:lastRowFirstColumn="0" w:lastRowLastColumn="0"/>
            </w:pPr>
            <w:r>
              <w:t>NA</w:t>
            </w:r>
          </w:p>
        </w:tc>
        <w:tc>
          <w:tcPr>
            <w:tcW w:w="1170" w:type="dxa"/>
            <w:vAlign w:val="center"/>
          </w:tcPr>
          <w:p w14:paraId="1CB1AE2A" w14:textId="7D6EF450" w:rsidR="0059485C" w:rsidRDefault="009B73BE" w:rsidP="00565F31">
            <w:pPr>
              <w:jc w:val="center"/>
              <w:cnfStyle w:val="000000000000" w:firstRow="0" w:lastRow="0" w:firstColumn="0" w:lastColumn="0" w:oddVBand="0" w:evenVBand="0" w:oddHBand="0" w:evenHBand="0" w:firstRowFirstColumn="0" w:firstRowLastColumn="0" w:lastRowFirstColumn="0" w:lastRowLastColumn="0"/>
            </w:pPr>
            <w:r>
              <w:t>NA</w:t>
            </w:r>
          </w:p>
        </w:tc>
        <w:tc>
          <w:tcPr>
            <w:tcW w:w="2070" w:type="dxa"/>
            <w:vAlign w:val="center"/>
          </w:tcPr>
          <w:p w14:paraId="677347EA" w14:textId="7345A52A" w:rsidR="0059485C" w:rsidRDefault="0059485C" w:rsidP="00565F31">
            <w:pPr>
              <w:jc w:val="center"/>
              <w:cnfStyle w:val="000000000000" w:firstRow="0" w:lastRow="0" w:firstColumn="0" w:lastColumn="0" w:oddVBand="0" w:evenVBand="0" w:oddHBand="0" w:evenHBand="0" w:firstRowFirstColumn="0" w:firstRowLastColumn="0" w:lastRowFirstColumn="0" w:lastRowLastColumn="0"/>
            </w:pPr>
            <w:r>
              <w:t xml:space="preserve">300 </w:t>
            </w:r>
            <w:r w:rsidRPr="0059485C">
              <w:t>µg</w:t>
            </w:r>
          </w:p>
        </w:tc>
      </w:tr>
      <w:tr w:rsidR="00334FB1" w14:paraId="2B8BAB1B"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tcPr>
          <w:p w14:paraId="67E5A47E" w14:textId="0F824569" w:rsidR="0059485C" w:rsidRDefault="0059485C" w:rsidP="00590CA5">
            <w:pPr>
              <w:jc w:val="right"/>
            </w:pPr>
            <w:r>
              <w:t>9</w:t>
            </w:r>
            <w:r w:rsidRPr="0059485C">
              <w:t>–</w:t>
            </w:r>
            <w:r>
              <w:t>13 years</w:t>
            </w:r>
          </w:p>
        </w:tc>
        <w:tc>
          <w:tcPr>
            <w:tcW w:w="2970" w:type="dxa"/>
            <w:shd w:val="clear" w:color="auto" w:fill="D9D9D9" w:themeFill="background1" w:themeFillShade="D9"/>
            <w:vAlign w:val="center"/>
          </w:tcPr>
          <w:p w14:paraId="6FE4572D" w14:textId="415A9CCD" w:rsidR="0059485C" w:rsidRDefault="0059485C" w:rsidP="00565F31">
            <w:pPr>
              <w:jc w:val="center"/>
              <w:cnfStyle w:val="000000100000" w:firstRow="0" w:lastRow="0" w:firstColumn="0" w:lastColumn="0" w:oddVBand="0" w:evenVBand="0" w:oddHBand="1" w:evenHBand="0" w:firstRowFirstColumn="0" w:firstRowLastColumn="0" w:lastRowFirstColumn="0" w:lastRowLastColumn="0"/>
            </w:pPr>
            <w:r>
              <w:t xml:space="preserve">120 </w:t>
            </w:r>
            <w:r w:rsidRPr="0059485C">
              <w:t>µg</w:t>
            </w:r>
          </w:p>
        </w:tc>
        <w:tc>
          <w:tcPr>
            <w:tcW w:w="1350" w:type="dxa"/>
            <w:shd w:val="clear" w:color="auto" w:fill="D9D9D9" w:themeFill="background1" w:themeFillShade="D9"/>
            <w:vAlign w:val="center"/>
          </w:tcPr>
          <w:p w14:paraId="37C8BF2D" w14:textId="1CCC2A80" w:rsidR="0059485C" w:rsidRDefault="009B73BE" w:rsidP="00565F31">
            <w:pPr>
              <w:jc w:val="center"/>
              <w:cnfStyle w:val="000000100000" w:firstRow="0" w:lastRow="0" w:firstColumn="0" w:lastColumn="0" w:oddVBand="0" w:evenVBand="0" w:oddHBand="1" w:evenHBand="0" w:firstRowFirstColumn="0" w:firstRowLastColumn="0" w:lastRowFirstColumn="0" w:lastRowLastColumn="0"/>
            </w:pPr>
            <w:r>
              <w:t>NA</w:t>
            </w:r>
          </w:p>
        </w:tc>
        <w:tc>
          <w:tcPr>
            <w:tcW w:w="1170" w:type="dxa"/>
            <w:shd w:val="clear" w:color="auto" w:fill="D9D9D9" w:themeFill="background1" w:themeFillShade="D9"/>
            <w:vAlign w:val="center"/>
          </w:tcPr>
          <w:p w14:paraId="2B5AF605" w14:textId="62E5ACAA" w:rsidR="0059485C" w:rsidRDefault="009B73BE" w:rsidP="00565F31">
            <w:pPr>
              <w:jc w:val="center"/>
              <w:cnfStyle w:val="000000100000" w:firstRow="0" w:lastRow="0" w:firstColumn="0" w:lastColumn="0" w:oddVBand="0" w:evenVBand="0" w:oddHBand="1" w:evenHBand="0" w:firstRowFirstColumn="0" w:firstRowLastColumn="0" w:lastRowFirstColumn="0" w:lastRowLastColumn="0"/>
            </w:pPr>
            <w:r>
              <w:t>NA</w:t>
            </w:r>
          </w:p>
        </w:tc>
        <w:tc>
          <w:tcPr>
            <w:tcW w:w="2070" w:type="dxa"/>
            <w:shd w:val="clear" w:color="auto" w:fill="D9D9D9" w:themeFill="background1" w:themeFillShade="D9"/>
            <w:vAlign w:val="center"/>
          </w:tcPr>
          <w:p w14:paraId="5B9CDB08" w14:textId="3148E591" w:rsidR="0059485C" w:rsidRDefault="0059485C" w:rsidP="00565F31">
            <w:pPr>
              <w:jc w:val="center"/>
              <w:cnfStyle w:val="000000100000" w:firstRow="0" w:lastRow="0" w:firstColumn="0" w:lastColumn="0" w:oddVBand="0" w:evenVBand="0" w:oddHBand="1" w:evenHBand="0" w:firstRowFirstColumn="0" w:firstRowLastColumn="0" w:lastRowFirstColumn="0" w:lastRowLastColumn="0"/>
            </w:pPr>
            <w:r>
              <w:t xml:space="preserve">600 </w:t>
            </w:r>
            <w:r w:rsidRPr="0059485C">
              <w:t>µg</w:t>
            </w:r>
          </w:p>
        </w:tc>
      </w:tr>
      <w:tr w:rsidR="00334FB1" w14:paraId="55E7D829" w14:textId="77777777" w:rsidTr="007E4940">
        <w:tc>
          <w:tcPr>
            <w:cnfStyle w:val="001000000000" w:firstRow="0" w:lastRow="0" w:firstColumn="1" w:lastColumn="0" w:oddVBand="0" w:evenVBand="0" w:oddHBand="0" w:evenHBand="0" w:firstRowFirstColumn="0" w:firstRowLastColumn="0" w:lastRowFirstColumn="0" w:lastRowLastColumn="0"/>
            <w:tcW w:w="2155" w:type="dxa"/>
          </w:tcPr>
          <w:p w14:paraId="6CBEA439" w14:textId="7CB904B6" w:rsidR="0059485C" w:rsidRDefault="0059485C" w:rsidP="00590CA5">
            <w:pPr>
              <w:jc w:val="right"/>
            </w:pPr>
            <w:r>
              <w:t>14</w:t>
            </w:r>
            <w:r w:rsidRPr="0059485C">
              <w:t>–</w:t>
            </w:r>
            <w:r>
              <w:t>18 years</w:t>
            </w:r>
          </w:p>
        </w:tc>
        <w:tc>
          <w:tcPr>
            <w:tcW w:w="2970" w:type="dxa"/>
            <w:vAlign w:val="center"/>
          </w:tcPr>
          <w:p w14:paraId="68AF0D39" w14:textId="02B64EB1" w:rsidR="0059485C" w:rsidRDefault="0059485C" w:rsidP="00565F31">
            <w:pPr>
              <w:jc w:val="center"/>
              <w:cnfStyle w:val="000000000000" w:firstRow="0" w:lastRow="0" w:firstColumn="0" w:lastColumn="0" w:oddVBand="0" w:evenVBand="0" w:oddHBand="0" w:evenHBand="0" w:firstRowFirstColumn="0" w:firstRowLastColumn="0" w:lastRowFirstColumn="0" w:lastRowLastColumn="0"/>
            </w:pPr>
            <w:r>
              <w:t xml:space="preserve">150 </w:t>
            </w:r>
            <w:r w:rsidRPr="0059485C">
              <w:t>µg</w:t>
            </w:r>
          </w:p>
        </w:tc>
        <w:tc>
          <w:tcPr>
            <w:tcW w:w="1350" w:type="dxa"/>
            <w:vAlign w:val="center"/>
          </w:tcPr>
          <w:p w14:paraId="4516187D" w14:textId="37215F2C" w:rsidR="0059485C" w:rsidRDefault="009B73BE" w:rsidP="00565F31">
            <w:pPr>
              <w:jc w:val="center"/>
              <w:cnfStyle w:val="000000000000" w:firstRow="0" w:lastRow="0" w:firstColumn="0" w:lastColumn="0" w:oddVBand="0" w:evenVBand="0" w:oddHBand="0" w:evenHBand="0" w:firstRowFirstColumn="0" w:firstRowLastColumn="0" w:lastRowFirstColumn="0" w:lastRowLastColumn="0"/>
            </w:pPr>
            <w:r>
              <w:t>NA</w:t>
            </w:r>
          </w:p>
        </w:tc>
        <w:tc>
          <w:tcPr>
            <w:tcW w:w="1170" w:type="dxa"/>
            <w:vAlign w:val="center"/>
          </w:tcPr>
          <w:p w14:paraId="7BB6582F" w14:textId="1ECC91AF" w:rsidR="0059485C" w:rsidRDefault="009B73BE" w:rsidP="00565F31">
            <w:pPr>
              <w:jc w:val="center"/>
              <w:cnfStyle w:val="000000000000" w:firstRow="0" w:lastRow="0" w:firstColumn="0" w:lastColumn="0" w:oddVBand="0" w:evenVBand="0" w:oddHBand="0" w:evenHBand="0" w:firstRowFirstColumn="0" w:firstRowLastColumn="0" w:lastRowFirstColumn="0" w:lastRowLastColumn="0"/>
            </w:pPr>
            <w:r>
              <w:t>NA</w:t>
            </w:r>
          </w:p>
        </w:tc>
        <w:tc>
          <w:tcPr>
            <w:tcW w:w="2070" w:type="dxa"/>
            <w:vAlign w:val="center"/>
          </w:tcPr>
          <w:p w14:paraId="1D620F0B" w14:textId="572AE68D" w:rsidR="0059485C" w:rsidRDefault="0059485C" w:rsidP="00565F31">
            <w:pPr>
              <w:jc w:val="center"/>
              <w:cnfStyle w:val="000000000000" w:firstRow="0" w:lastRow="0" w:firstColumn="0" w:lastColumn="0" w:oddVBand="0" w:evenVBand="0" w:oddHBand="0" w:evenHBand="0" w:firstRowFirstColumn="0" w:firstRowLastColumn="0" w:lastRowFirstColumn="0" w:lastRowLastColumn="0"/>
            </w:pPr>
            <w:r>
              <w:t xml:space="preserve">900 </w:t>
            </w:r>
            <w:r w:rsidRPr="0059485C">
              <w:t>µg</w:t>
            </w:r>
          </w:p>
        </w:tc>
      </w:tr>
      <w:tr w:rsidR="00334FB1" w14:paraId="491AAA69"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tcPr>
          <w:p w14:paraId="3A5C7B74" w14:textId="2716B443" w:rsidR="0059485C" w:rsidRDefault="0059485C" w:rsidP="00590CA5">
            <w:pPr>
              <w:jc w:val="right"/>
            </w:pPr>
            <w:r>
              <w:t>Adults 18+</w:t>
            </w:r>
          </w:p>
        </w:tc>
        <w:tc>
          <w:tcPr>
            <w:tcW w:w="2970" w:type="dxa"/>
            <w:shd w:val="clear" w:color="auto" w:fill="D9D9D9" w:themeFill="background1" w:themeFillShade="D9"/>
            <w:vAlign w:val="center"/>
          </w:tcPr>
          <w:p w14:paraId="08F8F3D3" w14:textId="16659CF9" w:rsidR="0059485C" w:rsidRDefault="009B73BE" w:rsidP="00565F31">
            <w:pPr>
              <w:jc w:val="center"/>
              <w:cnfStyle w:val="000000100000" w:firstRow="0" w:lastRow="0" w:firstColumn="0" w:lastColumn="0" w:oddVBand="0" w:evenVBand="0" w:oddHBand="1" w:evenHBand="0" w:firstRowFirstColumn="0" w:firstRowLastColumn="0" w:lastRowFirstColumn="0" w:lastRowLastColumn="0"/>
            </w:pPr>
            <w:r>
              <w:t>Not established</w:t>
            </w:r>
          </w:p>
        </w:tc>
        <w:tc>
          <w:tcPr>
            <w:tcW w:w="1350" w:type="dxa"/>
            <w:shd w:val="clear" w:color="auto" w:fill="D9D9D9" w:themeFill="background1" w:themeFillShade="D9"/>
            <w:vAlign w:val="center"/>
          </w:tcPr>
          <w:p w14:paraId="337A2A0C" w14:textId="60D73196" w:rsidR="0059485C" w:rsidRDefault="0059485C" w:rsidP="00565F31">
            <w:pPr>
              <w:jc w:val="center"/>
              <w:cnfStyle w:val="000000100000" w:firstRow="0" w:lastRow="0" w:firstColumn="0" w:lastColumn="0" w:oddVBand="0" w:evenVBand="0" w:oddHBand="1" w:evenHBand="0" w:firstRowFirstColumn="0" w:firstRowLastColumn="0" w:lastRowFirstColumn="0" w:lastRowLastColumn="0"/>
            </w:pPr>
            <w:r>
              <w:t xml:space="preserve">220 </w:t>
            </w:r>
            <w:r w:rsidRPr="0059485C">
              <w:t>µg</w:t>
            </w:r>
          </w:p>
        </w:tc>
        <w:tc>
          <w:tcPr>
            <w:tcW w:w="1170" w:type="dxa"/>
            <w:shd w:val="clear" w:color="auto" w:fill="D9D9D9" w:themeFill="background1" w:themeFillShade="D9"/>
            <w:vAlign w:val="center"/>
          </w:tcPr>
          <w:p w14:paraId="70ABE26D" w14:textId="30FFF02E" w:rsidR="0059485C" w:rsidRDefault="0059485C" w:rsidP="00565F31">
            <w:pPr>
              <w:jc w:val="center"/>
              <w:cnfStyle w:val="000000100000" w:firstRow="0" w:lastRow="0" w:firstColumn="0" w:lastColumn="0" w:oddVBand="0" w:evenVBand="0" w:oddHBand="1" w:evenHBand="0" w:firstRowFirstColumn="0" w:firstRowLastColumn="0" w:lastRowFirstColumn="0" w:lastRowLastColumn="0"/>
            </w:pPr>
            <w:r>
              <w:t xml:space="preserve">290 </w:t>
            </w:r>
            <w:r w:rsidRPr="0059485C">
              <w:t>µg</w:t>
            </w:r>
          </w:p>
        </w:tc>
        <w:tc>
          <w:tcPr>
            <w:tcW w:w="2070" w:type="dxa"/>
            <w:shd w:val="clear" w:color="auto" w:fill="D9D9D9" w:themeFill="background1" w:themeFillShade="D9"/>
            <w:vAlign w:val="center"/>
          </w:tcPr>
          <w:p w14:paraId="0D1A6829" w14:textId="6D5D9841" w:rsidR="0059485C" w:rsidRDefault="0059485C" w:rsidP="00565F31">
            <w:pPr>
              <w:jc w:val="center"/>
              <w:cnfStyle w:val="000000100000" w:firstRow="0" w:lastRow="0" w:firstColumn="0" w:lastColumn="0" w:oddVBand="0" w:evenVBand="0" w:oddHBand="1" w:evenHBand="0" w:firstRowFirstColumn="0" w:firstRowLastColumn="0" w:lastRowFirstColumn="0" w:lastRowLastColumn="0"/>
            </w:pPr>
            <w:r>
              <w:t xml:space="preserve">1,100 </w:t>
            </w:r>
            <w:r w:rsidRPr="0059485C">
              <w:t>µg</w:t>
            </w:r>
          </w:p>
        </w:tc>
      </w:tr>
      <w:tr w:rsidR="00334FB1" w14:paraId="2F9793C9" w14:textId="77777777" w:rsidTr="007E4940">
        <w:tc>
          <w:tcPr>
            <w:cnfStyle w:val="001000000000" w:firstRow="0" w:lastRow="0" w:firstColumn="1" w:lastColumn="0" w:oddVBand="0" w:evenVBand="0" w:oddHBand="0" w:evenHBand="0" w:firstRowFirstColumn="0" w:firstRowLastColumn="0" w:lastRowFirstColumn="0" w:lastRowLastColumn="0"/>
            <w:tcW w:w="2155" w:type="dxa"/>
          </w:tcPr>
          <w:p w14:paraId="1F085CDB" w14:textId="1B5D2178" w:rsidR="0059485C" w:rsidRDefault="0059485C" w:rsidP="00590CA5">
            <w:pPr>
              <w:jc w:val="right"/>
            </w:pPr>
            <w:r>
              <w:t>19+ years</w:t>
            </w:r>
          </w:p>
        </w:tc>
        <w:tc>
          <w:tcPr>
            <w:tcW w:w="2970" w:type="dxa"/>
            <w:vAlign w:val="center"/>
          </w:tcPr>
          <w:p w14:paraId="1EDF07D1" w14:textId="337B42D4" w:rsidR="0059485C" w:rsidRDefault="0059485C" w:rsidP="00565F31">
            <w:pPr>
              <w:jc w:val="center"/>
              <w:cnfStyle w:val="000000000000" w:firstRow="0" w:lastRow="0" w:firstColumn="0" w:lastColumn="0" w:oddVBand="0" w:evenVBand="0" w:oddHBand="0" w:evenHBand="0" w:firstRowFirstColumn="0" w:firstRowLastColumn="0" w:lastRowFirstColumn="0" w:lastRowLastColumn="0"/>
            </w:pPr>
            <w:r>
              <w:t xml:space="preserve">150 </w:t>
            </w:r>
            <w:r w:rsidRPr="0059485C">
              <w:t>µg</w:t>
            </w:r>
          </w:p>
        </w:tc>
        <w:tc>
          <w:tcPr>
            <w:tcW w:w="1350" w:type="dxa"/>
            <w:vAlign w:val="center"/>
          </w:tcPr>
          <w:p w14:paraId="212830B4" w14:textId="35D668CF" w:rsidR="0059485C" w:rsidRDefault="0059485C" w:rsidP="00565F31">
            <w:pPr>
              <w:jc w:val="center"/>
              <w:cnfStyle w:val="000000000000" w:firstRow="0" w:lastRow="0" w:firstColumn="0" w:lastColumn="0" w:oddVBand="0" w:evenVBand="0" w:oddHBand="0" w:evenHBand="0" w:firstRowFirstColumn="0" w:firstRowLastColumn="0" w:lastRowFirstColumn="0" w:lastRowLastColumn="0"/>
            </w:pPr>
            <w:r>
              <w:t xml:space="preserve">220 </w:t>
            </w:r>
            <w:r w:rsidRPr="0059485C">
              <w:t>µg</w:t>
            </w:r>
          </w:p>
        </w:tc>
        <w:tc>
          <w:tcPr>
            <w:tcW w:w="1170" w:type="dxa"/>
            <w:vAlign w:val="center"/>
          </w:tcPr>
          <w:p w14:paraId="1DE1367F" w14:textId="3B4D98B8" w:rsidR="0059485C" w:rsidRDefault="0059485C" w:rsidP="00565F31">
            <w:pPr>
              <w:jc w:val="center"/>
              <w:cnfStyle w:val="000000000000" w:firstRow="0" w:lastRow="0" w:firstColumn="0" w:lastColumn="0" w:oddVBand="0" w:evenVBand="0" w:oddHBand="0" w:evenHBand="0" w:firstRowFirstColumn="0" w:firstRowLastColumn="0" w:lastRowFirstColumn="0" w:lastRowLastColumn="0"/>
            </w:pPr>
            <w:r>
              <w:t xml:space="preserve">290 </w:t>
            </w:r>
            <w:r w:rsidRPr="0059485C">
              <w:t>µg</w:t>
            </w:r>
          </w:p>
        </w:tc>
        <w:tc>
          <w:tcPr>
            <w:tcW w:w="2070" w:type="dxa"/>
            <w:vAlign w:val="center"/>
          </w:tcPr>
          <w:p w14:paraId="63F45617" w14:textId="17D6428C" w:rsidR="0059485C" w:rsidRDefault="009B73BE" w:rsidP="00565F31">
            <w:pPr>
              <w:jc w:val="center"/>
              <w:cnfStyle w:val="000000000000" w:firstRow="0" w:lastRow="0" w:firstColumn="0" w:lastColumn="0" w:oddVBand="0" w:evenVBand="0" w:oddHBand="0" w:evenHBand="0" w:firstRowFirstColumn="0" w:firstRowLastColumn="0" w:lastRowFirstColumn="0" w:lastRowLastColumn="0"/>
            </w:pPr>
            <w:r>
              <w:t>NA</w:t>
            </w:r>
          </w:p>
        </w:tc>
      </w:tr>
    </w:tbl>
    <w:p w14:paraId="46D39598" w14:textId="3BA39E34" w:rsidR="00045395" w:rsidRDefault="00045395" w:rsidP="00C54E07">
      <w:pPr>
        <w:pStyle w:val="Caption"/>
      </w:pPr>
      <w:r w:rsidRPr="00045395">
        <w:rPr>
          <w:b/>
          <w:bCs/>
        </w:rPr>
        <w:t>Table D-</w:t>
      </w:r>
      <w:r w:rsidRPr="00045395">
        <w:rPr>
          <w:b/>
          <w:bCs/>
        </w:rPr>
        <w:fldChar w:fldCharType="begin"/>
      </w:r>
      <w:r w:rsidRPr="00045395">
        <w:rPr>
          <w:b/>
          <w:bCs/>
        </w:rPr>
        <w:instrText xml:space="preserve"> SEQ Table_D- \* ARABIC </w:instrText>
      </w:r>
      <w:r w:rsidRPr="00045395">
        <w:rPr>
          <w:b/>
          <w:bCs/>
        </w:rPr>
        <w:fldChar w:fldCharType="separate"/>
      </w:r>
      <w:r w:rsidR="00A042AD">
        <w:rPr>
          <w:b/>
          <w:bCs/>
          <w:noProof/>
        </w:rPr>
        <w:t>2</w:t>
      </w:r>
      <w:r w:rsidRPr="00045395">
        <w:rPr>
          <w:b/>
          <w:bCs/>
        </w:rPr>
        <w:fldChar w:fldCharType="end"/>
      </w:r>
      <w:r w:rsidRPr="00045395">
        <w:rPr>
          <w:b/>
          <w:bCs/>
        </w:rPr>
        <w:t>:</w:t>
      </w:r>
      <w:r>
        <w:t xml:space="preserve"> </w:t>
      </w:r>
      <w:r w:rsidRPr="005D6B58">
        <w:t xml:space="preserve">Iodine concentrations measured in various brown seaweed species. </w:t>
      </w:r>
      <w:r w:rsidR="00985B0E">
        <w:t>“</w:t>
      </w:r>
      <w:r w:rsidRPr="00985B0E">
        <w:rPr>
          <w:b/>
          <w:bCs/>
        </w:rPr>
        <w:t>DW</w:t>
      </w:r>
      <w:r w:rsidR="00985B0E">
        <w:t>”</w:t>
      </w:r>
      <w:r w:rsidRPr="005D6B58">
        <w:t xml:space="preserve"> </w:t>
      </w:r>
      <w:r w:rsidR="00985B0E">
        <w:t>stands for</w:t>
      </w:r>
      <w:r w:rsidRPr="005D6B58">
        <w:t xml:space="preserve"> Dry Weight. Concentrations measured and reported as mg/kg DW were converted to µg/g DW.</w:t>
      </w:r>
    </w:p>
    <w:tbl>
      <w:tblPr>
        <w:tblStyle w:val="GridTable4"/>
        <w:tblW w:w="9715" w:type="dxa"/>
        <w:tbl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insideH w:val="single" w:sz="6" w:space="0" w:color="0D0D0D" w:themeColor="text1" w:themeTint="F2"/>
          <w:insideV w:val="single" w:sz="6" w:space="0" w:color="0D0D0D" w:themeColor="text1" w:themeTint="F2"/>
        </w:tblBorders>
        <w:tblCellMar>
          <w:top w:w="29" w:type="dxa"/>
          <w:bottom w:w="29" w:type="dxa"/>
        </w:tblCellMar>
        <w:tblLook w:val="04A0" w:firstRow="1" w:lastRow="0" w:firstColumn="1" w:lastColumn="0" w:noHBand="0" w:noVBand="1"/>
      </w:tblPr>
      <w:tblGrid>
        <w:gridCol w:w="2335"/>
        <w:gridCol w:w="2610"/>
        <w:gridCol w:w="1800"/>
        <w:gridCol w:w="2970"/>
      </w:tblGrid>
      <w:tr w:rsidR="00565F31" w14:paraId="3B0581D6" w14:textId="77777777" w:rsidTr="007E4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5" w:type="dxa"/>
            <w:tcBorders>
              <w:top w:val="none" w:sz="0" w:space="0" w:color="auto"/>
              <w:left w:val="none" w:sz="0" w:space="0" w:color="auto"/>
              <w:bottom w:val="single" w:sz="8" w:space="0" w:color="0D0D0D" w:themeColor="text1" w:themeTint="F2"/>
              <w:right w:val="none" w:sz="0" w:space="0" w:color="auto"/>
            </w:tcBorders>
            <w:shd w:val="clear" w:color="auto" w:fill="855E0F"/>
            <w:vAlign w:val="center"/>
          </w:tcPr>
          <w:p w14:paraId="2FEC1562" w14:textId="4BE68869" w:rsidR="00334FB1" w:rsidRPr="00F9694B" w:rsidRDefault="00334FB1" w:rsidP="00F9694B">
            <w:r w:rsidRPr="00F9694B">
              <w:t>Common Name</w:t>
            </w:r>
          </w:p>
        </w:tc>
        <w:tc>
          <w:tcPr>
            <w:tcW w:w="2610" w:type="dxa"/>
            <w:tcBorders>
              <w:top w:val="none" w:sz="0" w:space="0" w:color="auto"/>
              <w:left w:val="none" w:sz="0" w:space="0" w:color="auto"/>
              <w:bottom w:val="single" w:sz="8" w:space="0" w:color="0D0D0D" w:themeColor="text1" w:themeTint="F2"/>
              <w:right w:val="none" w:sz="0" w:space="0" w:color="auto"/>
            </w:tcBorders>
            <w:shd w:val="clear" w:color="auto" w:fill="855E0F"/>
            <w:vAlign w:val="center"/>
          </w:tcPr>
          <w:p w14:paraId="0EFD0AAD" w14:textId="7D245475" w:rsidR="00334FB1" w:rsidRPr="00F9694B" w:rsidRDefault="00334FB1" w:rsidP="00F9694B">
            <w:pPr>
              <w:cnfStyle w:val="100000000000" w:firstRow="1" w:lastRow="0" w:firstColumn="0" w:lastColumn="0" w:oddVBand="0" w:evenVBand="0" w:oddHBand="0" w:evenHBand="0" w:firstRowFirstColumn="0" w:firstRowLastColumn="0" w:lastRowFirstColumn="0" w:lastRowLastColumn="0"/>
            </w:pPr>
            <w:r w:rsidRPr="00F9694B">
              <w:t>Scientific Name</w:t>
            </w:r>
          </w:p>
        </w:tc>
        <w:tc>
          <w:tcPr>
            <w:tcW w:w="1800" w:type="dxa"/>
            <w:tcBorders>
              <w:top w:val="none" w:sz="0" w:space="0" w:color="auto"/>
              <w:left w:val="none" w:sz="0" w:space="0" w:color="auto"/>
              <w:bottom w:val="single" w:sz="8" w:space="0" w:color="0D0D0D" w:themeColor="text1" w:themeTint="F2"/>
              <w:right w:val="none" w:sz="0" w:space="0" w:color="auto"/>
            </w:tcBorders>
            <w:shd w:val="clear" w:color="auto" w:fill="855E0F"/>
            <w:vAlign w:val="center"/>
          </w:tcPr>
          <w:p w14:paraId="1C8F398F" w14:textId="6482EC04" w:rsidR="00334FB1" w:rsidRPr="00F9694B" w:rsidRDefault="00334FB1" w:rsidP="00F9694B">
            <w:pPr>
              <w:cnfStyle w:val="100000000000" w:firstRow="1" w:lastRow="0" w:firstColumn="0" w:lastColumn="0" w:oddVBand="0" w:evenVBand="0" w:oddHBand="0" w:evenHBand="0" w:firstRowFirstColumn="0" w:firstRowLastColumn="0" w:lastRowFirstColumn="0" w:lastRowLastColumn="0"/>
            </w:pPr>
            <w:r w:rsidRPr="00F9694B">
              <w:t>Iodine Concentration</w:t>
            </w:r>
            <w:r w:rsidR="009B7677" w:rsidRPr="00F9694B">
              <w:t xml:space="preserve"> (µg/g DW)</w:t>
            </w:r>
          </w:p>
        </w:tc>
        <w:tc>
          <w:tcPr>
            <w:tcW w:w="2970" w:type="dxa"/>
            <w:tcBorders>
              <w:top w:val="none" w:sz="0" w:space="0" w:color="auto"/>
              <w:left w:val="none" w:sz="0" w:space="0" w:color="auto"/>
              <w:bottom w:val="single" w:sz="8" w:space="0" w:color="0D0D0D" w:themeColor="text1" w:themeTint="F2"/>
              <w:right w:val="none" w:sz="0" w:space="0" w:color="auto"/>
            </w:tcBorders>
            <w:shd w:val="clear" w:color="auto" w:fill="855E0F"/>
            <w:vAlign w:val="center"/>
          </w:tcPr>
          <w:p w14:paraId="3D9FEAF5" w14:textId="198B2C90" w:rsidR="00334FB1" w:rsidRPr="00F9694B" w:rsidRDefault="00334FB1" w:rsidP="00F9694B">
            <w:pPr>
              <w:cnfStyle w:val="100000000000" w:firstRow="1" w:lastRow="0" w:firstColumn="0" w:lastColumn="0" w:oddVBand="0" w:evenVBand="0" w:oddHBand="0" w:evenHBand="0" w:firstRowFirstColumn="0" w:firstRowLastColumn="0" w:lastRowFirstColumn="0" w:lastRowLastColumn="0"/>
            </w:pPr>
            <w:r w:rsidRPr="00F9694B">
              <w:t>Reference</w:t>
            </w:r>
          </w:p>
        </w:tc>
      </w:tr>
      <w:tr w:rsidR="00565F31" w14:paraId="0D7E3337"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tcBorders>
            <w:shd w:val="clear" w:color="auto" w:fill="D9D9D9" w:themeFill="background1" w:themeFillShade="D9"/>
            <w:vAlign w:val="center"/>
          </w:tcPr>
          <w:p w14:paraId="5D52B77F" w14:textId="31377056" w:rsidR="00334FB1" w:rsidRDefault="00334FB1" w:rsidP="00C45D3A">
            <w:r w:rsidRPr="00334FB1">
              <w:t>Arame or Sea Oak</w:t>
            </w:r>
          </w:p>
        </w:tc>
        <w:tc>
          <w:tcPr>
            <w:tcW w:w="2610" w:type="dxa"/>
            <w:tcBorders>
              <w:top w:val="single" w:sz="8" w:space="0" w:color="0D0D0D" w:themeColor="text1" w:themeTint="F2"/>
            </w:tcBorders>
            <w:shd w:val="clear" w:color="auto" w:fill="D9D9D9" w:themeFill="background1" w:themeFillShade="D9"/>
            <w:vAlign w:val="center"/>
          </w:tcPr>
          <w:p w14:paraId="49566B49" w14:textId="59C421B8" w:rsidR="00334FB1" w:rsidRPr="00334FB1" w:rsidRDefault="00334FB1" w:rsidP="00C45D3A">
            <w:pPr>
              <w:cnfStyle w:val="000000100000" w:firstRow="0" w:lastRow="0" w:firstColumn="0" w:lastColumn="0" w:oddVBand="0" w:evenVBand="0" w:oddHBand="1" w:evenHBand="0" w:firstRowFirstColumn="0" w:firstRowLastColumn="0" w:lastRowFirstColumn="0" w:lastRowLastColumn="0"/>
              <w:rPr>
                <w:i/>
                <w:iCs/>
              </w:rPr>
            </w:pPr>
            <w:r>
              <w:rPr>
                <w:i/>
                <w:iCs/>
              </w:rPr>
              <w:t>Eisenia bicyclis</w:t>
            </w:r>
          </w:p>
        </w:tc>
        <w:tc>
          <w:tcPr>
            <w:tcW w:w="1800" w:type="dxa"/>
            <w:tcBorders>
              <w:top w:val="single" w:sz="8" w:space="0" w:color="0D0D0D" w:themeColor="text1" w:themeTint="F2"/>
            </w:tcBorders>
            <w:shd w:val="clear" w:color="auto" w:fill="D9D9D9" w:themeFill="background1" w:themeFillShade="D9"/>
            <w:vAlign w:val="center"/>
          </w:tcPr>
          <w:p w14:paraId="135EBBCB" w14:textId="589C68DC" w:rsidR="00334FB1" w:rsidRDefault="00EA4884" w:rsidP="00C45D3A">
            <w:pPr>
              <w:cnfStyle w:val="000000100000" w:firstRow="0" w:lastRow="0" w:firstColumn="0" w:lastColumn="0" w:oddVBand="0" w:evenVBand="0" w:oddHBand="1" w:evenHBand="0" w:firstRowFirstColumn="0" w:firstRowLastColumn="0" w:lastRowFirstColumn="0" w:lastRowLastColumn="0"/>
            </w:pPr>
            <w:r>
              <w:t>434</w:t>
            </w:r>
          </w:p>
        </w:tc>
        <w:tc>
          <w:tcPr>
            <w:tcW w:w="2970" w:type="dxa"/>
            <w:tcBorders>
              <w:top w:val="single" w:sz="8" w:space="0" w:color="0D0D0D" w:themeColor="text1" w:themeTint="F2"/>
            </w:tcBorders>
            <w:shd w:val="clear" w:color="auto" w:fill="D9D9D9" w:themeFill="background1" w:themeFillShade="D9"/>
            <w:vAlign w:val="center"/>
          </w:tcPr>
          <w:p w14:paraId="34572048" w14:textId="5B462731" w:rsidR="00334FB1" w:rsidRDefault="00EA4884" w:rsidP="00C45D3A">
            <w:pPr>
              <w:cnfStyle w:val="000000100000" w:firstRow="0" w:lastRow="0" w:firstColumn="0" w:lastColumn="0" w:oddVBand="0" w:evenVBand="0" w:oddHBand="1" w:evenHBand="0" w:firstRowFirstColumn="0" w:firstRowLastColumn="0" w:lastRowFirstColumn="0" w:lastRowLastColumn="0"/>
            </w:pPr>
            <w:r>
              <w:t>Aakre et al., 2021</w:t>
            </w:r>
          </w:p>
        </w:tc>
      </w:tr>
      <w:tr w:rsidR="00565F31" w14:paraId="3207A10A" w14:textId="77777777" w:rsidTr="007E4940">
        <w:tc>
          <w:tcPr>
            <w:cnfStyle w:val="001000000000" w:firstRow="0" w:lastRow="0" w:firstColumn="1" w:lastColumn="0" w:oddVBand="0" w:evenVBand="0" w:oddHBand="0" w:evenHBand="0" w:firstRowFirstColumn="0" w:firstRowLastColumn="0" w:lastRowFirstColumn="0" w:lastRowLastColumn="0"/>
            <w:tcW w:w="2335" w:type="dxa"/>
            <w:vAlign w:val="center"/>
          </w:tcPr>
          <w:p w14:paraId="3D7F7C47" w14:textId="1DF541C8" w:rsidR="00334FB1" w:rsidRDefault="00334FB1" w:rsidP="00C45D3A">
            <w:r w:rsidRPr="00334FB1">
              <w:t>Arame or Sea Oak</w:t>
            </w:r>
          </w:p>
        </w:tc>
        <w:tc>
          <w:tcPr>
            <w:tcW w:w="2610" w:type="dxa"/>
            <w:vAlign w:val="center"/>
          </w:tcPr>
          <w:p w14:paraId="5ECF8B94" w14:textId="0EAEAC57" w:rsidR="00334FB1" w:rsidRDefault="00334FB1" w:rsidP="00C45D3A">
            <w:pPr>
              <w:cnfStyle w:val="000000000000" w:firstRow="0" w:lastRow="0" w:firstColumn="0" w:lastColumn="0" w:oddVBand="0" w:evenVBand="0" w:oddHBand="0" w:evenHBand="0" w:firstRowFirstColumn="0" w:firstRowLastColumn="0" w:lastRowFirstColumn="0" w:lastRowLastColumn="0"/>
            </w:pPr>
            <w:r>
              <w:rPr>
                <w:i/>
                <w:iCs/>
              </w:rPr>
              <w:t>Eisenia bicyclis</w:t>
            </w:r>
          </w:p>
        </w:tc>
        <w:tc>
          <w:tcPr>
            <w:tcW w:w="1800" w:type="dxa"/>
            <w:vAlign w:val="center"/>
          </w:tcPr>
          <w:p w14:paraId="5B2A9A29" w14:textId="211074E3" w:rsidR="00334FB1" w:rsidRDefault="00EA4884" w:rsidP="00C45D3A">
            <w:pPr>
              <w:cnfStyle w:val="000000000000" w:firstRow="0" w:lastRow="0" w:firstColumn="0" w:lastColumn="0" w:oddVBand="0" w:evenVBand="0" w:oddHBand="0" w:evenHBand="0" w:firstRowFirstColumn="0" w:firstRowLastColumn="0" w:lastRowFirstColumn="0" w:lastRowLastColumn="0"/>
            </w:pPr>
            <w:r>
              <w:t>706</w:t>
            </w:r>
            <w:r w:rsidRPr="0059485C">
              <w:t>–</w:t>
            </w:r>
            <w:r>
              <w:t>721</w:t>
            </w:r>
          </w:p>
        </w:tc>
        <w:tc>
          <w:tcPr>
            <w:tcW w:w="2970" w:type="dxa"/>
            <w:vAlign w:val="center"/>
          </w:tcPr>
          <w:p w14:paraId="0C68F83B" w14:textId="46F402C7" w:rsidR="00334FB1" w:rsidRDefault="00EA4884" w:rsidP="00C45D3A">
            <w:pPr>
              <w:cnfStyle w:val="000000000000" w:firstRow="0" w:lastRow="0" w:firstColumn="0" w:lastColumn="0" w:oddVBand="0" w:evenVBand="0" w:oddHBand="0" w:evenHBand="0" w:firstRowFirstColumn="0" w:firstRowLastColumn="0" w:lastRowFirstColumn="0" w:lastRowLastColumn="0"/>
            </w:pPr>
            <w:r>
              <w:t>Lee et al., 1994</w:t>
            </w:r>
          </w:p>
        </w:tc>
      </w:tr>
      <w:tr w:rsidR="00565F31" w14:paraId="1B725A0E"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vAlign w:val="center"/>
          </w:tcPr>
          <w:p w14:paraId="69B9B98C" w14:textId="0BD43D17" w:rsidR="00334FB1" w:rsidRDefault="00334FB1" w:rsidP="00C45D3A">
            <w:r w:rsidRPr="00334FB1">
              <w:t>Arame or Sea Oak</w:t>
            </w:r>
          </w:p>
        </w:tc>
        <w:tc>
          <w:tcPr>
            <w:tcW w:w="2610" w:type="dxa"/>
            <w:shd w:val="clear" w:color="auto" w:fill="D9D9D9" w:themeFill="background1" w:themeFillShade="D9"/>
            <w:vAlign w:val="center"/>
          </w:tcPr>
          <w:p w14:paraId="1510238D" w14:textId="5E16315D" w:rsidR="00334FB1" w:rsidRDefault="00334FB1" w:rsidP="00C45D3A">
            <w:pPr>
              <w:cnfStyle w:val="000000100000" w:firstRow="0" w:lastRow="0" w:firstColumn="0" w:lastColumn="0" w:oddVBand="0" w:evenVBand="0" w:oddHBand="1" w:evenHBand="0" w:firstRowFirstColumn="0" w:firstRowLastColumn="0" w:lastRowFirstColumn="0" w:lastRowLastColumn="0"/>
            </w:pPr>
            <w:r>
              <w:rPr>
                <w:i/>
                <w:iCs/>
              </w:rPr>
              <w:t>Eisenia bicyclis</w:t>
            </w:r>
          </w:p>
        </w:tc>
        <w:tc>
          <w:tcPr>
            <w:tcW w:w="1800" w:type="dxa"/>
            <w:shd w:val="clear" w:color="auto" w:fill="D9D9D9" w:themeFill="background1" w:themeFillShade="D9"/>
            <w:vAlign w:val="center"/>
          </w:tcPr>
          <w:p w14:paraId="27309D15" w14:textId="7949ED7C" w:rsidR="00334FB1" w:rsidRDefault="00EA4884" w:rsidP="00C45D3A">
            <w:pPr>
              <w:cnfStyle w:val="000000100000" w:firstRow="0" w:lastRow="0" w:firstColumn="0" w:lastColumn="0" w:oddVBand="0" w:evenVBand="0" w:oddHBand="1" w:evenHBand="0" w:firstRowFirstColumn="0" w:firstRowLastColumn="0" w:lastRowFirstColumn="0" w:lastRowLastColumn="0"/>
            </w:pPr>
            <w:r>
              <w:t>586</w:t>
            </w:r>
          </w:p>
        </w:tc>
        <w:tc>
          <w:tcPr>
            <w:tcW w:w="2970" w:type="dxa"/>
            <w:shd w:val="clear" w:color="auto" w:fill="D9D9D9" w:themeFill="background1" w:themeFillShade="D9"/>
            <w:vAlign w:val="center"/>
          </w:tcPr>
          <w:p w14:paraId="0F0705B3" w14:textId="19D4F87A" w:rsidR="00334FB1" w:rsidRDefault="00EA4884" w:rsidP="00C45D3A">
            <w:pPr>
              <w:cnfStyle w:val="000000100000" w:firstRow="0" w:lastRow="0" w:firstColumn="0" w:lastColumn="0" w:oddVBand="0" w:evenVBand="0" w:oddHBand="1" w:evenHBand="0" w:firstRowFirstColumn="0" w:firstRowLastColumn="0" w:lastRowFirstColumn="0" w:lastRowLastColumn="0"/>
            </w:pPr>
            <w:r>
              <w:t>Teas et al., 2004</w:t>
            </w:r>
          </w:p>
        </w:tc>
      </w:tr>
      <w:tr w:rsidR="00565F31" w14:paraId="16BC9641"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bottom w:val="single" w:sz="8" w:space="0" w:color="0D0D0D" w:themeColor="text1" w:themeTint="F2"/>
            </w:tcBorders>
            <w:vAlign w:val="center"/>
          </w:tcPr>
          <w:p w14:paraId="0CF57D24" w14:textId="6042565E" w:rsidR="00334FB1" w:rsidRDefault="00334FB1" w:rsidP="00C45D3A">
            <w:r w:rsidRPr="00334FB1">
              <w:t>Arame or Sea Oak</w:t>
            </w:r>
          </w:p>
        </w:tc>
        <w:tc>
          <w:tcPr>
            <w:tcW w:w="2610" w:type="dxa"/>
            <w:tcBorders>
              <w:bottom w:val="single" w:sz="8" w:space="0" w:color="0D0D0D" w:themeColor="text1" w:themeTint="F2"/>
            </w:tcBorders>
            <w:vAlign w:val="center"/>
          </w:tcPr>
          <w:p w14:paraId="40CE8E71" w14:textId="147099A0" w:rsidR="00334FB1" w:rsidRDefault="00334FB1" w:rsidP="00C45D3A">
            <w:pPr>
              <w:cnfStyle w:val="000000000000" w:firstRow="0" w:lastRow="0" w:firstColumn="0" w:lastColumn="0" w:oddVBand="0" w:evenVBand="0" w:oddHBand="0" w:evenHBand="0" w:firstRowFirstColumn="0" w:firstRowLastColumn="0" w:lastRowFirstColumn="0" w:lastRowLastColumn="0"/>
            </w:pPr>
            <w:r>
              <w:rPr>
                <w:i/>
                <w:iCs/>
              </w:rPr>
              <w:t>Eisenia bicyclis</w:t>
            </w:r>
          </w:p>
        </w:tc>
        <w:tc>
          <w:tcPr>
            <w:tcW w:w="1800" w:type="dxa"/>
            <w:tcBorders>
              <w:bottom w:val="single" w:sz="8" w:space="0" w:color="0D0D0D" w:themeColor="text1" w:themeTint="F2"/>
            </w:tcBorders>
            <w:vAlign w:val="center"/>
          </w:tcPr>
          <w:p w14:paraId="4F3B6003" w14:textId="4D5530F2" w:rsidR="00334FB1" w:rsidRDefault="00EA4884" w:rsidP="00C45D3A">
            <w:pPr>
              <w:cnfStyle w:val="000000000000" w:firstRow="0" w:lastRow="0" w:firstColumn="0" w:lastColumn="0" w:oddVBand="0" w:evenVBand="0" w:oddHBand="0" w:evenHBand="0" w:firstRowFirstColumn="0" w:firstRowLastColumn="0" w:lastRowFirstColumn="0" w:lastRowLastColumn="0"/>
            </w:pPr>
            <w:r>
              <w:t>600</w:t>
            </w:r>
          </w:p>
        </w:tc>
        <w:tc>
          <w:tcPr>
            <w:tcW w:w="2970" w:type="dxa"/>
            <w:tcBorders>
              <w:bottom w:val="single" w:sz="8" w:space="0" w:color="0D0D0D" w:themeColor="text1" w:themeTint="F2"/>
            </w:tcBorders>
            <w:vAlign w:val="center"/>
          </w:tcPr>
          <w:p w14:paraId="33DF4090" w14:textId="7F5612D9" w:rsidR="00334FB1" w:rsidRDefault="00EA4884" w:rsidP="00C45D3A">
            <w:pPr>
              <w:cnfStyle w:val="000000000000" w:firstRow="0" w:lastRow="0" w:firstColumn="0" w:lastColumn="0" w:oddVBand="0" w:evenVBand="0" w:oddHBand="0" w:evenHBand="0" w:firstRowFirstColumn="0" w:firstRowLastColumn="0" w:lastRowFirstColumn="0" w:lastRowLastColumn="0"/>
            </w:pPr>
            <w:r>
              <w:t>Van Netten et al., 2000</w:t>
            </w:r>
          </w:p>
        </w:tc>
      </w:tr>
      <w:tr w:rsidR="00565F31" w14:paraId="080273F6"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tcBorders>
            <w:shd w:val="clear" w:color="auto" w:fill="D9D9D9" w:themeFill="background1" w:themeFillShade="D9"/>
            <w:vAlign w:val="center"/>
          </w:tcPr>
          <w:p w14:paraId="5BDCE918" w14:textId="64805F8A" w:rsidR="00334FB1" w:rsidRDefault="00334FB1" w:rsidP="00C45D3A">
            <w:r w:rsidRPr="00334FB1">
              <w:t>Bladderwrack</w:t>
            </w:r>
          </w:p>
        </w:tc>
        <w:tc>
          <w:tcPr>
            <w:tcW w:w="2610" w:type="dxa"/>
            <w:tcBorders>
              <w:top w:val="single" w:sz="8" w:space="0" w:color="0D0D0D" w:themeColor="text1" w:themeTint="F2"/>
            </w:tcBorders>
            <w:shd w:val="clear" w:color="auto" w:fill="D9D9D9" w:themeFill="background1" w:themeFillShade="D9"/>
            <w:vAlign w:val="center"/>
          </w:tcPr>
          <w:p w14:paraId="44E72160" w14:textId="4AF67321" w:rsidR="00334FB1" w:rsidRPr="00334FB1" w:rsidRDefault="00334FB1" w:rsidP="00C45D3A">
            <w:pPr>
              <w:cnfStyle w:val="000000100000" w:firstRow="0" w:lastRow="0" w:firstColumn="0" w:lastColumn="0" w:oddVBand="0" w:evenVBand="0" w:oddHBand="1" w:evenHBand="0" w:firstRowFirstColumn="0" w:firstRowLastColumn="0" w:lastRowFirstColumn="0" w:lastRowLastColumn="0"/>
              <w:rPr>
                <w:i/>
                <w:iCs/>
              </w:rPr>
            </w:pPr>
            <w:r>
              <w:rPr>
                <w:i/>
                <w:iCs/>
              </w:rPr>
              <w:t>Fucus vesiculosus</w:t>
            </w:r>
          </w:p>
        </w:tc>
        <w:tc>
          <w:tcPr>
            <w:tcW w:w="1800" w:type="dxa"/>
            <w:tcBorders>
              <w:top w:val="single" w:sz="8" w:space="0" w:color="0D0D0D" w:themeColor="text1" w:themeTint="F2"/>
            </w:tcBorders>
            <w:shd w:val="clear" w:color="auto" w:fill="D9D9D9" w:themeFill="background1" w:themeFillShade="D9"/>
            <w:vAlign w:val="center"/>
          </w:tcPr>
          <w:p w14:paraId="71F829AD" w14:textId="17923C5F" w:rsidR="00334FB1" w:rsidRDefault="00EA4884" w:rsidP="00C45D3A">
            <w:pPr>
              <w:cnfStyle w:val="000000100000" w:firstRow="0" w:lastRow="0" w:firstColumn="0" w:lastColumn="0" w:oddVBand="0" w:evenVBand="0" w:oddHBand="1" w:evenHBand="0" w:firstRowFirstColumn="0" w:firstRowLastColumn="0" w:lastRowFirstColumn="0" w:lastRowLastColumn="0"/>
            </w:pPr>
            <w:r>
              <w:t>137</w:t>
            </w:r>
          </w:p>
        </w:tc>
        <w:tc>
          <w:tcPr>
            <w:tcW w:w="2970" w:type="dxa"/>
            <w:tcBorders>
              <w:top w:val="single" w:sz="8" w:space="0" w:color="0D0D0D" w:themeColor="text1" w:themeTint="F2"/>
            </w:tcBorders>
            <w:shd w:val="clear" w:color="auto" w:fill="D9D9D9" w:themeFill="background1" w:themeFillShade="D9"/>
            <w:vAlign w:val="center"/>
          </w:tcPr>
          <w:p w14:paraId="5863CED4" w14:textId="2C193A5F" w:rsidR="00334FB1" w:rsidRDefault="00EA4884" w:rsidP="00C45D3A">
            <w:pPr>
              <w:cnfStyle w:val="000000100000" w:firstRow="0" w:lastRow="0" w:firstColumn="0" w:lastColumn="0" w:oddVBand="0" w:evenVBand="0" w:oddHBand="1" w:evenHBand="0" w:firstRowFirstColumn="0" w:firstRowLastColumn="0" w:lastRowFirstColumn="0" w:lastRowLastColumn="0"/>
            </w:pPr>
            <w:r>
              <w:t>Aakre et al., 2021</w:t>
            </w:r>
          </w:p>
        </w:tc>
      </w:tr>
      <w:tr w:rsidR="00590CA5" w14:paraId="3881D4E0" w14:textId="77777777" w:rsidTr="007E4940">
        <w:tc>
          <w:tcPr>
            <w:cnfStyle w:val="001000000000" w:firstRow="0" w:lastRow="0" w:firstColumn="1" w:lastColumn="0" w:oddVBand="0" w:evenVBand="0" w:oddHBand="0" w:evenHBand="0" w:firstRowFirstColumn="0" w:firstRowLastColumn="0" w:lastRowFirstColumn="0" w:lastRowLastColumn="0"/>
            <w:tcW w:w="2335" w:type="dxa"/>
            <w:vAlign w:val="center"/>
          </w:tcPr>
          <w:p w14:paraId="612748C8" w14:textId="616AEFC3" w:rsidR="00334FB1" w:rsidRDefault="00334FB1" w:rsidP="00C45D3A">
            <w:r w:rsidRPr="00334FB1">
              <w:t>Bladderwrack</w:t>
            </w:r>
          </w:p>
        </w:tc>
        <w:tc>
          <w:tcPr>
            <w:tcW w:w="2610" w:type="dxa"/>
            <w:vAlign w:val="center"/>
          </w:tcPr>
          <w:p w14:paraId="3B200523" w14:textId="2EDA3546" w:rsidR="00334FB1" w:rsidRDefault="00334FB1" w:rsidP="00C45D3A">
            <w:pPr>
              <w:cnfStyle w:val="000000000000" w:firstRow="0" w:lastRow="0" w:firstColumn="0" w:lastColumn="0" w:oddVBand="0" w:evenVBand="0" w:oddHBand="0" w:evenHBand="0" w:firstRowFirstColumn="0" w:firstRowLastColumn="0" w:lastRowFirstColumn="0" w:lastRowLastColumn="0"/>
            </w:pPr>
            <w:r>
              <w:rPr>
                <w:i/>
                <w:iCs/>
              </w:rPr>
              <w:t>Fucus vesiculosus</w:t>
            </w:r>
          </w:p>
        </w:tc>
        <w:tc>
          <w:tcPr>
            <w:tcW w:w="1800" w:type="dxa"/>
            <w:vAlign w:val="center"/>
          </w:tcPr>
          <w:p w14:paraId="5671D971" w14:textId="51B6F28A" w:rsidR="00334FB1" w:rsidRDefault="00EA4884" w:rsidP="00C45D3A">
            <w:pPr>
              <w:cnfStyle w:val="000000000000" w:firstRow="0" w:lastRow="0" w:firstColumn="0" w:lastColumn="0" w:oddVBand="0" w:evenVBand="0" w:oddHBand="0" w:evenHBand="0" w:firstRowFirstColumn="0" w:firstRowLastColumn="0" w:lastRowFirstColumn="0" w:lastRowLastColumn="0"/>
            </w:pPr>
            <w:r>
              <w:t>137.8</w:t>
            </w:r>
            <w:r w:rsidRPr="00EA4884">
              <w:t>–</w:t>
            </w:r>
            <w:r>
              <w:t>451.2</w:t>
            </w:r>
          </w:p>
        </w:tc>
        <w:tc>
          <w:tcPr>
            <w:tcW w:w="2970" w:type="dxa"/>
            <w:vAlign w:val="center"/>
          </w:tcPr>
          <w:p w14:paraId="68AFBA10" w14:textId="1100D648" w:rsidR="00334FB1" w:rsidRDefault="00EA4884" w:rsidP="00C45D3A">
            <w:pPr>
              <w:cnfStyle w:val="000000000000" w:firstRow="0" w:lastRow="0" w:firstColumn="0" w:lastColumn="0" w:oddVBand="0" w:evenVBand="0" w:oddHBand="0" w:evenHBand="0" w:firstRowFirstColumn="0" w:firstRowLastColumn="0" w:lastRowFirstColumn="0" w:lastRowLastColumn="0"/>
            </w:pPr>
            <w:r w:rsidRPr="00EA4884">
              <w:t>Sá Monteiro et al., 2019</w:t>
            </w:r>
          </w:p>
        </w:tc>
      </w:tr>
      <w:tr w:rsidR="00565F31" w14:paraId="1330ED97"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bottom w:val="single" w:sz="8" w:space="0" w:color="0D0D0D" w:themeColor="text1" w:themeTint="F2"/>
            </w:tcBorders>
            <w:shd w:val="clear" w:color="auto" w:fill="D9D9D9" w:themeFill="background1" w:themeFillShade="D9"/>
            <w:vAlign w:val="center"/>
          </w:tcPr>
          <w:p w14:paraId="67D05FC7" w14:textId="073364DE" w:rsidR="00334FB1" w:rsidRDefault="00334FB1" w:rsidP="00C45D3A">
            <w:r w:rsidRPr="00334FB1">
              <w:t>Bladderwrack</w:t>
            </w:r>
          </w:p>
        </w:tc>
        <w:tc>
          <w:tcPr>
            <w:tcW w:w="2610" w:type="dxa"/>
            <w:tcBorders>
              <w:bottom w:val="single" w:sz="8" w:space="0" w:color="0D0D0D" w:themeColor="text1" w:themeTint="F2"/>
            </w:tcBorders>
            <w:shd w:val="clear" w:color="auto" w:fill="D9D9D9" w:themeFill="background1" w:themeFillShade="D9"/>
            <w:vAlign w:val="center"/>
          </w:tcPr>
          <w:p w14:paraId="3FF73D4B" w14:textId="043A7A14" w:rsidR="00334FB1" w:rsidRDefault="00334FB1" w:rsidP="00C45D3A">
            <w:pPr>
              <w:cnfStyle w:val="000000100000" w:firstRow="0" w:lastRow="0" w:firstColumn="0" w:lastColumn="0" w:oddVBand="0" w:evenVBand="0" w:oddHBand="1" w:evenHBand="0" w:firstRowFirstColumn="0" w:firstRowLastColumn="0" w:lastRowFirstColumn="0" w:lastRowLastColumn="0"/>
            </w:pPr>
            <w:r>
              <w:rPr>
                <w:i/>
                <w:iCs/>
              </w:rPr>
              <w:t>Fucus vesiculosus</w:t>
            </w:r>
          </w:p>
        </w:tc>
        <w:tc>
          <w:tcPr>
            <w:tcW w:w="1800" w:type="dxa"/>
            <w:tcBorders>
              <w:bottom w:val="single" w:sz="8" w:space="0" w:color="0D0D0D" w:themeColor="text1" w:themeTint="F2"/>
            </w:tcBorders>
            <w:shd w:val="clear" w:color="auto" w:fill="D9D9D9" w:themeFill="background1" w:themeFillShade="D9"/>
            <w:vAlign w:val="center"/>
          </w:tcPr>
          <w:p w14:paraId="0AF74496" w14:textId="22156018" w:rsidR="00334FB1" w:rsidRDefault="00EA4884" w:rsidP="00C45D3A">
            <w:pPr>
              <w:cnfStyle w:val="000000100000" w:firstRow="0" w:lastRow="0" w:firstColumn="0" w:lastColumn="0" w:oddVBand="0" w:evenVBand="0" w:oddHBand="1" w:evenHBand="0" w:firstRowFirstColumn="0" w:firstRowLastColumn="0" w:lastRowFirstColumn="0" w:lastRowLastColumn="0"/>
            </w:pPr>
            <w:r>
              <w:t>732</w:t>
            </w:r>
          </w:p>
        </w:tc>
        <w:tc>
          <w:tcPr>
            <w:tcW w:w="2970" w:type="dxa"/>
            <w:tcBorders>
              <w:bottom w:val="single" w:sz="8" w:space="0" w:color="0D0D0D" w:themeColor="text1" w:themeTint="F2"/>
            </w:tcBorders>
            <w:shd w:val="clear" w:color="auto" w:fill="D9D9D9" w:themeFill="background1" w:themeFillShade="D9"/>
            <w:vAlign w:val="center"/>
          </w:tcPr>
          <w:p w14:paraId="4B0ED5E7" w14:textId="7BABCB26" w:rsidR="00334FB1" w:rsidRDefault="00EA4884" w:rsidP="00C45D3A">
            <w:pPr>
              <w:cnfStyle w:val="000000100000" w:firstRow="0" w:lastRow="0" w:firstColumn="0" w:lastColumn="0" w:oddVBand="0" w:evenVBand="0" w:oddHBand="1" w:evenHBand="0" w:firstRowFirstColumn="0" w:firstRowLastColumn="0" w:lastRowFirstColumn="0" w:lastRowLastColumn="0"/>
            </w:pPr>
            <w:r w:rsidRPr="00EA4884">
              <w:t>Van Netten et al., 2000</w:t>
            </w:r>
          </w:p>
        </w:tc>
      </w:tr>
      <w:tr w:rsidR="00565F31" w14:paraId="31D7C2C7"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tcBorders>
            <w:vAlign w:val="center"/>
          </w:tcPr>
          <w:p w14:paraId="5A584596" w14:textId="35B9A9E8" w:rsidR="00334FB1" w:rsidRPr="00334FB1" w:rsidRDefault="00334FB1" w:rsidP="00C45D3A">
            <w:r>
              <w:t>Bull Kelp</w:t>
            </w:r>
          </w:p>
        </w:tc>
        <w:tc>
          <w:tcPr>
            <w:tcW w:w="2610" w:type="dxa"/>
            <w:tcBorders>
              <w:top w:val="single" w:sz="8" w:space="0" w:color="0D0D0D" w:themeColor="text1" w:themeTint="F2"/>
            </w:tcBorders>
            <w:vAlign w:val="center"/>
          </w:tcPr>
          <w:p w14:paraId="077278BE" w14:textId="31C13A9C" w:rsidR="00334FB1" w:rsidRDefault="009B7677" w:rsidP="00C45D3A">
            <w:pPr>
              <w:cnfStyle w:val="000000000000" w:firstRow="0" w:lastRow="0" w:firstColumn="0" w:lastColumn="0" w:oddVBand="0" w:evenVBand="0" w:oddHBand="0" w:evenHBand="0" w:firstRowFirstColumn="0" w:firstRowLastColumn="0" w:lastRowFirstColumn="0" w:lastRowLastColumn="0"/>
              <w:rPr>
                <w:i/>
                <w:iCs/>
              </w:rPr>
            </w:pPr>
            <w:r w:rsidRPr="009B7677">
              <w:rPr>
                <w:i/>
                <w:iCs/>
              </w:rPr>
              <w:t>Nereocystis luetkeana</w:t>
            </w:r>
          </w:p>
        </w:tc>
        <w:tc>
          <w:tcPr>
            <w:tcW w:w="1800" w:type="dxa"/>
            <w:tcBorders>
              <w:top w:val="single" w:sz="8" w:space="0" w:color="0D0D0D" w:themeColor="text1" w:themeTint="F2"/>
            </w:tcBorders>
            <w:vAlign w:val="center"/>
          </w:tcPr>
          <w:p w14:paraId="4D8EBE0E" w14:textId="1A0A0E9E" w:rsidR="00334FB1" w:rsidRDefault="00EA4884" w:rsidP="00C45D3A">
            <w:pPr>
              <w:cnfStyle w:val="000000000000" w:firstRow="0" w:lastRow="0" w:firstColumn="0" w:lastColumn="0" w:oddVBand="0" w:evenVBand="0" w:oddHBand="0" w:evenHBand="0" w:firstRowFirstColumn="0" w:firstRowLastColumn="0" w:lastRowFirstColumn="0" w:lastRowLastColumn="0"/>
            </w:pPr>
            <w:r>
              <w:t>734</w:t>
            </w:r>
          </w:p>
        </w:tc>
        <w:tc>
          <w:tcPr>
            <w:tcW w:w="2970" w:type="dxa"/>
            <w:tcBorders>
              <w:top w:val="single" w:sz="8" w:space="0" w:color="0D0D0D" w:themeColor="text1" w:themeTint="F2"/>
            </w:tcBorders>
            <w:vAlign w:val="center"/>
          </w:tcPr>
          <w:p w14:paraId="781DFF4A" w14:textId="39D4AA18" w:rsidR="00334FB1" w:rsidRDefault="00EA4884" w:rsidP="00C45D3A">
            <w:pPr>
              <w:cnfStyle w:val="000000000000" w:firstRow="0" w:lastRow="0" w:firstColumn="0" w:lastColumn="0" w:oddVBand="0" w:evenVBand="0" w:oddHBand="0" w:evenHBand="0" w:firstRowFirstColumn="0" w:firstRowLastColumn="0" w:lastRowFirstColumn="0" w:lastRowLastColumn="0"/>
            </w:pPr>
            <w:r w:rsidRPr="00EA4884">
              <w:t>Van Netten et al., 2000</w:t>
            </w:r>
          </w:p>
        </w:tc>
      </w:tr>
      <w:tr w:rsidR="00565F31" w14:paraId="54A96BC2"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bottom w:val="single" w:sz="8" w:space="0" w:color="0D0D0D" w:themeColor="text1" w:themeTint="F2"/>
            </w:tcBorders>
            <w:shd w:val="clear" w:color="auto" w:fill="D9D9D9" w:themeFill="background1" w:themeFillShade="D9"/>
            <w:vAlign w:val="center"/>
          </w:tcPr>
          <w:p w14:paraId="3D5820BD" w14:textId="1AACDAE1" w:rsidR="00334FB1" w:rsidRPr="00334FB1" w:rsidRDefault="00334FB1" w:rsidP="00C45D3A">
            <w:r>
              <w:t>Bull Kelp</w:t>
            </w:r>
          </w:p>
        </w:tc>
        <w:tc>
          <w:tcPr>
            <w:tcW w:w="2610" w:type="dxa"/>
            <w:tcBorders>
              <w:bottom w:val="single" w:sz="8" w:space="0" w:color="0D0D0D" w:themeColor="text1" w:themeTint="F2"/>
            </w:tcBorders>
            <w:shd w:val="clear" w:color="auto" w:fill="D9D9D9" w:themeFill="background1" w:themeFillShade="D9"/>
            <w:vAlign w:val="center"/>
          </w:tcPr>
          <w:p w14:paraId="78ECC155" w14:textId="3FB85659" w:rsidR="00334FB1" w:rsidRDefault="009B7677" w:rsidP="00C45D3A">
            <w:pPr>
              <w:cnfStyle w:val="000000100000" w:firstRow="0" w:lastRow="0" w:firstColumn="0" w:lastColumn="0" w:oddVBand="0" w:evenVBand="0" w:oddHBand="1" w:evenHBand="0" w:firstRowFirstColumn="0" w:firstRowLastColumn="0" w:lastRowFirstColumn="0" w:lastRowLastColumn="0"/>
              <w:rPr>
                <w:i/>
                <w:iCs/>
              </w:rPr>
            </w:pPr>
            <w:r w:rsidRPr="009B7677">
              <w:rPr>
                <w:i/>
                <w:iCs/>
              </w:rPr>
              <w:t>Nereocystis luetkeana</w:t>
            </w:r>
          </w:p>
        </w:tc>
        <w:tc>
          <w:tcPr>
            <w:tcW w:w="1800" w:type="dxa"/>
            <w:tcBorders>
              <w:bottom w:val="single" w:sz="8" w:space="0" w:color="0D0D0D" w:themeColor="text1" w:themeTint="F2"/>
            </w:tcBorders>
            <w:shd w:val="clear" w:color="auto" w:fill="D9D9D9" w:themeFill="background1" w:themeFillShade="D9"/>
            <w:vAlign w:val="center"/>
          </w:tcPr>
          <w:p w14:paraId="2DC1CF71" w14:textId="2F13D336" w:rsidR="00334FB1" w:rsidRDefault="00EA4884" w:rsidP="00C45D3A">
            <w:pPr>
              <w:cnfStyle w:val="000000100000" w:firstRow="0" w:lastRow="0" w:firstColumn="0" w:lastColumn="0" w:oddVBand="0" w:evenVBand="0" w:oddHBand="1" w:evenHBand="0" w:firstRowFirstColumn="0" w:firstRowLastColumn="0" w:lastRowFirstColumn="0" w:lastRowLastColumn="0"/>
            </w:pPr>
            <w:r>
              <w:t>80</w:t>
            </w:r>
          </w:p>
        </w:tc>
        <w:tc>
          <w:tcPr>
            <w:tcW w:w="2970" w:type="dxa"/>
            <w:tcBorders>
              <w:bottom w:val="single" w:sz="8" w:space="0" w:color="0D0D0D" w:themeColor="text1" w:themeTint="F2"/>
            </w:tcBorders>
            <w:shd w:val="clear" w:color="auto" w:fill="D9D9D9" w:themeFill="background1" w:themeFillShade="D9"/>
            <w:vAlign w:val="center"/>
          </w:tcPr>
          <w:p w14:paraId="7F3FFBBD" w14:textId="2E8E2A4B" w:rsidR="00334FB1" w:rsidRDefault="00EA4884" w:rsidP="00C45D3A">
            <w:pPr>
              <w:cnfStyle w:val="000000100000" w:firstRow="0" w:lastRow="0" w:firstColumn="0" w:lastColumn="0" w:oddVBand="0" w:evenVBand="0" w:oddHBand="1" w:evenHBand="0" w:firstRowFirstColumn="0" w:firstRowLastColumn="0" w:lastRowFirstColumn="0" w:lastRowLastColumn="0"/>
            </w:pPr>
            <w:r w:rsidRPr="00EA4884">
              <w:t>Van Netten et al., 2000</w:t>
            </w:r>
          </w:p>
        </w:tc>
      </w:tr>
      <w:tr w:rsidR="00565F31" w14:paraId="3078D981"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bottom w:val="single" w:sz="8" w:space="0" w:color="0D0D0D" w:themeColor="text1" w:themeTint="F2"/>
            </w:tcBorders>
            <w:vAlign w:val="center"/>
          </w:tcPr>
          <w:p w14:paraId="0297D31D" w14:textId="65F1BEEA" w:rsidR="00334FB1" w:rsidRPr="00334FB1" w:rsidRDefault="00334FB1" w:rsidP="00C45D3A">
            <w:r>
              <w:t>Channeled Wrack</w:t>
            </w:r>
          </w:p>
        </w:tc>
        <w:tc>
          <w:tcPr>
            <w:tcW w:w="2610" w:type="dxa"/>
            <w:tcBorders>
              <w:top w:val="single" w:sz="8" w:space="0" w:color="0D0D0D" w:themeColor="text1" w:themeTint="F2"/>
              <w:bottom w:val="single" w:sz="8" w:space="0" w:color="0D0D0D" w:themeColor="text1" w:themeTint="F2"/>
            </w:tcBorders>
            <w:vAlign w:val="center"/>
          </w:tcPr>
          <w:p w14:paraId="158AA6A7" w14:textId="6B8E22C3" w:rsidR="00334FB1" w:rsidRPr="009B7677" w:rsidRDefault="009B7677" w:rsidP="00C45D3A">
            <w:pPr>
              <w:cnfStyle w:val="000000000000" w:firstRow="0" w:lastRow="0" w:firstColumn="0" w:lastColumn="0" w:oddVBand="0" w:evenVBand="0" w:oddHBand="0" w:evenHBand="0" w:firstRowFirstColumn="0" w:firstRowLastColumn="0" w:lastRowFirstColumn="0" w:lastRowLastColumn="0"/>
              <w:rPr>
                <w:i/>
                <w:iCs/>
              </w:rPr>
            </w:pPr>
            <w:r>
              <w:rPr>
                <w:i/>
                <w:iCs/>
              </w:rPr>
              <w:t>Pelvetia canaliculata</w:t>
            </w:r>
          </w:p>
        </w:tc>
        <w:tc>
          <w:tcPr>
            <w:tcW w:w="1800" w:type="dxa"/>
            <w:tcBorders>
              <w:top w:val="single" w:sz="8" w:space="0" w:color="0D0D0D" w:themeColor="text1" w:themeTint="F2"/>
              <w:bottom w:val="single" w:sz="8" w:space="0" w:color="0D0D0D" w:themeColor="text1" w:themeTint="F2"/>
            </w:tcBorders>
            <w:vAlign w:val="center"/>
          </w:tcPr>
          <w:p w14:paraId="0328011B" w14:textId="3ED2800E" w:rsidR="00334FB1" w:rsidRDefault="00EA4884" w:rsidP="00C45D3A">
            <w:pPr>
              <w:cnfStyle w:val="000000000000" w:firstRow="0" w:lastRow="0" w:firstColumn="0" w:lastColumn="0" w:oddVBand="0" w:evenVBand="0" w:oddHBand="0" w:evenHBand="0" w:firstRowFirstColumn="0" w:firstRowLastColumn="0" w:lastRowFirstColumn="0" w:lastRowLastColumn="0"/>
            </w:pPr>
            <w:r>
              <w:t>248</w:t>
            </w:r>
          </w:p>
        </w:tc>
        <w:tc>
          <w:tcPr>
            <w:tcW w:w="2970" w:type="dxa"/>
            <w:tcBorders>
              <w:top w:val="single" w:sz="8" w:space="0" w:color="0D0D0D" w:themeColor="text1" w:themeTint="F2"/>
              <w:bottom w:val="single" w:sz="8" w:space="0" w:color="0D0D0D" w:themeColor="text1" w:themeTint="F2"/>
            </w:tcBorders>
            <w:vAlign w:val="center"/>
          </w:tcPr>
          <w:p w14:paraId="30BF2846" w14:textId="5F40148B" w:rsidR="00334FB1" w:rsidRDefault="00EA4884" w:rsidP="00C45D3A">
            <w:pPr>
              <w:cnfStyle w:val="000000000000" w:firstRow="0" w:lastRow="0" w:firstColumn="0" w:lastColumn="0" w:oddVBand="0" w:evenVBand="0" w:oddHBand="0" w:evenHBand="0" w:firstRowFirstColumn="0" w:firstRowLastColumn="0" w:lastRowFirstColumn="0" w:lastRowLastColumn="0"/>
            </w:pPr>
            <w:r>
              <w:t>Nitschke &amp; Stengel, 2015</w:t>
            </w:r>
          </w:p>
        </w:tc>
      </w:tr>
      <w:tr w:rsidR="00565F31" w14:paraId="733F7A5E"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bottom w:val="single" w:sz="8" w:space="0" w:color="0D0D0D" w:themeColor="text1" w:themeTint="F2"/>
            </w:tcBorders>
            <w:shd w:val="clear" w:color="auto" w:fill="D9D9D9" w:themeFill="background1" w:themeFillShade="D9"/>
            <w:vAlign w:val="center"/>
          </w:tcPr>
          <w:p w14:paraId="273CECB3" w14:textId="0ED91C9A" w:rsidR="00334FB1" w:rsidRPr="00334FB1" w:rsidRDefault="00334FB1" w:rsidP="00C45D3A">
            <w:r>
              <w:t>Giant Kelp</w:t>
            </w:r>
          </w:p>
        </w:tc>
        <w:tc>
          <w:tcPr>
            <w:tcW w:w="2610" w:type="dxa"/>
            <w:tcBorders>
              <w:top w:val="single" w:sz="8" w:space="0" w:color="0D0D0D" w:themeColor="text1" w:themeTint="F2"/>
              <w:bottom w:val="single" w:sz="8" w:space="0" w:color="0D0D0D" w:themeColor="text1" w:themeTint="F2"/>
            </w:tcBorders>
            <w:shd w:val="clear" w:color="auto" w:fill="D9D9D9" w:themeFill="background1" w:themeFillShade="D9"/>
            <w:vAlign w:val="center"/>
          </w:tcPr>
          <w:p w14:paraId="675169C3" w14:textId="5C353E21" w:rsidR="00334FB1" w:rsidRDefault="009B7677" w:rsidP="00C45D3A">
            <w:pPr>
              <w:cnfStyle w:val="000000100000" w:firstRow="0" w:lastRow="0" w:firstColumn="0" w:lastColumn="0" w:oddVBand="0" w:evenVBand="0" w:oddHBand="1" w:evenHBand="0" w:firstRowFirstColumn="0" w:firstRowLastColumn="0" w:lastRowFirstColumn="0" w:lastRowLastColumn="0"/>
              <w:rPr>
                <w:i/>
                <w:iCs/>
              </w:rPr>
            </w:pPr>
            <w:r>
              <w:rPr>
                <w:i/>
                <w:iCs/>
              </w:rPr>
              <w:t>Macrocystis integrifolia</w:t>
            </w:r>
          </w:p>
        </w:tc>
        <w:tc>
          <w:tcPr>
            <w:tcW w:w="1800" w:type="dxa"/>
            <w:tcBorders>
              <w:top w:val="single" w:sz="8" w:space="0" w:color="0D0D0D" w:themeColor="text1" w:themeTint="F2"/>
              <w:bottom w:val="single" w:sz="8" w:space="0" w:color="0D0D0D" w:themeColor="text1" w:themeTint="F2"/>
            </w:tcBorders>
            <w:shd w:val="clear" w:color="auto" w:fill="D9D9D9" w:themeFill="background1" w:themeFillShade="D9"/>
            <w:vAlign w:val="center"/>
          </w:tcPr>
          <w:p w14:paraId="39535CC5" w14:textId="3781548E" w:rsidR="00334FB1" w:rsidRDefault="00EA4884" w:rsidP="00C45D3A">
            <w:pPr>
              <w:cnfStyle w:val="000000100000" w:firstRow="0" w:lastRow="0" w:firstColumn="0" w:lastColumn="0" w:oddVBand="0" w:evenVBand="0" w:oddHBand="1" w:evenHBand="0" w:firstRowFirstColumn="0" w:firstRowLastColumn="0" w:lastRowFirstColumn="0" w:lastRowLastColumn="0"/>
            </w:pPr>
            <w:r>
              <w:t>240</w:t>
            </w:r>
          </w:p>
        </w:tc>
        <w:tc>
          <w:tcPr>
            <w:tcW w:w="2970" w:type="dxa"/>
            <w:tcBorders>
              <w:top w:val="single" w:sz="8" w:space="0" w:color="0D0D0D" w:themeColor="text1" w:themeTint="F2"/>
              <w:bottom w:val="single" w:sz="8" w:space="0" w:color="0D0D0D" w:themeColor="text1" w:themeTint="F2"/>
            </w:tcBorders>
            <w:shd w:val="clear" w:color="auto" w:fill="D9D9D9" w:themeFill="background1" w:themeFillShade="D9"/>
            <w:vAlign w:val="center"/>
          </w:tcPr>
          <w:p w14:paraId="4E1ABFDE" w14:textId="779593AA" w:rsidR="00334FB1" w:rsidRDefault="00EA4884" w:rsidP="00C45D3A">
            <w:pPr>
              <w:cnfStyle w:val="000000100000" w:firstRow="0" w:lastRow="0" w:firstColumn="0" w:lastColumn="0" w:oddVBand="0" w:evenVBand="0" w:oddHBand="1" w:evenHBand="0" w:firstRowFirstColumn="0" w:firstRowLastColumn="0" w:lastRowFirstColumn="0" w:lastRowLastColumn="0"/>
            </w:pPr>
            <w:r w:rsidRPr="00EA4884">
              <w:t>Van Netten et al., 2000</w:t>
            </w:r>
          </w:p>
        </w:tc>
      </w:tr>
      <w:tr w:rsidR="00565F31" w14:paraId="28A09279"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tcBorders>
            <w:vAlign w:val="center"/>
          </w:tcPr>
          <w:p w14:paraId="178E1DD2" w14:textId="7A7D68B5" w:rsidR="00EA4884" w:rsidRPr="00334FB1" w:rsidRDefault="00EA4884" w:rsidP="00C45D3A">
            <w:r>
              <w:t>Hijiki</w:t>
            </w:r>
          </w:p>
        </w:tc>
        <w:tc>
          <w:tcPr>
            <w:tcW w:w="2610" w:type="dxa"/>
            <w:tcBorders>
              <w:top w:val="single" w:sz="8" w:space="0" w:color="0D0D0D" w:themeColor="text1" w:themeTint="F2"/>
            </w:tcBorders>
            <w:vAlign w:val="center"/>
          </w:tcPr>
          <w:p w14:paraId="421AC626" w14:textId="3556915E" w:rsidR="00EA4884" w:rsidRDefault="00EA4884" w:rsidP="00C45D3A">
            <w:pPr>
              <w:cnfStyle w:val="000000000000" w:firstRow="0" w:lastRow="0" w:firstColumn="0" w:lastColumn="0" w:oddVBand="0" w:evenVBand="0" w:oddHBand="0" w:evenHBand="0" w:firstRowFirstColumn="0" w:firstRowLastColumn="0" w:lastRowFirstColumn="0" w:lastRowLastColumn="0"/>
              <w:rPr>
                <w:i/>
                <w:iCs/>
              </w:rPr>
            </w:pPr>
            <w:r>
              <w:rPr>
                <w:i/>
                <w:iCs/>
              </w:rPr>
              <w:t>Sargassum fuciformes</w:t>
            </w:r>
          </w:p>
        </w:tc>
        <w:tc>
          <w:tcPr>
            <w:tcW w:w="1800" w:type="dxa"/>
            <w:tcBorders>
              <w:top w:val="single" w:sz="8" w:space="0" w:color="0D0D0D" w:themeColor="text1" w:themeTint="F2"/>
            </w:tcBorders>
            <w:vAlign w:val="center"/>
          </w:tcPr>
          <w:p w14:paraId="183076E0" w14:textId="0740DDA7"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262</w:t>
            </w:r>
          </w:p>
        </w:tc>
        <w:tc>
          <w:tcPr>
            <w:tcW w:w="2970" w:type="dxa"/>
            <w:tcBorders>
              <w:top w:val="single" w:sz="8" w:space="0" w:color="0D0D0D" w:themeColor="text1" w:themeTint="F2"/>
            </w:tcBorders>
            <w:vAlign w:val="center"/>
          </w:tcPr>
          <w:p w14:paraId="164D2567" w14:textId="015673D9"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Dawczynski et al., 2007</w:t>
            </w:r>
          </w:p>
        </w:tc>
      </w:tr>
      <w:tr w:rsidR="00565F31" w14:paraId="31B014CA"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vAlign w:val="center"/>
          </w:tcPr>
          <w:p w14:paraId="331FEC52" w14:textId="2971BC38" w:rsidR="00EA4884" w:rsidRPr="00334FB1" w:rsidRDefault="00EA4884" w:rsidP="00C45D3A">
            <w:r>
              <w:t>Hijiki</w:t>
            </w:r>
          </w:p>
        </w:tc>
        <w:tc>
          <w:tcPr>
            <w:tcW w:w="2610" w:type="dxa"/>
            <w:shd w:val="clear" w:color="auto" w:fill="D9D9D9" w:themeFill="background1" w:themeFillShade="D9"/>
            <w:vAlign w:val="center"/>
          </w:tcPr>
          <w:p w14:paraId="6AB9E0C0" w14:textId="0D776D79" w:rsidR="00EA4884" w:rsidRDefault="00EA4884" w:rsidP="00C45D3A">
            <w:pPr>
              <w:cnfStyle w:val="000000100000" w:firstRow="0" w:lastRow="0" w:firstColumn="0" w:lastColumn="0" w:oddVBand="0" w:evenVBand="0" w:oddHBand="1" w:evenHBand="0" w:firstRowFirstColumn="0" w:firstRowLastColumn="0" w:lastRowFirstColumn="0" w:lastRowLastColumn="0"/>
              <w:rPr>
                <w:i/>
                <w:iCs/>
              </w:rPr>
            </w:pPr>
            <w:r>
              <w:rPr>
                <w:i/>
                <w:iCs/>
              </w:rPr>
              <w:t>Sargassum fuciformes</w:t>
            </w:r>
          </w:p>
        </w:tc>
        <w:tc>
          <w:tcPr>
            <w:tcW w:w="1800" w:type="dxa"/>
            <w:shd w:val="clear" w:color="auto" w:fill="D9D9D9" w:themeFill="background1" w:themeFillShade="D9"/>
            <w:vAlign w:val="center"/>
          </w:tcPr>
          <w:p w14:paraId="77F01338" w14:textId="18E56451"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391</w:t>
            </w:r>
          </w:p>
        </w:tc>
        <w:tc>
          <w:tcPr>
            <w:tcW w:w="2970" w:type="dxa"/>
            <w:shd w:val="clear" w:color="auto" w:fill="D9D9D9" w:themeFill="background1" w:themeFillShade="D9"/>
            <w:vAlign w:val="center"/>
          </w:tcPr>
          <w:p w14:paraId="501E33A5" w14:textId="491BE7BC"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Lee et al., 1994</w:t>
            </w:r>
          </w:p>
        </w:tc>
      </w:tr>
      <w:tr w:rsidR="00565F31" w14:paraId="0D0AB7A6" w14:textId="77777777" w:rsidTr="007E4940">
        <w:tc>
          <w:tcPr>
            <w:cnfStyle w:val="001000000000" w:firstRow="0" w:lastRow="0" w:firstColumn="1" w:lastColumn="0" w:oddVBand="0" w:evenVBand="0" w:oddHBand="0" w:evenHBand="0" w:firstRowFirstColumn="0" w:firstRowLastColumn="0" w:lastRowFirstColumn="0" w:lastRowLastColumn="0"/>
            <w:tcW w:w="2335" w:type="dxa"/>
            <w:vAlign w:val="center"/>
          </w:tcPr>
          <w:p w14:paraId="4B1A46AC" w14:textId="0B4E84F1" w:rsidR="00EA4884" w:rsidRPr="00334FB1" w:rsidRDefault="00EA4884" w:rsidP="00C45D3A">
            <w:r>
              <w:lastRenderedPageBreak/>
              <w:t>Hijiki</w:t>
            </w:r>
          </w:p>
        </w:tc>
        <w:tc>
          <w:tcPr>
            <w:tcW w:w="2610" w:type="dxa"/>
            <w:vAlign w:val="center"/>
          </w:tcPr>
          <w:p w14:paraId="4A1624A7" w14:textId="39AF7F38" w:rsidR="00EA4884" w:rsidRDefault="00EA4884" w:rsidP="00C45D3A">
            <w:pPr>
              <w:cnfStyle w:val="000000000000" w:firstRow="0" w:lastRow="0" w:firstColumn="0" w:lastColumn="0" w:oddVBand="0" w:evenVBand="0" w:oddHBand="0" w:evenHBand="0" w:firstRowFirstColumn="0" w:firstRowLastColumn="0" w:lastRowFirstColumn="0" w:lastRowLastColumn="0"/>
              <w:rPr>
                <w:i/>
                <w:iCs/>
              </w:rPr>
            </w:pPr>
            <w:r>
              <w:rPr>
                <w:i/>
                <w:iCs/>
              </w:rPr>
              <w:t>Sargassum fuciformes</w:t>
            </w:r>
          </w:p>
        </w:tc>
        <w:tc>
          <w:tcPr>
            <w:tcW w:w="1800" w:type="dxa"/>
            <w:vAlign w:val="center"/>
          </w:tcPr>
          <w:p w14:paraId="4E88F149" w14:textId="33464966"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622</w:t>
            </w:r>
          </w:p>
        </w:tc>
        <w:tc>
          <w:tcPr>
            <w:tcW w:w="2970" w:type="dxa"/>
            <w:vAlign w:val="center"/>
          </w:tcPr>
          <w:p w14:paraId="769D5675" w14:textId="0481F7D8"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Sun et al., 2022</w:t>
            </w:r>
          </w:p>
        </w:tc>
      </w:tr>
      <w:tr w:rsidR="00565F31" w14:paraId="6FCCD0E5"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vAlign w:val="center"/>
          </w:tcPr>
          <w:p w14:paraId="6F341991" w14:textId="5E4EC7CC" w:rsidR="00EA4884" w:rsidRPr="00334FB1" w:rsidRDefault="00EA4884" w:rsidP="00C45D3A">
            <w:r>
              <w:t>Hijiki</w:t>
            </w:r>
          </w:p>
        </w:tc>
        <w:tc>
          <w:tcPr>
            <w:tcW w:w="2610" w:type="dxa"/>
            <w:shd w:val="clear" w:color="auto" w:fill="D9D9D9" w:themeFill="background1" w:themeFillShade="D9"/>
            <w:vAlign w:val="center"/>
          </w:tcPr>
          <w:p w14:paraId="3CC5CDB5" w14:textId="1CB04D08" w:rsidR="00EA4884" w:rsidRDefault="00EA4884" w:rsidP="00C45D3A">
            <w:pPr>
              <w:cnfStyle w:val="000000100000" w:firstRow="0" w:lastRow="0" w:firstColumn="0" w:lastColumn="0" w:oddVBand="0" w:evenVBand="0" w:oddHBand="1" w:evenHBand="0" w:firstRowFirstColumn="0" w:firstRowLastColumn="0" w:lastRowFirstColumn="0" w:lastRowLastColumn="0"/>
              <w:rPr>
                <w:i/>
                <w:iCs/>
              </w:rPr>
            </w:pPr>
            <w:r>
              <w:rPr>
                <w:i/>
                <w:iCs/>
              </w:rPr>
              <w:t>Sargassum fuciformes</w:t>
            </w:r>
          </w:p>
        </w:tc>
        <w:tc>
          <w:tcPr>
            <w:tcW w:w="1800" w:type="dxa"/>
            <w:shd w:val="clear" w:color="auto" w:fill="D9D9D9" w:themeFill="background1" w:themeFillShade="D9"/>
            <w:vAlign w:val="center"/>
          </w:tcPr>
          <w:p w14:paraId="0B716050" w14:textId="2A7A9CF5"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629</w:t>
            </w:r>
          </w:p>
        </w:tc>
        <w:tc>
          <w:tcPr>
            <w:tcW w:w="2970" w:type="dxa"/>
            <w:shd w:val="clear" w:color="auto" w:fill="D9D9D9" w:themeFill="background1" w:themeFillShade="D9"/>
            <w:vAlign w:val="center"/>
          </w:tcPr>
          <w:p w14:paraId="1788A273" w14:textId="453E7C08"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Teas et al., 2004</w:t>
            </w:r>
          </w:p>
        </w:tc>
      </w:tr>
      <w:tr w:rsidR="00565F31" w14:paraId="79E23EAE"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bottom w:val="single" w:sz="8" w:space="0" w:color="0D0D0D" w:themeColor="text1" w:themeTint="F2"/>
            </w:tcBorders>
            <w:vAlign w:val="center"/>
          </w:tcPr>
          <w:p w14:paraId="2D832C06" w14:textId="1204DA51" w:rsidR="00EA4884" w:rsidRDefault="00EA4884" w:rsidP="00C45D3A">
            <w:r>
              <w:t>Hijiki</w:t>
            </w:r>
          </w:p>
        </w:tc>
        <w:tc>
          <w:tcPr>
            <w:tcW w:w="2610" w:type="dxa"/>
            <w:tcBorders>
              <w:bottom w:val="single" w:sz="8" w:space="0" w:color="0D0D0D" w:themeColor="text1" w:themeTint="F2"/>
            </w:tcBorders>
            <w:vAlign w:val="center"/>
          </w:tcPr>
          <w:p w14:paraId="1C3CBBA6" w14:textId="3287DC89" w:rsidR="00EA4884" w:rsidRDefault="00EA4884" w:rsidP="00C45D3A">
            <w:pPr>
              <w:cnfStyle w:val="000000000000" w:firstRow="0" w:lastRow="0" w:firstColumn="0" w:lastColumn="0" w:oddVBand="0" w:evenVBand="0" w:oddHBand="0" w:evenHBand="0" w:firstRowFirstColumn="0" w:firstRowLastColumn="0" w:lastRowFirstColumn="0" w:lastRowLastColumn="0"/>
              <w:rPr>
                <w:i/>
                <w:iCs/>
              </w:rPr>
            </w:pPr>
            <w:r>
              <w:rPr>
                <w:i/>
                <w:iCs/>
              </w:rPr>
              <w:t>Sargassum fuciformes</w:t>
            </w:r>
          </w:p>
        </w:tc>
        <w:tc>
          <w:tcPr>
            <w:tcW w:w="1800" w:type="dxa"/>
            <w:tcBorders>
              <w:bottom w:val="single" w:sz="8" w:space="0" w:color="0D0D0D" w:themeColor="text1" w:themeTint="F2"/>
            </w:tcBorders>
            <w:vAlign w:val="center"/>
          </w:tcPr>
          <w:p w14:paraId="60F77E22" w14:textId="3CE420BF"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436</w:t>
            </w:r>
          </w:p>
        </w:tc>
        <w:tc>
          <w:tcPr>
            <w:tcW w:w="2970" w:type="dxa"/>
            <w:tcBorders>
              <w:bottom w:val="single" w:sz="8" w:space="0" w:color="0D0D0D" w:themeColor="text1" w:themeTint="F2"/>
            </w:tcBorders>
            <w:vAlign w:val="center"/>
          </w:tcPr>
          <w:p w14:paraId="11AECC59" w14:textId="5FEB9DEE"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Van Netten et al., 2000</w:t>
            </w:r>
          </w:p>
        </w:tc>
      </w:tr>
      <w:tr w:rsidR="00565F31" w14:paraId="62ACC8E0"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bottom w:val="single" w:sz="8" w:space="0" w:color="0D0D0D" w:themeColor="text1" w:themeTint="F2"/>
            </w:tcBorders>
            <w:shd w:val="clear" w:color="auto" w:fill="D9D9D9" w:themeFill="background1" w:themeFillShade="D9"/>
            <w:vAlign w:val="center"/>
          </w:tcPr>
          <w:p w14:paraId="778B9CEF" w14:textId="5D8223AF" w:rsidR="00EA4884" w:rsidRDefault="00EA4884" w:rsidP="00C45D3A">
            <w:r>
              <w:t>Kelp</w:t>
            </w:r>
          </w:p>
        </w:tc>
        <w:tc>
          <w:tcPr>
            <w:tcW w:w="2610" w:type="dxa"/>
            <w:tcBorders>
              <w:top w:val="single" w:sz="8" w:space="0" w:color="0D0D0D" w:themeColor="text1" w:themeTint="F2"/>
              <w:bottom w:val="single" w:sz="8" w:space="0" w:color="0D0D0D" w:themeColor="text1" w:themeTint="F2"/>
            </w:tcBorders>
            <w:shd w:val="clear" w:color="auto" w:fill="D9D9D9" w:themeFill="background1" w:themeFillShade="D9"/>
            <w:vAlign w:val="center"/>
          </w:tcPr>
          <w:p w14:paraId="42106340" w14:textId="3B043D55" w:rsidR="00EA4884" w:rsidRPr="009B7677" w:rsidRDefault="00EA4884" w:rsidP="00C45D3A">
            <w:pPr>
              <w:cnfStyle w:val="000000100000" w:firstRow="0" w:lastRow="0" w:firstColumn="0" w:lastColumn="0" w:oddVBand="0" w:evenVBand="0" w:oddHBand="1" w:evenHBand="0" w:firstRowFirstColumn="0" w:firstRowLastColumn="0" w:lastRowFirstColumn="0" w:lastRowLastColumn="0"/>
            </w:pPr>
            <w:r w:rsidRPr="009B7677">
              <w:t>Mixed Species</w:t>
            </w:r>
          </w:p>
        </w:tc>
        <w:tc>
          <w:tcPr>
            <w:tcW w:w="1800" w:type="dxa"/>
            <w:tcBorders>
              <w:top w:val="single" w:sz="8" w:space="0" w:color="0D0D0D" w:themeColor="text1" w:themeTint="F2"/>
              <w:bottom w:val="single" w:sz="8" w:space="0" w:color="0D0D0D" w:themeColor="text1" w:themeTint="F2"/>
            </w:tcBorders>
            <w:shd w:val="clear" w:color="auto" w:fill="D9D9D9" w:themeFill="background1" w:themeFillShade="D9"/>
            <w:vAlign w:val="center"/>
          </w:tcPr>
          <w:p w14:paraId="09BC73C8" w14:textId="16C90CA4"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1,542</w:t>
            </w:r>
          </w:p>
        </w:tc>
        <w:tc>
          <w:tcPr>
            <w:tcW w:w="2970" w:type="dxa"/>
            <w:tcBorders>
              <w:top w:val="single" w:sz="8" w:space="0" w:color="0D0D0D" w:themeColor="text1" w:themeTint="F2"/>
              <w:bottom w:val="single" w:sz="8" w:space="0" w:color="0D0D0D" w:themeColor="text1" w:themeTint="F2"/>
            </w:tcBorders>
            <w:shd w:val="clear" w:color="auto" w:fill="D9D9D9" w:themeFill="background1" w:themeFillShade="D9"/>
            <w:vAlign w:val="center"/>
          </w:tcPr>
          <w:p w14:paraId="1DB277DB" w14:textId="286540FA"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Teas et al., 2004</w:t>
            </w:r>
          </w:p>
        </w:tc>
      </w:tr>
      <w:tr w:rsidR="00EA4884" w14:paraId="0FA5947E"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bottom w:val="single" w:sz="8" w:space="0" w:color="0D0D0D" w:themeColor="text1" w:themeTint="F2"/>
            </w:tcBorders>
            <w:vAlign w:val="center"/>
          </w:tcPr>
          <w:p w14:paraId="24662561" w14:textId="67323A4C" w:rsidR="00EA4884" w:rsidRDefault="00EA4884" w:rsidP="00C45D3A">
            <w:r>
              <w:t>Knotted Wrack</w:t>
            </w:r>
          </w:p>
        </w:tc>
        <w:tc>
          <w:tcPr>
            <w:tcW w:w="2610" w:type="dxa"/>
            <w:tcBorders>
              <w:top w:val="single" w:sz="8" w:space="0" w:color="0D0D0D" w:themeColor="text1" w:themeTint="F2"/>
              <w:bottom w:val="single" w:sz="8" w:space="0" w:color="0D0D0D" w:themeColor="text1" w:themeTint="F2"/>
            </w:tcBorders>
            <w:vAlign w:val="center"/>
          </w:tcPr>
          <w:p w14:paraId="7DB4C9F5" w14:textId="3CAE9428" w:rsidR="00EA4884" w:rsidRPr="00EA4884" w:rsidRDefault="00EA4884" w:rsidP="00C45D3A">
            <w:pPr>
              <w:cnfStyle w:val="000000000000" w:firstRow="0" w:lastRow="0" w:firstColumn="0" w:lastColumn="0" w:oddVBand="0" w:evenVBand="0" w:oddHBand="0" w:evenHBand="0" w:firstRowFirstColumn="0" w:firstRowLastColumn="0" w:lastRowFirstColumn="0" w:lastRowLastColumn="0"/>
              <w:rPr>
                <w:i/>
                <w:iCs/>
              </w:rPr>
            </w:pPr>
            <w:r>
              <w:rPr>
                <w:i/>
                <w:iCs/>
              </w:rPr>
              <w:t>Ascophyllum nodosum</w:t>
            </w:r>
          </w:p>
        </w:tc>
        <w:tc>
          <w:tcPr>
            <w:tcW w:w="1800" w:type="dxa"/>
            <w:tcBorders>
              <w:top w:val="single" w:sz="8" w:space="0" w:color="0D0D0D" w:themeColor="text1" w:themeTint="F2"/>
              <w:bottom w:val="single" w:sz="8" w:space="0" w:color="0D0D0D" w:themeColor="text1" w:themeTint="F2"/>
            </w:tcBorders>
            <w:vAlign w:val="center"/>
          </w:tcPr>
          <w:p w14:paraId="1BB4C666" w14:textId="25C8E921"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168</w:t>
            </w:r>
            <w:r w:rsidR="00B84EB0" w:rsidRPr="00B84EB0">
              <w:rPr>
                <w:rFonts w:cs="Calibri"/>
                <w:color w:val="000000"/>
              </w:rPr>
              <w:t>–</w:t>
            </w:r>
            <w:r>
              <w:rPr>
                <w:rFonts w:cs="Calibri"/>
                <w:color w:val="000000"/>
              </w:rPr>
              <w:t>235</w:t>
            </w:r>
          </w:p>
        </w:tc>
        <w:tc>
          <w:tcPr>
            <w:tcW w:w="2970" w:type="dxa"/>
            <w:tcBorders>
              <w:top w:val="single" w:sz="8" w:space="0" w:color="0D0D0D" w:themeColor="text1" w:themeTint="F2"/>
              <w:bottom w:val="single" w:sz="8" w:space="0" w:color="0D0D0D" w:themeColor="text1" w:themeTint="F2"/>
            </w:tcBorders>
            <w:vAlign w:val="center"/>
          </w:tcPr>
          <w:p w14:paraId="012BFD6B" w14:textId="4E1F41BA"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Nitschke &amp; Stengel, 2015</w:t>
            </w:r>
          </w:p>
        </w:tc>
      </w:tr>
      <w:tr w:rsidR="00565F31" w14:paraId="4291305F"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tcBorders>
            <w:shd w:val="clear" w:color="auto" w:fill="D9D9D9" w:themeFill="background1" w:themeFillShade="D9"/>
            <w:vAlign w:val="center"/>
          </w:tcPr>
          <w:p w14:paraId="19A31BAF" w14:textId="45948FB1" w:rsidR="00EA4884" w:rsidRDefault="00EA4884" w:rsidP="00C45D3A">
            <w:r>
              <w:t>Kombu</w:t>
            </w:r>
          </w:p>
        </w:tc>
        <w:tc>
          <w:tcPr>
            <w:tcW w:w="2610" w:type="dxa"/>
            <w:tcBorders>
              <w:top w:val="single" w:sz="8" w:space="0" w:color="0D0D0D" w:themeColor="text1" w:themeTint="F2"/>
            </w:tcBorders>
            <w:shd w:val="clear" w:color="auto" w:fill="D9D9D9" w:themeFill="background1" w:themeFillShade="D9"/>
            <w:vAlign w:val="center"/>
          </w:tcPr>
          <w:p w14:paraId="2169C80A" w14:textId="5CE6065C" w:rsidR="00EA4884" w:rsidRDefault="00EA4884" w:rsidP="00C45D3A">
            <w:pPr>
              <w:cnfStyle w:val="000000100000" w:firstRow="0" w:lastRow="0" w:firstColumn="0" w:lastColumn="0" w:oddVBand="0" w:evenVBand="0" w:oddHBand="1" w:evenHBand="0" w:firstRowFirstColumn="0" w:firstRowLastColumn="0" w:lastRowFirstColumn="0" w:lastRowLastColumn="0"/>
              <w:rPr>
                <w:i/>
                <w:iCs/>
              </w:rPr>
            </w:pPr>
            <w:r>
              <w:rPr>
                <w:i/>
                <w:iCs/>
              </w:rPr>
              <w:t>Laminaria japonica</w:t>
            </w:r>
          </w:p>
        </w:tc>
        <w:tc>
          <w:tcPr>
            <w:tcW w:w="1800" w:type="dxa"/>
            <w:tcBorders>
              <w:top w:val="single" w:sz="8" w:space="0" w:color="0D0D0D" w:themeColor="text1" w:themeTint="F2"/>
            </w:tcBorders>
            <w:shd w:val="clear" w:color="auto" w:fill="D9D9D9" w:themeFill="background1" w:themeFillShade="D9"/>
            <w:vAlign w:val="center"/>
          </w:tcPr>
          <w:p w14:paraId="722BFBB3" w14:textId="0988BD53"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1,273</w:t>
            </w:r>
            <w:r w:rsidR="00B84EB0" w:rsidRPr="00B84EB0">
              <w:rPr>
                <w:rFonts w:cs="Calibri"/>
                <w:color w:val="000000"/>
              </w:rPr>
              <w:t>–</w:t>
            </w:r>
            <w:r>
              <w:rPr>
                <w:rFonts w:cs="Calibri"/>
                <w:color w:val="000000"/>
              </w:rPr>
              <w:t>3,257</w:t>
            </w:r>
          </w:p>
        </w:tc>
        <w:tc>
          <w:tcPr>
            <w:tcW w:w="2970" w:type="dxa"/>
            <w:tcBorders>
              <w:top w:val="single" w:sz="8" w:space="0" w:color="0D0D0D" w:themeColor="text1" w:themeTint="F2"/>
            </w:tcBorders>
            <w:shd w:val="clear" w:color="auto" w:fill="D9D9D9" w:themeFill="background1" w:themeFillShade="D9"/>
            <w:vAlign w:val="center"/>
          </w:tcPr>
          <w:p w14:paraId="1C63FA97" w14:textId="0BED6643"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Aakre et al., 2021</w:t>
            </w:r>
          </w:p>
        </w:tc>
      </w:tr>
      <w:tr w:rsidR="00565F31" w14:paraId="75348BE2" w14:textId="77777777" w:rsidTr="007E4940">
        <w:tc>
          <w:tcPr>
            <w:cnfStyle w:val="001000000000" w:firstRow="0" w:lastRow="0" w:firstColumn="1" w:lastColumn="0" w:oddVBand="0" w:evenVBand="0" w:oddHBand="0" w:evenHBand="0" w:firstRowFirstColumn="0" w:firstRowLastColumn="0" w:lastRowFirstColumn="0" w:lastRowLastColumn="0"/>
            <w:tcW w:w="2335" w:type="dxa"/>
            <w:vAlign w:val="center"/>
          </w:tcPr>
          <w:p w14:paraId="1E2FE329" w14:textId="3614BF7B" w:rsidR="00EA4884" w:rsidRDefault="00EA4884" w:rsidP="00C45D3A">
            <w:r>
              <w:t>Kombu</w:t>
            </w:r>
          </w:p>
        </w:tc>
        <w:tc>
          <w:tcPr>
            <w:tcW w:w="2610" w:type="dxa"/>
            <w:vAlign w:val="center"/>
          </w:tcPr>
          <w:p w14:paraId="2E2A6B3F" w14:textId="4EBC523D" w:rsidR="00EA4884" w:rsidRDefault="00EA4884" w:rsidP="00C45D3A">
            <w:pPr>
              <w:cnfStyle w:val="000000000000" w:firstRow="0" w:lastRow="0" w:firstColumn="0" w:lastColumn="0" w:oddVBand="0" w:evenVBand="0" w:oddHBand="0" w:evenHBand="0" w:firstRowFirstColumn="0" w:firstRowLastColumn="0" w:lastRowFirstColumn="0" w:lastRowLastColumn="0"/>
              <w:rPr>
                <w:i/>
                <w:iCs/>
              </w:rPr>
            </w:pPr>
            <w:r>
              <w:rPr>
                <w:i/>
                <w:iCs/>
              </w:rPr>
              <w:t>Laminaria japonica</w:t>
            </w:r>
          </w:p>
        </w:tc>
        <w:tc>
          <w:tcPr>
            <w:tcW w:w="1800" w:type="dxa"/>
            <w:vAlign w:val="center"/>
          </w:tcPr>
          <w:p w14:paraId="2C611113" w14:textId="5DD3C116"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3,040</w:t>
            </w:r>
          </w:p>
        </w:tc>
        <w:tc>
          <w:tcPr>
            <w:tcW w:w="2970" w:type="dxa"/>
            <w:vAlign w:val="center"/>
          </w:tcPr>
          <w:p w14:paraId="22D8E0CB" w14:textId="5AC88B08"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Hou and Yan, 1998</w:t>
            </w:r>
          </w:p>
        </w:tc>
      </w:tr>
      <w:tr w:rsidR="00565F31" w14:paraId="1B395DEE"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vAlign w:val="center"/>
          </w:tcPr>
          <w:p w14:paraId="7BE74985" w14:textId="5502B03E" w:rsidR="00EA4884" w:rsidRDefault="00EA4884" w:rsidP="00C45D3A">
            <w:r>
              <w:t>Kombu</w:t>
            </w:r>
          </w:p>
        </w:tc>
        <w:tc>
          <w:tcPr>
            <w:tcW w:w="2610" w:type="dxa"/>
            <w:shd w:val="clear" w:color="auto" w:fill="D9D9D9" w:themeFill="background1" w:themeFillShade="D9"/>
            <w:vAlign w:val="center"/>
          </w:tcPr>
          <w:p w14:paraId="72FC6D39" w14:textId="2A6264AD" w:rsidR="00EA4884" w:rsidRDefault="00EA4884" w:rsidP="00C45D3A">
            <w:pPr>
              <w:cnfStyle w:val="000000100000" w:firstRow="0" w:lastRow="0" w:firstColumn="0" w:lastColumn="0" w:oddVBand="0" w:evenVBand="0" w:oddHBand="1" w:evenHBand="0" w:firstRowFirstColumn="0" w:firstRowLastColumn="0" w:lastRowFirstColumn="0" w:lastRowLastColumn="0"/>
              <w:rPr>
                <w:i/>
                <w:iCs/>
              </w:rPr>
            </w:pPr>
            <w:r>
              <w:rPr>
                <w:i/>
                <w:iCs/>
              </w:rPr>
              <w:t>Laminaria japonica</w:t>
            </w:r>
          </w:p>
        </w:tc>
        <w:tc>
          <w:tcPr>
            <w:tcW w:w="1800" w:type="dxa"/>
            <w:shd w:val="clear" w:color="auto" w:fill="D9D9D9" w:themeFill="background1" w:themeFillShade="D9"/>
            <w:vAlign w:val="center"/>
          </w:tcPr>
          <w:p w14:paraId="58F711ED" w14:textId="1FA36214"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2,110</w:t>
            </w:r>
          </w:p>
        </w:tc>
        <w:tc>
          <w:tcPr>
            <w:tcW w:w="2970" w:type="dxa"/>
            <w:shd w:val="clear" w:color="auto" w:fill="D9D9D9" w:themeFill="background1" w:themeFillShade="D9"/>
            <w:vAlign w:val="center"/>
          </w:tcPr>
          <w:p w14:paraId="1977926F" w14:textId="03143514"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Van Netten et al., 2000</w:t>
            </w:r>
          </w:p>
        </w:tc>
      </w:tr>
      <w:tr w:rsidR="00565F31" w14:paraId="4FA02180" w14:textId="77777777" w:rsidTr="007E4940">
        <w:tc>
          <w:tcPr>
            <w:cnfStyle w:val="001000000000" w:firstRow="0" w:lastRow="0" w:firstColumn="1" w:lastColumn="0" w:oddVBand="0" w:evenVBand="0" w:oddHBand="0" w:evenHBand="0" w:firstRowFirstColumn="0" w:firstRowLastColumn="0" w:lastRowFirstColumn="0" w:lastRowLastColumn="0"/>
            <w:tcW w:w="2335" w:type="dxa"/>
            <w:vAlign w:val="center"/>
          </w:tcPr>
          <w:p w14:paraId="02D53062" w14:textId="63301D34" w:rsidR="00EA4884" w:rsidRDefault="00EA4884" w:rsidP="00C45D3A">
            <w:r>
              <w:t>Kombu</w:t>
            </w:r>
          </w:p>
        </w:tc>
        <w:tc>
          <w:tcPr>
            <w:tcW w:w="2610" w:type="dxa"/>
            <w:vAlign w:val="center"/>
          </w:tcPr>
          <w:p w14:paraId="47ADC690" w14:textId="6523AC25" w:rsidR="00EA4884" w:rsidRDefault="00EA4884" w:rsidP="00C45D3A">
            <w:pPr>
              <w:cnfStyle w:val="000000000000" w:firstRow="0" w:lastRow="0" w:firstColumn="0" w:lastColumn="0" w:oddVBand="0" w:evenVBand="0" w:oddHBand="0" w:evenHBand="0" w:firstRowFirstColumn="0" w:firstRowLastColumn="0" w:lastRowFirstColumn="0" w:lastRowLastColumn="0"/>
              <w:rPr>
                <w:i/>
                <w:iCs/>
              </w:rPr>
            </w:pPr>
            <w:r>
              <w:rPr>
                <w:i/>
                <w:iCs/>
              </w:rPr>
              <w:t>Laminaria ochroleuca</w:t>
            </w:r>
          </w:p>
        </w:tc>
        <w:tc>
          <w:tcPr>
            <w:tcW w:w="1800" w:type="dxa"/>
            <w:vAlign w:val="center"/>
          </w:tcPr>
          <w:p w14:paraId="70A76D89" w14:textId="59F6611F"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6,138</w:t>
            </w:r>
          </w:p>
        </w:tc>
        <w:tc>
          <w:tcPr>
            <w:tcW w:w="2970" w:type="dxa"/>
            <w:vAlign w:val="center"/>
          </w:tcPr>
          <w:p w14:paraId="62220ED6" w14:textId="632382A3"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Romarís-Hortas et al., 2012</w:t>
            </w:r>
          </w:p>
        </w:tc>
      </w:tr>
      <w:tr w:rsidR="00565F31" w14:paraId="185F3ED9"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vAlign w:val="center"/>
          </w:tcPr>
          <w:p w14:paraId="78182E16" w14:textId="47DD3632" w:rsidR="00EA4884" w:rsidRDefault="00EA4884" w:rsidP="00C45D3A">
            <w:r>
              <w:t>Kombu</w:t>
            </w:r>
          </w:p>
        </w:tc>
        <w:tc>
          <w:tcPr>
            <w:tcW w:w="2610" w:type="dxa"/>
            <w:shd w:val="clear" w:color="auto" w:fill="D9D9D9" w:themeFill="background1" w:themeFillShade="D9"/>
            <w:vAlign w:val="center"/>
          </w:tcPr>
          <w:p w14:paraId="52AD0198" w14:textId="5F78FB0F" w:rsidR="00EA4884" w:rsidRPr="009B7677" w:rsidRDefault="00EA4884" w:rsidP="00C45D3A">
            <w:pPr>
              <w:cnfStyle w:val="000000100000" w:firstRow="0" w:lastRow="0" w:firstColumn="0" w:lastColumn="0" w:oddVBand="0" w:evenVBand="0" w:oddHBand="1" w:evenHBand="0" w:firstRowFirstColumn="0" w:firstRowLastColumn="0" w:lastRowFirstColumn="0" w:lastRowLastColumn="0"/>
            </w:pPr>
            <w:r>
              <w:rPr>
                <w:i/>
                <w:iCs/>
              </w:rPr>
              <w:t xml:space="preserve">Laminaria </w:t>
            </w:r>
            <w:r>
              <w:t>species</w:t>
            </w:r>
          </w:p>
        </w:tc>
        <w:tc>
          <w:tcPr>
            <w:tcW w:w="1800" w:type="dxa"/>
            <w:shd w:val="clear" w:color="auto" w:fill="D9D9D9" w:themeFill="background1" w:themeFillShade="D9"/>
            <w:vAlign w:val="center"/>
          </w:tcPr>
          <w:p w14:paraId="52230AF2" w14:textId="5BF8C384"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2,934</w:t>
            </w:r>
          </w:p>
        </w:tc>
        <w:tc>
          <w:tcPr>
            <w:tcW w:w="2970" w:type="dxa"/>
            <w:shd w:val="clear" w:color="auto" w:fill="D9D9D9" w:themeFill="background1" w:themeFillShade="D9"/>
            <w:vAlign w:val="center"/>
          </w:tcPr>
          <w:p w14:paraId="2567C0E1" w14:textId="42D5CDD0"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Dawczynski et al., 2007</w:t>
            </w:r>
          </w:p>
        </w:tc>
      </w:tr>
      <w:tr w:rsidR="00565F31" w14:paraId="403DD469"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bottom w:val="single" w:sz="8" w:space="0" w:color="0D0D0D" w:themeColor="text1" w:themeTint="F2"/>
            </w:tcBorders>
            <w:vAlign w:val="center"/>
          </w:tcPr>
          <w:p w14:paraId="18FACCC6" w14:textId="1C37442F" w:rsidR="00EA4884" w:rsidRDefault="00EA4884" w:rsidP="00C45D3A">
            <w:r>
              <w:t>Kombu</w:t>
            </w:r>
          </w:p>
        </w:tc>
        <w:tc>
          <w:tcPr>
            <w:tcW w:w="2610" w:type="dxa"/>
            <w:tcBorders>
              <w:bottom w:val="single" w:sz="8" w:space="0" w:color="0D0D0D" w:themeColor="text1" w:themeTint="F2"/>
            </w:tcBorders>
            <w:vAlign w:val="center"/>
          </w:tcPr>
          <w:p w14:paraId="688E7569" w14:textId="0F203B6A" w:rsidR="00EA4884" w:rsidRPr="009B7677" w:rsidRDefault="00EA4884" w:rsidP="00C45D3A">
            <w:pPr>
              <w:cnfStyle w:val="000000000000" w:firstRow="0" w:lastRow="0" w:firstColumn="0" w:lastColumn="0" w:oddVBand="0" w:evenVBand="0" w:oddHBand="0" w:evenHBand="0" w:firstRowFirstColumn="0" w:firstRowLastColumn="0" w:lastRowFirstColumn="0" w:lastRowLastColumn="0"/>
            </w:pPr>
            <w:r>
              <w:rPr>
                <w:i/>
                <w:iCs/>
              </w:rPr>
              <w:t xml:space="preserve">Laminaria </w:t>
            </w:r>
            <w:r>
              <w:t>species</w:t>
            </w:r>
          </w:p>
        </w:tc>
        <w:tc>
          <w:tcPr>
            <w:tcW w:w="1800" w:type="dxa"/>
            <w:tcBorders>
              <w:bottom w:val="single" w:sz="8" w:space="0" w:color="0D0D0D" w:themeColor="text1" w:themeTint="F2"/>
            </w:tcBorders>
            <w:vAlign w:val="center"/>
          </w:tcPr>
          <w:p w14:paraId="3C3B20CD" w14:textId="7246DAC5"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241</w:t>
            </w:r>
            <w:r w:rsidR="00B84EB0" w:rsidRPr="00B84EB0">
              <w:rPr>
                <w:rFonts w:cs="Calibri"/>
                <w:color w:val="000000"/>
              </w:rPr>
              <w:t>–</w:t>
            </w:r>
            <w:r>
              <w:rPr>
                <w:rFonts w:cs="Calibri"/>
                <w:color w:val="000000"/>
              </w:rPr>
              <w:t>4,921</w:t>
            </w:r>
          </w:p>
        </w:tc>
        <w:tc>
          <w:tcPr>
            <w:tcW w:w="2970" w:type="dxa"/>
            <w:tcBorders>
              <w:bottom w:val="single" w:sz="8" w:space="0" w:color="0D0D0D" w:themeColor="text1" w:themeTint="F2"/>
            </w:tcBorders>
            <w:vAlign w:val="center"/>
          </w:tcPr>
          <w:p w14:paraId="43662247" w14:textId="4627100F"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Yeh et al., 2014</w:t>
            </w:r>
          </w:p>
        </w:tc>
      </w:tr>
      <w:tr w:rsidR="00565F31" w14:paraId="49E930E0"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tcBorders>
            <w:shd w:val="clear" w:color="auto" w:fill="D9D9D9" w:themeFill="background1" w:themeFillShade="D9"/>
            <w:vAlign w:val="center"/>
          </w:tcPr>
          <w:p w14:paraId="1F0A9916" w14:textId="010B0114" w:rsidR="00EA4884" w:rsidRDefault="00EA4884" w:rsidP="00C45D3A">
            <w:r>
              <w:t>Oarweed</w:t>
            </w:r>
          </w:p>
        </w:tc>
        <w:tc>
          <w:tcPr>
            <w:tcW w:w="2610" w:type="dxa"/>
            <w:tcBorders>
              <w:top w:val="single" w:sz="8" w:space="0" w:color="0D0D0D" w:themeColor="text1" w:themeTint="F2"/>
            </w:tcBorders>
            <w:shd w:val="clear" w:color="auto" w:fill="D9D9D9" w:themeFill="background1" w:themeFillShade="D9"/>
            <w:vAlign w:val="center"/>
          </w:tcPr>
          <w:p w14:paraId="749FABC5" w14:textId="363ABC3A" w:rsidR="00EA4884" w:rsidRDefault="00EA4884" w:rsidP="00C45D3A">
            <w:pPr>
              <w:cnfStyle w:val="000000100000" w:firstRow="0" w:lastRow="0" w:firstColumn="0" w:lastColumn="0" w:oddVBand="0" w:evenVBand="0" w:oddHBand="1" w:evenHBand="0" w:firstRowFirstColumn="0" w:firstRowLastColumn="0" w:lastRowFirstColumn="0" w:lastRowLastColumn="0"/>
              <w:rPr>
                <w:i/>
                <w:iCs/>
              </w:rPr>
            </w:pPr>
            <w:r>
              <w:rPr>
                <w:i/>
                <w:iCs/>
              </w:rPr>
              <w:t>Laminaria digitata</w:t>
            </w:r>
          </w:p>
        </w:tc>
        <w:tc>
          <w:tcPr>
            <w:tcW w:w="1800" w:type="dxa"/>
            <w:tcBorders>
              <w:top w:val="single" w:sz="8" w:space="0" w:color="0D0D0D" w:themeColor="text1" w:themeTint="F2"/>
            </w:tcBorders>
            <w:shd w:val="clear" w:color="auto" w:fill="D9D9D9" w:themeFill="background1" w:themeFillShade="D9"/>
            <w:vAlign w:val="center"/>
          </w:tcPr>
          <w:p w14:paraId="2C8D890C" w14:textId="5BBACA82"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8,545</w:t>
            </w:r>
            <w:r w:rsidR="00B84EB0" w:rsidRPr="00B84EB0">
              <w:rPr>
                <w:rFonts w:cs="Calibri"/>
                <w:color w:val="000000"/>
              </w:rPr>
              <w:t>–</w:t>
            </w:r>
            <w:r>
              <w:rPr>
                <w:rFonts w:cs="Calibri"/>
                <w:color w:val="000000"/>
              </w:rPr>
              <w:t>8,697</w:t>
            </w:r>
          </w:p>
        </w:tc>
        <w:tc>
          <w:tcPr>
            <w:tcW w:w="2970" w:type="dxa"/>
            <w:tcBorders>
              <w:top w:val="single" w:sz="8" w:space="0" w:color="0D0D0D" w:themeColor="text1" w:themeTint="F2"/>
            </w:tcBorders>
            <w:shd w:val="clear" w:color="auto" w:fill="D9D9D9" w:themeFill="background1" w:themeFillShade="D9"/>
            <w:vAlign w:val="center"/>
          </w:tcPr>
          <w:p w14:paraId="4CCF5B2A" w14:textId="5D15DE33"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Aakre et al., 2021</w:t>
            </w:r>
          </w:p>
        </w:tc>
      </w:tr>
      <w:tr w:rsidR="00EA4884" w14:paraId="273243E0"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bottom w:val="single" w:sz="8" w:space="0" w:color="0D0D0D" w:themeColor="text1" w:themeTint="F2"/>
            </w:tcBorders>
            <w:vAlign w:val="center"/>
          </w:tcPr>
          <w:p w14:paraId="6E2AC068" w14:textId="60DD9283" w:rsidR="00EA4884" w:rsidRDefault="00EA4884" w:rsidP="00C45D3A">
            <w:r>
              <w:t>Oarweed</w:t>
            </w:r>
          </w:p>
        </w:tc>
        <w:tc>
          <w:tcPr>
            <w:tcW w:w="2610" w:type="dxa"/>
            <w:vAlign w:val="center"/>
          </w:tcPr>
          <w:p w14:paraId="7924389C" w14:textId="04540A65" w:rsidR="00EA4884" w:rsidRDefault="00EA4884" w:rsidP="00C45D3A">
            <w:pPr>
              <w:cnfStyle w:val="000000000000" w:firstRow="0" w:lastRow="0" w:firstColumn="0" w:lastColumn="0" w:oddVBand="0" w:evenVBand="0" w:oddHBand="0" w:evenHBand="0" w:firstRowFirstColumn="0" w:firstRowLastColumn="0" w:lastRowFirstColumn="0" w:lastRowLastColumn="0"/>
              <w:rPr>
                <w:i/>
                <w:iCs/>
              </w:rPr>
            </w:pPr>
            <w:r>
              <w:rPr>
                <w:i/>
                <w:iCs/>
              </w:rPr>
              <w:t>Laminaria digitata</w:t>
            </w:r>
          </w:p>
        </w:tc>
        <w:tc>
          <w:tcPr>
            <w:tcW w:w="1800" w:type="dxa"/>
            <w:vAlign w:val="center"/>
          </w:tcPr>
          <w:p w14:paraId="7D9CA8FC" w14:textId="7AD08FB8"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3,340</w:t>
            </w:r>
            <w:r w:rsidR="00B84EB0" w:rsidRPr="00B84EB0">
              <w:rPr>
                <w:rFonts w:cs="Calibri"/>
                <w:color w:val="000000"/>
              </w:rPr>
              <w:t>–</w:t>
            </w:r>
            <w:r>
              <w:rPr>
                <w:rFonts w:cs="Calibri"/>
                <w:color w:val="000000"/>
              </w:rPr>
              <w:t>10,203</w:t>
            </w:r>
          </w:p>
        </w:tc>
        <w:tc>
          <w:tcPr>
            <w:tcW w:w="2970" w:type="dxa"/>
            <w:vAlign w:val="center"/>
          </w:tcPr>
          <w:p w14:paraId="7E0BD689" w14:textId="4F992A7D"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Nitschke &amp; Stengel, 2015</w:t>
            </w:r>
          </w:p>
        </w:tc>
      </w:tr>
      <w:tr w:rsidR="00565F31" w14:paraId="75F91E83"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bottom w:val="single" w:sz="8" w:space="0" w:color="0D0D0D" w:themeColor="text1" w:themeTint="F2"/>
            </w:tcBorders>
            <w:shd w:val="clear" w:color="auto" w:fill="D9D9D9" w:themeFill="background1" w:themeFillShade="D9"/>
            <w:vAlign w:val="center"/>
          </w:tcPr>
          <w:p w14:paraId="4E62B6D3" w14:textId="47D9B1F3" w:rsidR="00EA4884" w:rsidRDefault="00EA4884" w:rsidP="00C45D3A">
            <w:r>
              <w:t>Rainbow Wrack</w:t>
            </w:r>
          </w:p>
        </w:tc>
        <w:tc>
          <w:tcPr>
            <w:tcW w:w="2610" w:type="dxa"/>
            <w:tcBorders>
              <w:bottom w:val="single" w:sz="8" w:space="0" w:color="0D0D0D" w:themeColor="text1" w:themeTint="F2"/>
            </w:tcBorders>
            <w:shd w:val="clear" w:color="auto" w:fill="D9D9D9" w:themeFill="background1" w:themeFillShade="D9"/>
            <w:vAlign w:val="center"/>
          </w:tcPr>
          <w:p w14:paraId="3C0C9D4F" w14:textId="254FD92B" w:rsidR="00EA4884" w:rsidRDefault="00EA4884" w:rsidP="00C45D3A">
            <w:pPr>
              <w:cnfStyle w:val="000000100000" w:firstRow="0" w:lastRow="0" w:firstColumn="0" w:lastColumn="0" w:oddVBand="0" w:evenVBand="0" w:oddHBand="1" w:evenHBand="0" w:firstRowFirstColumn="0" w:firstRowLastColumn="0" w:lastRowFirstColumn="0" w:lastRowLastColumn="0"/>
              <w:rPr>
                <w:i/>
                <w:iCs/>
              </w:rPr>
            </w:pPr>
            <w:r>
              <w:rPr>
                <w:i/>
                <w:iCs/>
              </w:rPr>
              <w:t>Cystoseira tamariscifolia</w:t>
            </w:r>
          </w:p>
        </w:tc>
        <w:tc>
          <w:tcPr>
            <w:tcW w:w="1800" w:type="dxa"/>
            <w:tcBorders>
              <w:bottom w:val="single" w:sz="8" w:space="0" w:color="0D0D0D" w:themeColor="text1" w:themeTint="F2"/>
            </w:tcBorders>
            <w:shd w:val="clear" w:color="auto" w:fill="D9D9D9" w:themeFill="background1" w:themeFillShade="D9"/>
            <w:vAlign w:val="center"/>
          </w:tcPr>
          <w:p w14:paraId="4AFBC5AD" w14:textId="2E266E98"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165</w:t>
            </w:r>
          </w:p>
        </w:tc>
        <w:tc>
          <w:tcPr>
            <w:tcW w:w="2970" w:type="dxa"/>
            <w:tcBorders>
              <w:bottom w:val="single" w:sz="8" w:space="0" w:color="0D0D0D" w:themeColor="text1" w:themeTint="F2"/>
            </w:tcBorders>
            <w:shd w:val="clear" w:color="auto" w:fill="D9D9D9" w:themeFill="background1" w:themeFillShade="D9"/>
            <w:vAlign w:val="center"/>
          </w:tcPr>
          <w:p w14:paraId="37DB5FDB" w14:textId="061294D4"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Nitschke &amp; Stengel, 2015</w:t>
            </w:r>
          </w:p>
        </w:tc>
      </w:tr>
      <w:tr w:rsidR="00EA4884" w14:paraId="02A27392"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bottom w:val="single" w:sz="8" w:space="0" w:color="0D0D0D" w:themeColor="text1" w:themeTint="F2"/>
            </w:tcBorders>
            <w:vAlign w:val="center"/>
          </w:tcPr>
          <w:p w14:paraId="71146C24" w14:textId="27DF9A75" w:rsidR="00EA4884" w:rsidRDefault="00EA4884" w:rsidP="00C45D3A">
            <w:r>
              <w:t>Rockweed</w:t>
            </w:r>
          </w:p>
        </w:tc>
        <w:tc>
          <w:tcPr>
            <w:tcW w:w="2610" w:type="dxa"/>
            <w:tcBorders>
              <w:top w:val="single" w:sz="8" w:space="0" w:color="0D0D0D" w:themeColor="text1" w:themeTint="F2"/>
              <w:bottom w:val="single" w:sz="8" w:space="0" w:color="0D0D0D" w:themeColor="text1" w:themeTint="F2"/>
            </w:tcBorders>
            <w:vAlign w:val="center"/>
          </w:tcPr>
          <w:p w14:paraId="3785984A" w14:textId="11E44A95" w:rsidR="00EA4884" w:rsidRDefault="00EA4884" w:rsidP="00C45D3A">
            <w:pPr>
              <w:cnfStyle w:val="000000000000" w:firstRow="0" w:lastRow="0" w:firstColumn="0" w:lastColumn="0" w:oddVBand="0" w:evenVBand="0" w:oddHBand="0" w:evenHBand="0" w:firstRowFirstColumn="0" w:firstRowLastColumn="0" w:lastRowFirstColumn="0" w:lastRowLastColumn="0"/>
              <w:rPr>
                <w:i/>
                <w:iCs/>
              </w:rPr>
            </w:pPr>
            <w:r>
              <w:rPr>
                <w:i/>
                <w:iCs/>
              </w:rPr>
              <w:t>Fucus evanescens</w:t>
            </w:r>
          </w:p>
        </w:tc>
        <w:tc>
          <w:tcPr>
            <w:tcW w:w="1800" w:type="dxa"/>
            <w:tcBorders>
              <w:top w:val="single" w:sz="8" w:space="0" w:color="0D0D0D" w:themeColor="text1" w:themeTint="F2"/>
              <w:bottom w:val="single" w:sz="8" w:space="0" w:color="0D0D0D" w:themeColor="text1" w:themeTint="F2"/>
            </w:tcBorders>
            <w:vAlign w:val="center"/>
          </w:tcPr>
          <w:p w14:paraId="1B30286D" w14:textId="136D94AA"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394.16</w:t>
            </w:r>
          </w:p>
        </w:tc>
        <w:tc>
          <w:tcPr>
            <w:tcW w:w="2970" w:type="dxa"/>
            <w:tcBorders>
              <w:top w:val="single" w:sz="8" w:space="0" w:color="0D0D0D" w:themeColor="text1" w:themeTint="F2"/>
              <w:bottom w:val="single" w:sz="8" w:space="0" w:color="0D0D0D" w:themeColor="text1" w:themeTint="F2"/>
            </w:tcBorders>
            <w:vAlign w:val="center"/>
          </w:tcPr>
          <w:p w14:paraId="218B9366" w14:textId="4F3FF349"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Sá Monteiro et al., 2019</w:t>
            </w:r>
          </w:p>
        </w:tc>
      </w:tr>
      <w:tr w:rsidR="00565F31" w14:paraId="2CB0D787"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tcBorders>
            <w:shd w:val="clear" w:color="auto" w:fill="D9D9D9" w:themeFill="background1" w:themeFillShade="D9"/>
            <w:vAlign w:val="center"/>
          </w:tcPr>
          <w:p w14:paraId="0126E454" w14:textId="745FB27C" w:rsidR="00EA4884" w:rsidRDefault="00EA4884" w:rsidP="00C45D3A">
            <w:r>
              <w:t>Sea Spaghetti</w:t>
            </w:r>
          </w:p>
        </w:tc>
        <w:tc>
          <w:tcPr>
            <w:tcW w:w="2610" w:type="dxa"/>
            <w:tcBorders>
              <w:top w:val="single" w:sz="8" w:space="0" w:color="0D0D0D" w:themeColor="text1" w:themeTint="F2"/>
            </w:tcBorders>
            <w:shd w:val="clear" w:color="auto" w:fill="D9D9D9" w:themeFill="background1" w:themeFillShade="D9"/>
            <w:vAlign w:val="center"/>
          </w:tcPr>
          <w:p w14:paraId="4C120FD4" w14:textId="2347D1C2" w:rsidR="00EA4884" w:rsidRDefault="00EA4884" w:rsidP="00C45D3A">
            <w:pPr>
              <w:cnfStyle w:val="000000100000" w:firstRow="0" w:lastRow="0" w:firstColumn="0" w:lastColumn="0" w:oddVBand="0" w:evenVBand="0" w:oddHBand="1" w:evenHBand="0" w:firstRowFirstColumn="0" w:firstRowLastColumn="0" w:lastRowFirstColumn="0" w:lastRowLastColumn="0"/>
              <w:rPr>
                <w:i/>
                <w:iCs/>
              </w:rPr>
            </w:pPr>
            <w:r>
              <w:rPr>
                <w:i/>
                <w:iCs/>
              </w:rPr>
              <w:t>Himanthalia elongata</w:t>
            </w:r>
          </w:p>
        </w:tc>
        <w:tc>
          <w:tcPr>
            <w:tcW w:w="1800" w:type="dxa"/>
            <w:tcBorders>
              <w:top w:val="single" w:sz="8" w:space="0" w:color="0D0D0D" w:themeColor="text1" w:themeTint="F2"/>
            </w:tcBorders>
            <w:shd w:val="clear" w:color="auto" w:fill="D9D9D9" w:themeFill="background1" w:themeFillShade="D9"/>
            <w:vAlign w:val="center"/>
          </w:tcPr>
          <w:p w14:paraId="6BF62363" w14:textId="0AAEAA31"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12</w:t>
            </w:r>
            <w:r w:rsidR="00B84EB0" w:rsidRPr="00B84EB0">
              <w:rPr>
                <w:rFonts w:cs="Calibri"/>
                <w:color w:val="000000"/>
              </w:rPr>
              <w:t>–</w:t>
            </w:r>
            <w:r>
              <w:rPr>
                <w:rFonts w:cs="Calibri"/>
                <w:color w:val="000000"/>
              </w:rPr>
              <w:t>77</w:t>
            </w:r>
          </w:p>
        </w:tc>
        <w:tc>
          <w:tcPr>
            <w:tcW w:w="2970" w:type="dxa"/>
            <w:tcBorders>
              <w:top w:val="single" w:sz="8" w:space="0" w:color="0D0D0D" w:themeColor="text1" w:themeTint="F2"/>
            </w:tcBorders>
            <w:shd w:val="clear" w:color="auto" w:fill="D9D9D9" w:themeFill="background1" w:themeFillShade="D9"/>
            <w:vAlign w:val="center"/>
          </w:tcPr>
          <w:p w14:paraId="5CB87D6E" w14:textId="42AC2868"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Aakre et al., 2021</w:t>
            </w:r>
          </w:p>
        </w:tc>
      </w:tr>
      <w:tr w:rsidR="00565F31" w14:paraId="194923A9" w14:textId="77777777" w:rsidTr="007E4940">
        <w:tc>
          <w:tcPr>
            <w:cnfStyle w:val="001000000000" w:firstRow="0" w:lastRow="0" w:firstColumn="1" w:lastColumn="0" w:oddVBand="0" w:evenVBand="0" w:oddHBand="0" w:evenHBand="0" w:firstRowFirstColumn="0" w:firstRowLastColumn="0" w:lastRowFirstColumn="0" w:lastRowLastColumn="0"/>
            <w:tcW w:w="2335" w:type="dxa"/>
            <w:vAlign w:val="center"/>
          </w:tcPr>
          <w:p w14:paraId="17492578" w14:textId="65963BCD" w:rsidR="00EA4884" w:rsidRDefault="00EA4884" w:rsidP="00C45D3A">
            <w:r>
              <w:t>Sea Spaghetti</w:t>
            </w:r>
          </w:p>
        </w:tc>
        <w:tc>
          <w:tcPr>
            <w:tcW w:w="2610" w:type="dxa"/>
            <w:vAlign w:val="center"/>
          </w:tcPr>
          <w:p w14:paraId="6C2F34BF" w14:textId="4168A225" w:rsidR="00EA4884" w:rsidRDefault="00EA4884" w:rsidP="00C45D3A">
            <w:pPr>
              <w:cnfStyle w:val="000000000000" w:firstRow="0" w:lastRow="0" w:firstColumn="0" w:lastColumn="0" w:oddVBand="0" w:evenVBand="0" w:oddHBand="0" w:evenHBand="0" w:firstRowFirstColumn="0" w:firstRowLastColumn="0" w:lastRowFirstColumn="0" w:lastRowLastColumn="0"/>
              <w:rPr>
                <w:i/>
                <w:iCs/>
              </w:rPr>
            </w:pPr>
            <w:r>
              <w:rPr>
                <w:i/>
                <w:iCs/>
              </w:rPr>
              <w:t>Himanthalia elongata</w:t>
            </w:r>
          </w:p>
        </w:tc>
        <w:tc>
          <w:tcPr>
            <w:tcW w:w="1800" w:type="dxa"/>
            <w:vAlign w:val="center"/>
          </w:tcPr>
          <w:p w14:paraId="6A078084" w14:textId="11DB9F03"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117</w:t>
            </w:r>
          </w:p>
        </w:tc>
        <w:tc>
          <w:tcPr>
            <w:tcW w:w="2970" w:type="dxa"/>
            <w:vAlign w:val="center"/>
          </w:tcPr>
          <w:p w14:paraId="3CDA2EFB" w14:textId="6F866C40"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Romarís-Hortas et al., 2012</w:t>
            </w:r>
          </w:p>
        </w:tc>
      </w:tr>
      <w:tr w:rsidR="00565F31" w14:paraId="49506041"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vAlign w:val="center"/>
          </w:tcPr>
          <w:p w14:paraId="25E9C105" w14:textId="4908ECC6" w:rsidR="00EA4884" w:rsidRDefault="00EA4884" w:rsidP="00C45D3A">
            <w:r>
              <w:t>Spiral Wrack</w:t>
            </w:r>
          </w:p>
        </w:tc>
        <w:tc>
          <w:tcPr>
            <w:tcW w:w="2610" w:type="dxa"/>
            <w:shd w:val="clear" w:color="auto" w:fill="D9D9D9" w:themeFill="background1" w:themeFillShade="D9"/>
            <w:vAlign w:val="center"/>
          </w:tcPr>
          <w:p w14:paraId="139EA041" w14:textId="11615D35" w:rsidR="00EA4884" w:rsidRDefault="00EA4884" w:rsidP="00C45D3A">
            <w:pPr>
              <w:cnfStyle w:val="000000100000" w:firstRow="0" w:lastRow="0" w:firstColumn="0" w:lastColumn="0" w:oddVBand="0" w:evenVBand="0" w:oddHBand="1" w:evenHBand="0" w:firstRowFirstColumn="0" w:firstRowLastColumn="0" w:lastRowFirstColumn="0" w:lastRowLastColumn="0"/>
              <w:rPr>
                <w:i/>
                <w:iCs/>
              </w:rPr>
            </w:pPr>
            <w:r>
              <w:rPr>
                <w:i/>
                <w:iCs/>
              </w:rPr>
              <w:t>Fucus spiralis</w:t>
            </w:r>
          </w:p>
        </w:tc>
        <w:tc>
          <w:tcPr>
            <w:tcW w:w="1800" w:type="dxa"/>
            <w:shd w:val="clear" w:color="auto" w:fill="D9D9D9" w:themeFill="background1" w:themeFillShade="D9"/>
            <w:vAlign w:val="center"/>
          </w:tcPr>
          <w:p w14:paraId="4776A35F" w14:textId="5CBAEA7C"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190</w:t>
            </w:r>
            <w:r w:rsidR="00B84EB0" w:rsidRPr="00B84EB0">
              <w:rPr>
                <w:rFonts w:cs="Calibri"/>
                <w:color w:val="000000"/>
              </w:rPr>
              <w:t>–</w:t>
            </w:r>
            <w:r>
              <w:rPr>
                <w:rFonts w:cs="Calibri"/>
                <w:color w:val="000000"/>
              </w:rPr>
              <w:t>232</w:t>
            </w:r>
          </w:p>
        </w:tc>
        <w:tc>
          <w:tcPr>
            <w:tcW w:w="2970" w:type="dxa"/>
            <w:shd w:val="clear" w:color="auto" w:fill="D9D9D9" w:themeFill="background1" w:themeFillShade="D9"/>
            <w:vAlign w:val="center"/>
          </w:tcPr>
          <w:p w14:paraId="2D665179" w14:textId="1A9CF44F"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Nitschke &amp; Stengel, 2015</w:t>
            </w:r>
          </w:p>
        </w:tc>
      </w:tr>
      <w:tr w:rsidR="00EA4884" w14:paraId="12E0FE88"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bottom w:val="single" w:sz="8" w:space="0" w:color="0D0D0D" w:themeColor="text1" w:themeTint="F2"/>
            </w:tcBorders>
            <w:vAlign w:val="center"/>
          </w:tcPr>
          <w:p w14:paraId="2B897A87" w14:textId="17F6EE62" w:rsidR="00EA4884" w:rsidRDefault="00EA4884" w:rsidP="00C45D3A">
            <w:r>
              <w:t>Spiral Wrack</w:t>
            </w:r>
          </w:p>
        </w:tc>
        <w:tc>
          <w:tcPr>
            <w:tcW w:w="2610" w:type="dxa"/>
            <w:tcBorders>
              <w:bottom w:val="single" w:sz="8" w:space="0" w:color="0D0D0D" w:themeColor="text1" w:themeTint="F2"/>
            </w:tcBorders>
            <w:vAlign w:val="center"/>
          </w:tcPr>
          <w:p w14:paraId="542E4982" w14:textId="49B40062" w:rsidR="00EA4884" w:rsidRDefault="00EA4884" w:rsidP="00C45D3A">
            <w:pPr>
              <w:cnfStyle w:val="000000000000" w:firstRow="0" w:lastRow="0" w:firstColumn="0" w:lastColumn="0" w:oddVBand="0" w:evenVBand="0" w:oddHBand="0" w:evenHBand="0" w:firstRowFirstColumn="0" w:firstRowLastColumn="0" w:lastRowFirstColumn="0" w:lastRowLastColumn="0"/>
              <w:rPr>
                <w:i/>
                <w:iCs/>
              </w:rPr>
            </w:pPr>
            <w:r>
              <w:rPr>
                <w:i/>
                <w:iCs/>
              </w:rPr>
              <w:t>Fucus spiralis</w:t>
            </w:r>
          </w:p>
        </w:tc>
        <w:tc>
          <w:tcPr>
            <w:tcW w:w="1800" w:type="dxa"/>
            <w:tcBorders>
              <w:bottom w:val="single" w:sz="8" w:space="0" w:color="0D0D0D" w:themeColor="text1" w:themeTint="F2"/>
            </w:tcBorders>
            <w:vAlign w:val="center"/>
          </w:tcPr>
          <w:p w14:paraId="0EC6F079" w14:textId="09C27F81"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209.52</w:t>
            </w:r>
          </w:p>
        </w:tc>
        <w:tc>
          <w:tcPr>
            <w:tcW w:w="2970" w:type="dxa"/>
            <w:tcBorders>
              <w:bottom w:val="single" w:sz="8" w:space="0" w:color="0D0D0D" w:themeColor="text1" w:themeTint="F2"/>
            </w:tcBorders>
            <w:vAlign w:val="center"/>
          </w:tcPr>
          <w:p w14:paraId="0104092F" w14:textId="7195073A"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Sá Monteiro et al., 2019</w:t>
            </w:r>
          </w:p>
        </w:tc>
      </w:tr>
      <w:tr w:rsidR="00565F31" w14:paraId="5D7929FC"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tcBorders>
            <w:shd w:val="clear" w:color="auto" w:fill="D9D9D9" w:themeFill="background1" w:themeFillShade="D9"/>
            <w:vAlign w:val="center"/>
          </w:tcPr>
          <w:p w14:paraId="5C91728F" w14:textId="0DC47FCC" w:rsidR="00EA4884" w:rsidRDefault="00EA4884" w:rsidP="00C45D3A">
            <w:r>
              <w:t>Split Kelp</w:t>
            </w:r>
          </w:p>
        </w:tc>
        <w:tc>
          <w:tcPr>
            <w:tcW w:w="2610" w:type="dxa"/>
            <w:tcBorders>
              <w:top w:val="single" w:sz="8" w:space="0" w:color="0D0D0D" w:themeColor="text1" w:themeTint="F2"/>
            </w:tcBorders>
            <w:shd w:val="clear" w:color="auto" w:fill="D9D9D9" w:themeFill="background1" w:themeFillShade="D9"/>
            <w:vAlign w:val="center"/>
          </w:tcPr>
          <w:p w14:paraId="52E4C468" w14:textId="429A229F" w:rsidR="00EA4884" w:rsidRDefault="00EA4884" w:rsidP="00C45D3A">
            <w:pPr>
              <w:cnfStyle w:val="000000100000" w:firstRow="0" w:lastRow="0" w:firstColumn="0" w:lastColumn="0" w:oddVBand="0" w:evenVBand="0" w:oddHBand="1" w:evenHBand="0" w:firstRowFirstColumn="0" w:firstRowLastColumn="0" w:lastRowFirstColumn="0" w:lastRowLastColumn="0"/>
              <w:rPr>
                <w:i/>
                <w:iCs/>
              </w:rPr>
            </w:pPr>
            <w:r>
              <w:rPr>
                <w:i/>
                <w:iCs/>
              </w:rPr>
              <w:t>Fucus vesiculosis</w:t>
            </w:r>
          </w:p>
        </w:tc>
        <w:tc>
          <w:tcPr>
            <w:tcW w:w="1800" w:type="dxa"/>
            <w:tcBorders>
              <w:top w:val="single" w:sz="8" w:space="0" w:color="0D0D0D" w:themeColor="text1" w:themeTint="F2"/>
            </w:tcBorders>
            <w:shd w:val="clear" w:color="auto" w:fill="D9D9D9" w:themeFill="background1" w:themeFillShade="D9"/>
            <w:vAlign w:val="center"/>
          </w:tcPr>
          <w:p w14:paraId="2D4FB3E2" w14:textId="38E818D0"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99</w:t>
            </w:r>
            <w:r w:rsidR="00B84EB0">
              <w:rPr>
                <w:rFonts w:cs="Calibri"/>
                <w:color w:val="000000"/>
              </w:rPr>
              <w:t>–</w:t>
            </w:r>
            <w:r>
              <w:rPr>
                <w:rFonts w:cs="Calibri"/>
                <w:color w:val="000000"/>
              </w:rPr>
              <w:t>105</w:t>
            </w:r>
          </w:p>
        </w:tc>
        <w:tc>
          <w:tcPr>
            <w:tcW w:w="2970" w:type="dxa"/>
            <w:tcBorders>
              <w:top w:val="single" w:sz="8" w:space="0" w:color="0D0D0D" w:themeColor="text1" w:themeTint="F2"/>
            </w:tcBorders>
            <w:shd w:val="clear" w:color="auto" w:fill="D9D9D9" w:themeFill="background1" w:themeFillShade="D9"/>
            <w:vAlign w:val="center"/>
          </w:tcPr>
          <w:p w14:paraId="65B4A05E" w14:textId="6B01BA58"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Nitschke &amp; Stengel, 2015</w:t>
            </w:r>
          </w:p>
        </w:tc>
      </w:tr>
      <w:tr w:rsidR="00565F31" w14:paraId="0BC31EA3"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bottom w:val="single" w:sz="8" w:space="0" w:color="0D0D0D" w:themeColor="text1" w:themeTint="F2"/>
            </w:tcBorders>
            <w:vAlign w:val="center"/>
          </w:tcPr>
          <w:p w14:paraId="0C4CA1B6" w14:textId="1CBEC7DF" w:rsidR="00EA4884" w:rsidRDefault="00EA4884" w:rsidP="00C45D3A">
            <w:r>
              <w:t>Split Kelp</w:t>
            </w:r>
          </w:p>
        </w:tc>
        <w:tc>
          <w:tcPr>
            <w:tcW w:w="2610" w:type="dxa"/>
            <w:tcBorders>
              <w:bottom w:val="single" w:sz="8" w:space="0" w:color="0D0D0D" w:themeColor="text1" w:themeTint="F2"/>
            </w:tcBorders>
            <w:vAlign w:val="center"/>
          </w:tcPr>
          <w:p w14:paraId="72E46B93" w14:textId="228725A4" w:rsidR="00EA4884" w:rsidRDefault="00EA4884" w:rsidP="00C45D3A">
            <w:pPr>
              <w:cnfStyle w:val="000000000000" w:firstRow="0" w:lastRow="0" w:firstColumn="0" w:lastColumn="0" w:oddVBand="0" w:evenVBand="0" w:oddHBand="0" w:evenHBand="0" w:firstRowFirstColumn="0" w:firstRowLastColumn="0" w:lastRowFirstColumn="0" w:lastRowLastColumn="0"/>
              <w:rPr>
                <w:i/>
                <w:iCs/>
              </w:rPr>
            </w:pPr>
            <w:r>
              <w:rPr>
                <w:i/>
                <w:iCs/>
              </w:rPr>
              <w:t>Fucus vesiculosis</w:t>
            </w:r>
          </w:p>
        </w:tc>
        <w:tc>
          <w:tcPr>
            <w:tcW w:w="1800" w:type="dxa"/>
            <w:tcBorders>
              <w:bottom w:val="single" w:sz="8" w:space="0" w:color="0D0D0D" w:themeColor="text1" w:themeTint="F2"/>
            </w:tcBorders>
            <w:vAlign w:val="center"/>
          </w:tcPr>
          <w:p w14:paraId="3FFFE9E7" w14:textId="2A66083A"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1,070</w:t>
            </w:r>
          </w:p>
        </w:tc>
        <w:tc>
          <w:tcPr>
            <w:tcW w:w="2970" w:type="dxa"/>
            <w:tcBorders>
              <w:bottom w:val="single" w:sz="8" w:space="0" w:color="0D0D0D" w:themeColor="text1" w:themeTint="F2"/>
            </w:tcBorders>
            <w:vAlign w:val="center"/>
          </w:tcPr>
          <w:p w14:paraId="57BD145D" w14:textId="2A556DF0"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Van Netten et al., 2000</w:t>
            </w:r>
          </w:p>
        </w:tc>
      </w:tr>
      <w:tr w:rsidR="00565F31" w14:paraId="550C2D9C"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tcBorders>
            <w:shd w:val="clear" w:color="auto" w:fill="D9D9D9" w:themeFill="background1" w:themeFillShade="D9"/>
            <w:vAlign w:val="center"/>
          </w:tcPr>
          <w:p w14:paraId="403379F2" w14:textId="35F738BB" w:rsidR="00EA4884" w:rsidRDefault="00EA4884" w:rsidP="00C45D3A">
            <w:r>
              <w:t>Sugar Kelp</w:t>
            </w:r>
          </w:p>
        </w:tc>
        <w:tc>
          <w:tcPr>
            <w:tcW w:w="2610" w:type="dxa"/>
            <w:tcBorders>
              <w:top w:val="single" w:sz="8" w:space="0" w:color="0D0D0D" w:themeColor="text1" w:themeTint="F2"/>
            </w:tcBorders>
            <w:shd w:val="clear" w:color="auto" w:fill="D9D9D9" w:themeFill="background1" w:themeFillShade="D9"/>
            <w:vAlign w:val="center"/>
          </w:tcPr>
          <w:p w14:paraId="11DA1740" w14:textId="40509FE9" w:rsidR="00EA4884" w:rsidRDefault="00EA4884" w:rsidP="00C45D3A">
            <w:pPr>
              <w:cnfStyle w:val="000000100000" w:firstRow="0" w:lastRow="0" w:firstColumn="0" w:lastColumn="0" w:oddVBand="0" w:evenVBand="0" w:oddHBand="1" w:evenHBand="0" w:firstRowFirstColumn="0" w:firstRowLastColumn="0" w:lastRowFirstColumn="0" w:lastRowLastColumn="0"/>
              <w:rPr>
                <w:i/>
                <w:iCs/>
              </w:rPr>
            </w:pPr>
            <w:r>
              <w:rPr>
                <w:i/>
                <w:iCs/>
              </w:rPr>
              <w:t>Saccharina latissima</w:t>
            </w:r>
          </w:p>
        </w:tc>
        <w:tc>
          <w:tcPr>
            <w:tcW w:w="1800" w:type="dxa"/>
            <w:tcBorders>
              <w:top w:val="single" w:sz="8" w:space="0" w:color="0D0D0D" w:themeColor="text1" w:themeTint="F2"/>
            </w:tcBorders>
            <w:shd w:val="clear" w:color="auto" w:fill="D9D9D9" w:themeFill="background1" w:themeFillShade="D9"/>
            <w:vAlign w:val="center"/>
          </w:tcPr>
          <w:p w14:paraId="76BAC006" w14:textId="53025E63"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836</w:t>
            </w:r>
            <w:r w:rsidR="00B84EB0" w:rsidRPr="00B84EB0">
              <w:rPr>
                <w:rFonts w:cs="Calibri"/>
                <w:color w:val="000000"/>
              </w:rPr>
              <w:t>–</w:t>
            </w:r>
            <w:r>
              <w:rPr>
                <w:rFonts w:cs="Calibri"/>
                <w:color w:val="000000"/>
              </w:rPr>
              <w:t>2,120</w:t>
            </w:r>
          </w:p>
        </w:tc>
        <w:tc>
          <w:tcPr>
            <w:tcW w:w="2970" w:type="dxa"/>
            <w:tcBorders>
              <w:top w:val="single" w:sz="8" w:space="0" w:color="0D0D0D" w:themeColor="text1" w:themeTint="F2"/>
            </w:tcBorders>
            <w:shd w:val="clear" w:color="auto" w:fill="D9D9D9" w:themeFill="background1" w:themeFillShade="D9"/>
            <w:vAlign w:val="center"/>
          </w:tcPr>
          <w:p w14:paraId="756594D9" w14:textId="73B1773C"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Aakre et al., 2021</w:t>
            </w:r>
          </w:p>
        </w:tc>
      </w:tr>
      <w:tr w:rsidR="00EA4884" w14:paraId="10E95E1A" w14:textId="77777777" w:rsidTr="007E4940">
        <w:tc>
          <w:tcPr>
            <w:cnfStyle w:val="001000000000" w:firstRow="0" w:lastRow="0" w:firstColumn="1" w:lastColumn="0" w:oddVBand="0" w:evenVBand="0" w:oddHBand="0" w:evenHBand="0" w:firstRowFirstColumn="0" w:firstRowLastColumn="0" w:lastRowFirstColumn="0" w:lastRowLastColumn="0"/>
            <w:tcW w:w="2335" w:type="dxa"/>
            <w:vAlign w:val="center"/>
          </w:tcPr>
          <w:p w14:paraId="4F3E9F59" w14:textId="6F4B7F96" w:rsidR="00EA4884" w:rsidRDefault="00EA4884" w:rsidP="00C45D3A">
            <w:r>
              <w:t>Sugar Kelp</w:t>
            </w:r>
          </w:p>
        </w:tc>
        <w:tc>
          <w:tcPr>
            <w:tcW w:w="2610" w:type="dxa"/>
            <w:vAlign w:val="center"/>
          </w:tcPr>
          <w:p w14:paraId="307405D4" w14:textId="56C435CB" w:rsidR="00EA4884" w:rsidRDefault="00EA4884" w:rsidP="00C45D3A">
            <w:pPr>
              <w:cnfStyle w:val="000000000000" w:firstRow="0" w:lastRow="0" w:firstColumn="0" w:lastColumn="0" w:oddVBand="0" w:evenVBand="0" w:oddHBand="0" w:evenHBand="0" w:firstRowFirstColumn="0" w:firstRowLastColumn="0" w:lastRowFirstColumn="0" w:lastRowLastColumn="0"/>
              <w:rPr>
                <w:i/>
                <w:iCs/>
              </w:rPr>
            </w:pPr>
            <w:r>
              <w:rPr>
                <w:i/>
                <w:iCs/>
              </w:rPr>
              <w:t>Saccharina latissima</w:t>
            </w:r>
          </w:p>
        </w:tc>
        <w:tc>
          <w:tcPr>
            <w:tcW w:w="1800" w:type="dxa"/>
            <w:vAlign w:val="center"/>
          </w:tcPr>
          <w:p w14:paraId="6E107074" w14:textId="28FE2248"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5,580</w:t>
            </w:r>
            <w:r w:rsidR="00B84EB0" w:rsidRPr="00B84EB0">
              <w:rPr>
                <w:rFonts w:cs="Calibri"/>
                <w:color w:val="000000"/>
              </w:rPr>
              <w:t>–</w:t>
            </w:r>
            <w:r>
              <w:rPr>
                <w:rFonts w:cs="Calibri"/>
                <w:color w:val="000000"/>
              </w:rPr>
              <w:t>7,977</w:t>
            </w:r>
          </w:p>
        </w:tc>
        <w:tc>
          <w:tcPr>
            <w:tcW w:w="2970" w:type="dxa"/>
            <w:vAlign w:val="center"/>
          </w:tcPr>
          <w:p w14:paraId="07B6F533" w14:textId="057C7579"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Krook et al., 2023</w:t>
            </w:r>
          </w:p>
        </w:tc>
      </w:tr>
      <w:tr w:rsidR="00565F31" w14:paraId="5D97DC91"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vAlign w:val="center"/>
          </w:tcPr>
          <w:p w14:paraId="63CBC43D" w14:textId="3E6A96A7" w:rsidR="00EA4884" w:rsidRDefault="00EA4884" w:rsidP="00C45D3A">
            <w:r>
              <w:t>Sugar Kelp</w:t>
            </w:r>
          </w:p>
        </w:tc>
        <w:tc>
          <w:tcPr>
            <w:tcW w:w="2610" w:type="dxa"/>
            <w:shd w:val="clear" w:color="auto" w:fill="D9D9D9" w:themeFill="background1" w:themeFillShade="D9"/>
            <w:vAlign w:val="center"/>
          </w:tcPr>
          <w:p w14:paraId="1B344C3A" w14:textId="448C55CB" w:rsidR="00EA4884" w:rsidRDefault="00EA4884" w:rsidP="00C45D3A">
            <w:pPr>
              <w:cnfStyle w:val="000000100000" w:firstRow="0" w:lastRow="0" w:firstColumn="0" w:lastColumn="0" w:oddVBand="0" w:evenVBand="0" w:oddHBand="1" w:evenHBand="0" w:firstRowFirstColumn="0" w:firstRowLastColumn="0" w:lastRowFirstColumn="0" w:lastRowLastColumn="0"/>
              <w:rPr>
                <w:i/>
                <w:iCs/>
              </w:rPr>
            </w:pPr>
            <w:r>
              <w:rPr>
                <w:i/>
                <w:iCs/>
              </w:rPr>
              <w:t>Saccharina latissima</w:t>
            </w:r>
          </w:p>
        </w:tc>
        <w:tc>
          <w:tcPr>
            <w:tcW w:w="1800" w:type="dxa"/>
            <w:shd w:val="clear" w:color="auto" w:fill="D9D9D9" w:themeFill="background1" w:themeFillShade="D9"/>
            <w:vAlign w:val="center"/>
          </w:tcPr>
          <w:p w14:paraId="405D0E68" w14:textId="1AFD1F70"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420</w:t>
            </w:r>
            <w:r w:rsidR="00B84EB0" w:rsidRPr="00B84EB0">
              <w:rPr>
                <w:rFonts w:cs="Calibri"/>
                <w:color w:val="000000"/>
              </w:rPr>
              <w:t>–</w:t>
            </w:r>
            <w:r>
              <w:rPr>
                <w:rFonts w:cs="Calibri"/>
                <w:color w:val="000000"/>
              </w:rPr>
              <w:t>3,965</w:t>
            </w:r>
          </w:p>
        </w:tc>
        <w:tc>
          <w:tcPr>
            <w:tcW w:w="2970" w:type="dxa"/>
            <w:shd w:val="clear" w:color="auto" w:fill="D9D9D9" w:themeFill="background1" w:themeFillShade="D9"/>
            <w:vAlign w:val="center"/>
          </w:tcPr>
          <w:p w14:paraId="4CFE949B" w14:textId="54CCBE80" w:rsidR="00EA4884" w:rsidRDefault="00EA4884"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Lüning &amp; Mortensen, 2015</w:t>
            </w:r>
          </w:p>
        </w:tc>
      </w:tr>
      <w:tr w:rsidR="00EA4884" w14:paraId="451063D0" w14:textId="77777777" w:rsidTr="007E4940">
        <w:tc>
          <w:tcPr>
            <w:cnfStyle w:val="001000000000" w:firstRow="0" w:lastRow="0" w:firstColumn="1" w:lastColumn="0" w:oddVBand="0" w:evenVBand="0" w:oddHBand="0" w:evenHBand="0" w:firstRowFirstColumn="0" w:firstRowLastColumn="0" w:lastRowFirstColumn="0" w:lastRowLastColumn="0"/>
            <w:tcW w:w="2335" w:type="dxa"/>
            <w:vAlign w:val="center"/>
          </w:tcPr>
          <w:p w14:paraId="25F593D9" w14:textId="1A225392" w:rsidR="00EA4884" w:rsidRDefault="00EA4884" w:rsidP="00C45D3A">
            <w:r>
              <w:t>Sugar Kelp</w:t>
            </w:r>
          </w:p>
        </w:tc>
        <w:tc>
          <w:tcPr>
            <w:tcW w:w="2610" w:type="dxa"/>
            <w:vAlign w:val="center"/>
          </w:tcPr>
          <w:p w14:paraId="5935B842" w14:textId="2D94E7C6" w:rsidR="00EA4884" w:rsidRDefault="00EA4884" w:rsidP="00C45D3A">
            <w:pPr>
              <w:cnfStyle w:val="000000000000" w:firstRow="0" w:lastRow="0" w:firstColumn="0" w:lastColumn="0" w:oddVBand="0" w:evenVBand="0" w:oddHBand="0" w:evenHBand="0" w:firstRowFirstColumn="0" w:firstRowLastColumn="0" w:lastRowFirstColumn="0" w:lastRowLastColumn="0"/>
              <w:rPr>
                <w:i/>
                <w:iCs/>
              </w:rPr>
            </w:pPr>
            <w:r>
              <w:rPr>
                <w:i/>
                <w:iCs/>
              </w:rPr>
              <w:t>Saccharina latissima</w:t>
            </w:r>
          </w:p>
        </w:tc>
        <w:tc>
          <w:tcPr>
            <w:tcW w:w="1800" w:type="dxa"/>
            <w:vAlign w:val="center"/>
          </w:tcPr>
          <w:p w14:paraId="7CEAA04D" w14:textId="690011DD"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3,341</w:t>
            </w:r>
            <w:r w:rsidR="00B84EB0" w:rsidRPr="00B84EB0">
              <w:rPr>
                <w:rFonts w:cs="Calibri"/>
                <w:color w:val="000000"/>
              </w:rPr>
              <w:t>–</w:t>
            </w:r>
            <w:r>
              <w:rPr>
                <w:rFonts w:cs="Calibri"/>
                <w:color w:val="000000"/>
              </w:rPr>
              <w:t>6,130</w:t>
            </w:r>
          </w:p>
        </w:tc>
        <w:tc>
          <w:tcPr>
            <w:tcW w:w="2970" w:type="dxa"/>
            <w:vAlign w:val="center"/>
          </w:tcPr>
          <w:p w14:paraId="5014B27E" w14:textId="0D20F006" w:rsidR="00EA4884" w:rsidRDefault="00EA4884"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Nitschke &amp; Stengel, 2015</w:t>
            </w:r>
          </w:p>
        </w:tc>
      </w:tr>
      <w:tr w:rsidR="00565F31" w14:paraId="3D9F68D1"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vAlign w:val="center"/>
          </w:tcPr>
          <w:p w14:paraId="7C490D98" w14:textId="31ECC5C8" w:rsidR="00B84EB0" w:rsidRDefault="00B84EB0" w:rsidP="00C45D3A">
            <w:r>
              <w:t>Sugar Kelp</w:t>
            </w:r>
          </w:p>
        </w:tc>
        <w:tc>
          <w:tcPr>
            <w:tcW w:w="2610" w:type="dxa"/>
            <w:shd w:val="clear" w:color="auto" w:fill="D9D9D9" w:themeFill="background1" w:themeFillShade="D9"/>
            <w:vAlign w:val="center"/>
          </w:tcPr>
          <w:p w14:paraId="199B80E0" w14:textId="722C6E6B" w:rsidR="00B84EB0" w:rsidRDefault="00B84EB0" w:rsidP="00C45D3A">
            <w:pPr>
              <w:cnfStyle w:val="000000100000" w:firstRow="0" w:lastRow="0" w:firstColumn="0" w:lastColumn="0" w:oddVBand="0" w:evenVBand="0" w:oddHBand="1" w:evenHBand="0" w:firstRowFirstColumn="0" w:firstRowLastColumn="0" w:lastRowFirstColumn="0" w:lastRowLastColumn="0"/>
              <w:rPr>
                <w:i/>
                <w:iCs/>
              </w:rPr>
            </w:pPr>
            <w:r>
              <w:rPr>
                <w:i/>
                <w:iCs/>
              </w:rPr>
              <w:t>Saccharina latissima</w:t>
            </w:r>
          </w:p>
        </w:tc>
        <w:tc>
          <w:tcPr>
            <w:tcW w:w="1800" w:type="dxa"/>
            <w:shd w:val="clear" w:color="auto" w:fill="D9D9D9" w:themeFill="background1" w:themeFillShade="D9"/>
            <w:vAlign w:val="center"/>
          </w:tcPr>
          <w:p w14:paraId="7DABC034" w14:textId="70150C18"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1,556</w:t>
            </w:r>
            <w:r w:rsidRPr="00B84EB0">
              <w:rPr>
                <w:rFonts w:cs="Calibri"/>
                <w:color w:val="000000"/>
              </w:rPr>
              <w:t>–</w:t>
            </w:r>
            <w:r>
              <w:rPr>
                <w:rFonts w:cs="Calibri"/>
                <w:color w:val="000000"/>
              </w:rPr>
              <w:t>7,208</w:t>
            </w:r>
          </w:p>
        </w:tc>
        <w:tc>
          <w:tcPr>
            <w:tcW w:w="2970" w:type="dxa"/>
            <w:shd w:val="clear" w:color="auto" w:fill="D9D9D9" w:themeFill="background1" w:themeFillShade="D9"/>
            <w:vAlign w:val="center"/>
          </w:tcPr>
          <w:p w14:paraId="40F978E3" w14:textId="7CE65D3A"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Roleda et al., 2019</w:t>
            </w:r>
          </w:p>
        </w:tc>
      </w:tr>
      <w:tr w:rsidR="00B84EB0" w14:paraId="53FAB821" w14:textId="77777777" w:rsidTr="007E4940">
        <w:tc>
          <w:tcPr>
            <w:cnfStyle w:val="001000000000" w:firstRow="0" w:lastRow="0" w:firstColumn="1" w:lastColumn="0" w:oddVBand="0" w:evenVBand="0" w:oddHBand="0" w:evenHBand="0" w:firstRowFirstColumn="0" w:firstRowLastColumn="0" w:lastRowFirstColumn="0" w:lastRowLastColumn="0"/>
            <w:tcW w:w="2335" w:type="dxa"/>
            <w:vAlign w:val="center"/>
          </w:tcPr>
          <w:p w14:paraId="2784F74A" w14:textId="636C56E8" w:rsidR="00B84EB0" w:rsidRDefault="00B84EB0" w:rsidP="00C45D3A">
            <w:r>
              <w:t>Sugar Kelp</w:t>
            </w:r>
          </w:p>
        </w:tc>
        <w:tc>
          <w:tcPr>
            <w:tcW w:w="2610" w:type="dxa"/>
            <w:vAlign w:val="center"/>
          </w:tcPr>
          <w:p w14:paraId="330F91CC" w14:textId="4B5AB707" w:rsidR="00B84EB0" w:rsidRDefault="00B84EB0" w:rsidP="00C45D3A">
            <w:pPr>
              <w:cnfStyle w:val="000000000000" w:firstRow="0" w:lastRow="0" w:firstColumn="0" w:lastColumn="0" w:oddVBand="0" w:evenVBand="0" w:oddHBand="0" w:evenHBand="0" w:firstRowFirstColumn="0" w:firstRowLastColumn="0" w:lastRowFirstColumn="0" w:lastRowLastColumn="0"/>
              <w:rPr>
                <w:i/>
                <w:iCs/>
              </w:rPr>
            </w:pPr>
            <w:r>
              <w:rPr>
                <w:i/>
                <w:iCs/>
              </w:rPr>
              <w:t>Saccharina latissima</w:t>
            </w:r>
          </w:p>
        </w:tc>
        <w:tc>
          <w:tcPr>
            <w:tcW w:w="1800" w:type="dxa"/>
            <w:vAlign w:val="center"/>
          </w:tcPr>
          <w:p w14:paraId="7759169F" w14:textId="179B7701"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333</w:t>
            </w:r>
            <w:r w:rsidRPr="00B84EB0">
              <w:rPr>
                <w:rFonts w:cs="Calibri"/>
                <w:color w:val="000000"/>
              </w:rPr>
              <w:t>–</w:t>
            </w:r>
            <w:r>
              <w:rPr>
                <w:rFonts w:cs="Calibri"/>
                <w:color w:val="000000"/>
              </w:rPr>
              <w:t>4,782.2</w:t>
            </w:r>
          </w:p>
        </w:tc>
        <w:tc>
          <w:tcPr>
            <w:tcW w:w="2970" w:type="dxa"/>
            <w:vAlign w:val="center"/>
          </w:tcPr>
          <w:p w14:paraId="2FC5D7F6" w14:textId="0DE5B516"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Sá Monteiro et al., 2019</w:t>
            </w:r>
          </w:p>
        </w:tc>
      </w:tr>
      <w:tr w:rsidR="00565F31" w14:paraId="38F288A1"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vAlign w:val="center"/>
          </w:tcPr>
          <w:p w14:paraId="5476B9EE" w14:textId="4E4EE689" w:rsidR="00B84EB0" w:rsidRDefault="00B84EB0" w:rsidP="00C45D3A">
            <w:r>
              <w:t>Sugar Kelp</w:t>
            </w:r>
          </w:p>
        </w:tc>
        <w:tc>
          <w:tcPr>
            <w:tcW w:w="2610" w:type="dxa"/>
            <w:shd w:val="clear" w:color="auto" w:fill="D9D9D9" w:themeFill="background1" w:themeFillShade="D9"/>
            <w:vAlign w:val="center"/>
          </w:tcPr>
          <w:p w14:paraId="69C7C789" w14:textId="4904771F" w:rsidR="00B84EB0" w:rsidRDefault="00B84EB0" w:rsidP="00C45D3A">
            <w:pPr>
              <w:cnfStyle w:val="000000100000" w:firstRow="0" w:lastRow="0" w:firstColumn="0" w:lastColumn="0" w:oddVBand="0" w:evenVBand="0" w:oddHBand="1" w:evenHBand="0" w:firstRowFirstColumn="0" w:firstRowLastColumn="0" w:lastRowFirstColumn="0" w:lastRowLastColumn="0"/>
              <w:rPr>
                <w:i/>
                <w:iCs/>
              </w:rPr>
            </w:pPr>
            <w:r>
              <w:rPr>
                <w:i/>
                <w:iCs/>
              </w:rPr>
              <w:t>Saccharina latissima</w:t>
            </w:r>
          </w:p>
        </w:tc>
        <w:tc>
          <w:tcPr>
            <w:tcW w:w="1800" w:type="dxa"/>
            <w:shd w:val="clear" w:color="auto" w:fill="D9D9D9" w:themeFill="background1" w:themeFillShade="D9"/>
            <w:vAlign w:val="center"/>
          </w:tcPr>
          <w:p w14:paraId="303EB813" w14:textId="1CC7B90B"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1,600</w:t>
            </w:r>
            <w:r w:rsidRPr="00B84EB0">
              <w:rPr>
                <w:rFonts w:cs="Calibri"/>
                <w:color w:val="000000"/>
              </w:rPr>
              <w:t>–</w:t>
            </w:r>
            <w:r>
              <w:rPr>
                <w:rFonts w:cs="Calibri"/>
                <w:color w:val="000000"/>
              </w:rPr>
              <w:t>4,200</w:t>
            </w:r>
          </w:p>
        </w:tc>
        <w:tc>
          <w:tcPr>
            <w:tcW w:w="2970" w:type="dxa"/>
            <w:shd w:val="clear" w:color="auto" w:fill="D9D9D9" w:themeFill="background1" w:themeFillShade="D9"/>
            <w:vAlign w:val="center"/>
          </w:tcPr>
          <w:p w14:paraId="71287A8E" w14:textId="28B616BF"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Sharma et al., 2018</w:t>
            </w:r>
          </w:p>
        </w:tc>
      </w:tr>
      <w:tr w:rsidR="00B84EB0" w14:paraId="59F8822D" w14:textId="77777777" w:rsidTr="007E4940">
        <w:tc>
          <w:tcPr>
            <w:cnfStyle w:val="001000000000" w:firstRow="0" w:lastRow="0" w:firstColumn="1" w:lastColumn="0" w:oddVBand="0" w:evenVBand="0" w:oddHBand="0" w:evenHBand="0" w:firstRowFirstColumn="0" w:firstRowLastColumn="0" w:lastRowFirstColumn="0" w:lastRowLastColumn="0"/>
            <w:tcW w:w="2335" w:type="dxa"/>
            <w:vAlign w:val="center"/>
          </w:tcPr>
          <w:p w14:paraId="4B7069D2" w14:textId="43EEF0F5" w:rsidR="00B84EB0" w:rsidRDefault="00B84EB0" w:rsidP="00C45D3A">
            <w:r>
              <w:t>Sugar Kelp</w:t>
            </w:r>
          </w:p>
        </w:tc>
        <w:tc>
          <w:tcPr>
            <w:tcW w:w="2610" w:type="dxa"/>
            <w:vAlign w:val="center"/>
          </w:tcPr>
          <w:p w14:paraId="32987542" w14:textId="2C2CAD63" w:rsidR="00B84EB0" w:rsidRDefault="00B84EB0" w:rsidP="00C45D3A">
            <w:pPr>
              <w:cnfStyle w:val="000000000000" w:firstRow="0" w:lastRow="0" w:firstColumn="0" w:lastColumn="0" w:oddVBand="0" w:evenVBand="0" w:oddHBand="0" w:evenHBand="0" w:firstRowFirstColumn="0" w:firstRowLastColumn="0" w:lastRowFirstColumn="0" w:lastRowLastColumn="0"/>
              <w:rPr>
                <w:i/>
                <w:iCs/>
              </w:rPr>
            </w:pPr>
            <w:r>
              <w:rPr>
                <w:i/>
                <w:iCs/>
              </w:rPr>
              <w:t>Saccharina latissima</w:t>
            </w:r>
          </w:p>
        </w:tc>
        <w:tc>
          <w:tcPr>
            <w:tcW w:w="1800" w:type="dxa"/>
            <w:vAlign w:val="center"/>
          </w:tcPr>
          <w:p w14:paraId="1DD721E5" w14:textId="162633AD"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4,898</w:t>
            </w:r>
            <w:r w:rsidRPr="00B84EB0">
              <w:rPr>
                <w:rFonts w:cs="Calibri"/>
                <w:color w:val="000000"/>
              </w:rPr>
              <w:t>–</w:t>
            </w:r>
            <w:r>
              <w:rPr>
                <w:rFonts w:cs="Calibri"/>
                <w:color w:val="000000"/>
              </w:rPr>
              <w:t>6,568</w:t>
            </w:r>
          </w:p>
        </w:tc>
        <w:tc>
          <w:tcPr>
            <w:tcW w:w="2970" w:type="dxa"/>
            <w:vAlign w:val="center"/>
          </w:tcPr>
          <w:p w14:paraId="613C1B84" w14:textId="68D69C04"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Stévant &amp; Braverman, 2014</w:t>
            </w:r>
          </w:p>
        </w:tc>
      </w:tr>
      <w:tr w:rsidR="00565F31" w14:paraId="7A365467"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bottom w:val="single" w:sz="8" w:space="0" w:color="0D0D0D" w:themeColor="text1" w:themeTint="F2"/>
            </w:tcBorders>
            <w:shd w:val="clear" w:color="auto" w:fill="D9D9D9" w:themeFill="background1" w:themeFillShade="D9"/>
            <w:vAlign w:val="center"/>
          </w:tcPr>
          <w:p w14:paraId="48BF0CBE" w14:textId="64B18AF0" w:rsidR="00B84EB0" w:rsidRDefault="00B84EB0" w:rsidP="00C45D3A">
            <w:r>
              <w:t>Sugar Kelp</w:t>
            </w:r>
          </w:p>
        </w:tc>
        <w:tc>
          <w:tcPr>
            <w:tcW w:w="2610" w:type="dxa"/>
            <w:tcBorders>
              <w:bottom w:val="single" w:sz="8" w:space="0" w:color="0D0D0D" w:themeColor="text1" w:themeTint="F2"/>
            </w:tcBorders>
            <w:shd w:val="clear" w:color="auto" w:fill="D9D9D9" w:themeFill="background1" w:themeFillShade="D9"/>
            <w:vAlign w:val="center"/>
          </w:tcPr>
          <w:p w14:paraId="6458B142" w14:textId="783295BC" w:rsidR="00B84EB0" w:rsidRDefault="00B84EB0" w:rsidP="00C45D3A">
            <w:pPr>
              <w:cnfStyle w:val="000000100000" w:firstRow="0" w:lastRow="0" w:firstColumn="0" w:lastColumn="0" w:oddVBand="0" w:evenVBand="0" w:oddHBand="1" w:evenHBand="0" w:firstRowFirstColumn="0" w:firstRowLastColumn="0" w:lastRowFirstColumn="0" w:lastRowLastColumn="0"/>
              <w:rPr>
                <w:i/>
                <w:iCs/>
              </w:rPr>
            </w:pPr>
            <w:r>
              <w:rPr>
                <w:i/>
                <w:iCs/>
              </w:rPr>
              <w:t>Saccharina latissima</w:t>
            </w:r>
          </w:p>
        </w:tc>
        <w:tc>
          <w:tcPr>
            <w:tcW w:w="1800" w:type="dxa"/>
            <w:tcBorders>
              <w:bottom w:val="single" w:sz="8" w:space="0" w:color="0D0D0D" w:themeColor="text1" w:themeTint="F2"/>
            </w:tcBorders>
            <w:shd w:val="clear" w:color="auto" w:fill="D9D9D9" w:themeFill="background1" w:themeFillShade="D9"/>
            <w:vAlign w:val="center"/>
          </w:tcPr>
          <w:p w14:paraId="399521D2" w14:textId="25D5D8BD"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238</w:t>
            </w:r>
          </w:p>
        </w:tc>
        <w:tc>
          <w:tcPr>
            <w:tcW w:w="2970" w:type="dxa"/>
            <w:tcBorders>
              <w:bottom w:val="single" w:sz="8" w:space="0" w:color="0D0D0D" w:themeColor="text1" w:themeTint="F2"/>
            </w:tcBorders>
            <w:shd w:val="clear" w:color="auto" w:fill="D9D9D9" w:themeFill="background1" w:themeFillShade="D9"/>
            <w:vAlign w:val="center"/>
          </w:tcPr>
          <w:p w14:paraId="293F3DE5" w14:textId="3F8B3059"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Van Netten et al., 2000</w:t>
            </w:r>
          </w:p>
        </w:tc>
      </w:tr>
      <w:tr w:rsidR="00565F31" w14:paraId="7A193F25"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bottom w:val="single" w:sz="8" w:space="0" w:color="0D0D0D" w:themeColor="text1" w:themeTint="F2"/>
            </w:tcBorders>
            <w:vAlign w:val="center"/>
          </w:tcPr>
          <w:p w14:paraId="1150E7EF" w14:textId="1876F688" w:rsidR="00B84EB0" w:rsidRDefault="00B84EB0" w:rsidP="00C45D3A">
            <w:r>
              <w:t>Tangle/Cuvie</w:t>
            </w:r>
          </w:p>
        </w:tc>
        <w:tc>
          <w:tcPr>
            <w:tcW w:w="2610" w:type="dxa"/>
            <w:tcBorders>
              <w:top w:val="single" w:sz="8" w:space="0" w:color="0D0D0D" w:themeColor="text1" w:themeTint="F2"/>
              <w:bottom w:val="single" w:sz="8" w:space="0" w:color="0D0D0D" w:themeColor="text1" w:themeTint="F2"/>
            </w:tcBorders>
            <w:vAlign w:val="center"/>
          </w:tcPr>
          <w:p w14:paraId="67DE80AE" w14:textId="7D59A7F5" w:rsidR="00B84EB0" w:rsidRDefault="00B84EB0" w:rsidP="00C45D3A">
            <w:pPr>
              <w:cnfStyle w:val="000000000000" w:firstRow="0" w:lastRow="0" w:firstColumn="0" w:lastColumn="0" w:oddVBand="0" w:evenVBand="0" w:oddHBand="0" w:evenHBand="0" w:firstRowFirstColumn="0" w:firstRowLastColumn="0" w:lastRowFirstColumn="0" w:lastRowLastColumn="0"/>
              <w:rPr>
                <w:i/>
                <w:iCs/>
              </w:rPr>
            </w:pPr>
            <w:r>
              <w:rPr>
                <w:i/>
                <w:iCs/>
              </w:rPr>
              <w:t>Laminaria hyperborea</w:t>
            </w:r>
          </w:p>
        </w:tc>
        <w:tc>
          <w:tcPr>
            <w:tcW w:w="1800" w:type="dxa"/>
            <w:tcBorders>
              <w:top w:val="single" w:sz="8" w:space="0" w:color="0D0D0D" w:themeColor="text1" w:themeTint="F2"/>
              <w:bottom w:val="single" w:sz="8" w:space="0" w:color="0D0D0D" w:themeColor="text1" w:themeTint="F2"/>
            </w:tcBorders>
            <w:vAlign w:val="center"/>
          </w:tcPr>
          <w:p w14:paraId="5DFB90A4" w14:textId="395E23DB"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1,734</w:t>
            </w:r>
            <w:r w:rsidRPr="00B84EB0">
              <w:rPr>
                <w:rFonts w:cs="Calibri"/>
                <w:color w:val="000000"/>
              </w:rPr>
              <w:t>–</w:t>
            </w:r>
            <w:r>
              <w:rPr>
                <w:rFonts w:cs="Calibri"/>
                <w:color w:val="000000"/>
              </w:rPr>
              <w:t>8,976</w:t>
            </w:r>
          </w:p>
        </w:tc>
        <w:tc>
          <w:tcPr>
            <w:tcW w:w="2970" w:type="dxa"/>
            <w:tcBorders>
              <w:top w:val="single" w:sz="8" w:space="0" w:color="0D0D0D" w:themeColor="text1" w:themeTint="F2"/>
              <w:bottom w:val="single" w:sz="8" w:space="0" w:color="0D0D0D" w:themeColor="text1" w:themeTint="F2"/>
            </w:tcBorders>
            <w:vAlign w:val="center"/>
          </w:tcPr>
          <w:p w14:paraId="16E8BFF8" w14:textId="65C6AA6F"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Nitschke &amp; Stengel, 2015</w:t>
            </w:r>
          </w:p>
        </w:tc>
      </w:tr>
      <w:tr w:rsidR="00565F31" w14:paraId="0B194D27"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tcBorders>
            <w:shd w:val="clear" w:color="auto" w:fill="D9D9D9" w:themeFill="background1" w:themeFillShade="D9"/>
            <w:vAlign w:val="center"/>
          </w:tcPr>
          <w:p w14:paraId="3598552B" w14:textId="1D886EA0" w:rsidR="00B84EB0" w:rsidRDefault="00B84EB0" w:rsidP="00C45D3A">
            <w:r>
              <w:t>Toothed Wrack</w:t>
            </w:r>
          </w:p>
        </w:tc>
        <w:tc>
          <w:tcPr>
            <w:tcW w:w="2610" w:type="dxa"/>
            <w:tcBorders>
              <w:top w:val="single" w:sz="8" w:space="0" w:color="0D0D0D" w:themeColor="text1" w:themeTint="F2"/>
            </w:tcBorders>
            <w:shd w:val="clear" w:color="auto" w:fill="D9D9D9" w:themeFill="background1" w:themeFillShade="D9"/>
            <w:vAlign w:val="center"/>
          </w:tcPr>
          <w:p w14:paraId="30082DA9" w14:textId="354F1DE2" w:rsidR="00B84EB0" w:rsidRDefault="00B84EB0" w:rsidP="00C45D3A">
            <w:pPr>
              <w:cnfStyle w:val="000000100000" w:firstRow="0" w:lastRow="0" w:firstColumn="0" w:lastColumn="0" w:oddVBand="0" w:evenVBand="0" w:oddHBand="1" w:evenHBand="0" w:firstRowFirstColumn="0" w:firstRowLastColumn="0" w:lastRowFirstColumn="0" w:lastRowLastColumn="0"/>
              <w:rPr>
                <w:i/>
                <w:iCs/>
              </w:rPr>
            </w:pPr>
            <w:r>
              <w:rPr>
                <w:i/>
                <w:iCs/>
              </w:rPr>
              <w:t>Fucus serratus</w:t>
            </w:r>
          </w:p>
        </w:tc>
        <w:tc>
          <w:tcPr>
            <w:tcW w:w="1800" w:type="dxa"/>
            <w:tcBorders>
              <w:top w:val="single" w:sz="8" w:space="0" w:color="0D0D0D" w:themeColor="text1" w:themeTint="F2"/>
            </w:tcBorders>
            <w:shd w:val="clear" w:color="auto" w:fill="D9D9D9" w:themeFill="background1" w:themeFillShade="D9"/>
            <w:vAlign w:val="center"/>
          </w:tcPr>
          <w:p w14:paraId="44CC7A78" w14:textId="0F0D5986"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221</w:t>
            </w:r>
            <w:r w:rsidRPr="00B84EB0">
              <w:rPr>
                <w:rFonts w:cs="Calibri"/>
                <w:color w:val="000000"/>
              </w:rPr>
              <w:t>–</w:t>
            </w:r>
            <w:r>
              <w:rPr>
                <w:rFonts w:cs="Calibri"/>
                <w:color w:val="000000"/>
              </w:rPr>
              <w:t>271</w:t>
            </w:r>
          </w:p>
        </w:tc>
        <w:tc>
          <w:tcPr>
            <w:tcW w:w="2970" w:type="dxa"/>
            <w:tcBorders>
              <w:top w:val="single" w:sz="8" w:space="0" w:color="0D0D0D" w:themeColor="text1" w:themeTint="F2"/>
            </w:tcBorders>
            <w:shd w:val="clear" w:color="auto" w:fill="D9D9D9" w:themeFill="background1" w:themeFillShade="D9"/>
            <w:vAlign w:val="center"/>
          </w:tcPr>
          <w:p w14:paraId="738331C5" w14:textId="2497C6DD"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Aakre et al., 2021</w:t>
            </w:r>
          </w:p>
        </w:tc>
      </w:tr>
      <w:tr w:rsidR="00565F31" w14:paraId="2A683A37" w14:textId="77777777" w:rsidTr="007E4940">
        <w:tc>
          <w:tcPr>
            <w:cnfStyle w:val="001000000000" w:firstRow="0" w:lastRow="0" w:firstColumn="1" w:lastColumn="0" w:oddVBand="0" w:evenVBand="0" w:oddHBand="0" w:evenHBand="0" w:firstRowFirstColumn="0" w:firstRowLastColumn="0" w:lastRowFirstColumn="0" w:lastRowLastColumn="0"/>
            <w:tcW w:w="2335" w:type="dxa"/>
            <w:vAlign w:val="center"/>
          </w:tcPr>
          <w:p w14:paraId="6089975E" w14:textId="1AE141E0" w:rsidR="00B84EB0" w:rsidRDefault="00B84EB0" w:rsidP="00C45D3A">
            <w:r>
              <w:lastRenderedPageBreak/>
              <w:t>Toothed Wrack</w:t>
            </w:r>
          </w:p>
        </w:tc>
        <w:tc>
          <w:tcPr>
            <w:tcW w:w="2610" w:type="dxa"/>
            <w:vAlign w:val="center"/>
          </w:tcPr>
          <w:p w14:paraId="1980E285" w14:textId="4D591ED2" w:rsidR="00B84EB0" w:rsidRDefault="00B84EB0" w:rsidP="00C45D3A">
            <w:pPr>
              <w:cnfStyle w:val="000000000000" w:firstRow="0" w:lastRow="0" w:firstColumn="0" w:lastColumn="0" w:oddVBand="0" w:evenVBand="0" w:oddHBand="0" w:evenHBand="0" w:firstRowFirstColumn="0" w:firstRowLastColumn="0" w:lastRowFirstColumn="0" w:lastRowLastColumn="0"/>
              <w:rPr>
                <w:i/>
                <w:iCs/>
              </w:rPr>
            </w:pPr>
            <w:r>
              <w:rPr>
                <w:i/>
                <w:iCs/>
              </w:rPr>
              <w:t>Fucus serratus</w:t>
            </w:r>
          </w:p>
        </w:tc>
        <w:tc>
          <w:tcPr>
            <w:tcW w:w="1800" w:type="dxa"/>
            <w:vAlign w:val="center"/>
          </w:tcPr>
          <w:p w14:paraId="007EB4FA" w14:textId="278DB96C"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275</w:t>
            </w:r>
            <w:r w:rsidRPr="00B84EB0">
              <w:rPr>
                <w:rFonts w:cs="Calibri"/>
                <w:color w:val="000000"/>
              </w:rPr>
              <w:t>–</w:t>
            </w:r>
            <w:r>
              <w:rPr>
                <w:rFonts w:cs="Calibri"/>
                <w:color w:val="000000"/>
              </w:rPr>
              <w:t>320</w:t>
            </w:r>
          </w:p>
        </w:tc>
        <w:tc>
          <w:tcPr>
            <w:tcW w:w="2970" w:type="dxa"/>
            <w:vAlign w:val="center"/>
          </w:tcPr>
          <w:p w14:paraId="17F19830" w14:textId="0BCBA3EB"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Nitschke and Stengel, 2015</w:t>
            </w:r>
          </w:p>
        </w:tc>
      </w:tr>
      <w:tr w:rsidR="00565F31" w14:paraId="6ACB1A24"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bottom w:val="single" w:sz="8" w:space="0" w:color="0D0D0D" w:themeColor="text1" w:themeTint="F2"/>
            </w:tcBorders>
            <w:shd w:val="clear" w:color="auto" w:fill="D9D9D9" w:themeFill="background1" w:themeFillShade="D9"/>
            <w:vAlign w:val="center"/>
          </w:tcPr>
          <w:p w14:paraId="7B8E079D" w14:textId="4EA8F0B0" w:rsidR="00B84EB0" w:rsidRDefault="00B84EB0" w:rsidP="00C45D3A">
            <w:r>
              <w:t>Toothed Wrack</w:t>
            </w:r>
          </w:p>
        </w:tc>
        <w:tc>
          <w:tcPr>
            <w:tcW w:w="2610" w:type="dxa"/>
            <w:tcBorders>
              <w:bottom w:val="single" w:sz="8" w:space="0" w:color="0D0D0D" w:themeColor="text1" w:themeTint="F2"/>
            </w:tcBorders>
            <w:shd w:val="clear" w:color="auto" w:fill="D9D9D9" w:themeFill="background1" w:themeFillShade="D9"/>
            <w:vAlign w:val="center"/>
          </w:tcPr>
          <w:p w14:paraId="12C6FA00" w14:textId="22710E8E" w:rsidR="00B84EB0" w:rsidRDefault="00B84EB0" w:rsidP="00C45D3A">
            <w:pPr>
              <w:cnfStyle w:val="000000100000" w:firstRow="0" w:lastRow="0" w:firstColumn="0" w:lastColumn="0" w:oddVBand="0" w:evenVBand="0" w:oddHBand="1" w:evenHBand="0" w:firstRowFirstColumn="0" w:firstRowLastColumn="0" w:lastRowFirstColumn="0" w:lastRowLastColumn="0"/>
              <w:rPr>
                <w:i/>
                <w:iCs/>
              </w:rPr>
            </w:pPr>
            <w:r>
              <w:rPr>
                <w:i/>
                <w:iCs/>
              </w:rPr>
              <w:t>Fucus serratus</w:t>
            </w:r>
          </w:p>
        </w:tc>
        <w:tc>
          <w:tcPr>
            <w:tcW w:w="1800" w:type="dxa"/>
            <w:tcBorders>
              <w:bottom w:val="single" w:sz="8" w:space="0" w:color="0D0D0D" w:themeColor="text1" w:themeTint="F2"/>
            </w:tcBorders>
            <w:shd w:val="clear" w:color="auto" w:fill="D9D9D9" w:themeFill="background1" w:themeFillShade="D9"/>
            <w:vAlign w:val="center"/>
          </w:tcPr>
          <w:p w14:paraId="767199B4" w14:textId="21980DC3"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105.2</w:t>
            </w:r>
            <w:r w:rsidRPr="00B84EB0">
              <w:rPr>
                <w:rFonts w:cs="Calibri"/>
                <w:color w:val="000000"/>
              </w:rPr>
              <w:t>–</w:t>
            </w:r>
            <w:r>
              <w:rPr>
                <w:rFonts w:cs="Calibri"/>
                <w:color w:val="000000"/>
              </w:rPr>
              <w:t>961.4</w:t>
            </w:r>
          </w:p>
        </w:tc>
        <w:tc>
          <w:tcPr>
            <w:tcW w:w="2970" w:type="dxa"/>
            <w:tcBorders>
              <w:bottom w:val="single" w:sz="8" w:space="0" w:color="0D0D0D" w:themeColor="text1" w:themeTint="F2"/>
            </w:tcBorders>
            <w:shd w:val="clear" w:color="auto" w:fill="D9D9D9" w:themeFill="background1" w:themeFillShade="D9"/>
            <w:vAlign w:val="center"/>
          </w:tcPr>
          <w:p w14:paraId="7F228812" w14:textId="2F50BDD2"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Sá Monteiro et al., 2019</w:t>
            </w:r>
          </w:p>
        </w:tc>
      </w:tr>
      <w:tr w:rsidR="00565F31" w14:paraId="14E64F3A"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tcBorders>
            <w:vAlign w:val="center"/>
          </w:tcPr>
          <w:p w14:paraId="0CB6BDCF" w14:textId="5220D51E" w:rsidR="00B84EB0" w:rsidRDefault="00B84EB0" w:rsidP="00C45D3A">
            <w:r>
              <w:t>Wakame</w:t>
            </w:r>
          </w:p>
        </w:tc>
        <w:tc>
          <w:tcPr>
            <w:tcW w:w="2610" w:type="dxa"/>
            <w:tcBorders>
              <w:top w:val="single" w:sz="8" w:space="0" w:color="0D0D0D" w:themeColor="text1" w:themeTint="F2"/>
            </w:tcBorders>
            <w:vAlign w:val="center"/>
          </w:tcPr>
          <w:p w14:paraId="599C62DF" w14:textId="5EDDEBC0" w:rsidR="00B84EB0" w:rsidRDefault="00B84EB0" w:rsidP="00C45D3A">
            <w:pPr>
              <w:cnfStyle w:val="000000000000" w:firstRow="0" w:lastRow="0" w:firstColumn="0" w:lastColumn="0" w:oddVBand="0" w:evenVBand="0" w:oddHBand="0" w:evenHBand="0" w:firstRowFirstColumn="0" w:firstRowLastColumn="0" w:lastRowFirstColumn="0" w:lastRowLastColumn="0"/>
              <w:rPr>
                <w:i/>
                <w:iCs/>
              </w:rPr>
            </w:pPr>
            <w:r w:rsidRPr="009B7677">
              <w:rPr>
                <w:i/>
                <w:iCs/>
              </w:rPr>
              <w:t>Undaria pinnatifida</w:t>
            </w:r>
          </w:p>
        </w:tc>
        <w:tc>
          <w:tcPr>
            <w:tcW w:w="1800" w:type="dxa"/>
            <w:tcBorders>
              <w:top w:val="single" w:sz="8" w:space="0" w:color="0D0D0D" w:themeColor="text1" w:themeTint="F2"/>
            </w:tcBorders>
            <w:vAlign w:val="center"/>
          </w:tcPr>
          <w:p w14:paraId="5F89F973" w14:textId="3D994DA9"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98</w:t>
            </w:r>
            <w:r w:rsidRPr="00B84EB0">
              <w:rPr>
                <w:rFonts w:cs="Calibri"/>
                <w:color w:val="000000"/>
              </w:rPr>
              <w:t>–</w:t>
            </w:r>
            <w:r>
              <w:rPr>
                <w:rFonts w:cs="Calibri"/>
                <w:color w:val="000000"/>
              </w:rPr>
              <w:t>294</w:t>
            </w:r>
          </w:p>
        </w:tc>
        <w:tc>
          <w:tcPr>
            <w:tcW w:w="2970" w:type="dxa"/>
            <w:tcBorders>
              <w:top w:val="single" w:sz="8" w:space="0" w:color="0D0D0D" w:themeColor="text1" w:themeTint="F2"/>
            </w:tcBorders>
            <w:vAlign w:val="center"/>
          </w:tcPr>
          <w:p w14:paraId="4B3394F5" w14:textId="590EE89A"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Aakre et al., 2021</w:t>
            </w:r>
          </w:p>
        </w:tc>
      </w:tr>
      <w:tr w:rsidR="00565F31" w14:paraId="29C19DFF"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vAlign w:val="center"/>
          </w:tcPr>
          <w:p w14:paraId="627A1DD7" w14:textId="3A8C3241" w:rsidR="00B84EB0" w:rsidRDefault="00B84EB0" w:rsidP="00C45D3A">
            <w:r>
              <w:t>Wakame</w:t>
            </w:r>
          </w:p>
        </w:tc>
        <w:tc>
          <w:tcPr>
            <w:tcW w:w="2610" w:type="dxa"/>
            <w:shd w:val="clear" w:color="auto" w:fill="D9D9D9" w:themeFill="background1" w:themeFillShade="D9"/>
            <w:vAlign w:val="center"/>
          </w:tcPr>
          <w:p w14:paraId="01D79CAC" w14:textId="3717411E" w:rsidR="00B84EB0" w:rsidRDefault="00B84EB0" w:rsidP="00C45D3A">
            <w:pPr>
              <w:cnfStyle w:val="000000100000" w:firstRow="0" w:lastRow="0" w:firstColumn="0" w:lastColumn="0" w:oddVBand="0" w:evenVBand="0" w:oddHBand="1" w:evenHBand="0" w:firstRowFirstColumn="0" w:firstRowLastColumn="0" w:lastRowFirstColumn="0" w:lastRowLastColumn="0"/>
              <w:rPr>
                <w:i/>
                <w:iCs/>
              </w:rPr>
            </w:pPr>
            <w:r>
              <w:rPr>
                <w:rFonts w:cs="Calibri"/>
                <w:i/>
                <w:iCs/>
                <w:color w:val="000000"/>
              </w:rPr>
              <w:t>Undaria pinnatifida</w:t>
            </w:r>
          </w:p>
        </w:tc>
        <w:tc>
          <w:tcPr>
            <w:tcW w:w="1800" w:type="dxa"/>
            <w:shd w:val="clear" w:color="auto" w:fill="D9D9D9" w:themeFill="background1" w:themeFillShade="D9"/>
            <w:vAlign w:val="center"/>
          </w:tcPr>
          <w:p w14:paraId="47A2249C" w14:textId="3D451C1E"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163</w:t>
            </w:r>
          </w:p>
        </w:tc>
        <w:tc>
          <w:tcPr>
            <w:tcW w:w="2970" w:type="dxa"/>
            <w:shd w:val="clear" w:color="auto" w:fill="D9D9D9" w:themeFill="background1" w:themeFillShade="D9"/>
            <w:vAlign w:val="center"/>
          </w:tcPr>
          <w:p w14:paraId="3263625F" w14:textId="1161438D"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Dawczynski et al., 2007</w:t>
            </w:r>
          </w:p>
        </w:tc>
      </w:tr>
      <w:tr w:rsidR="00565F31" w14:paraId="307C4840" w14:textId="77777777" w:rsidTr="007E4940">
        <w:tc>
          <w:tcPr>
            <w:cnfStyle w:val="001000000000" w:firstRow="0" w:lastRow="0" w:firstColumn="1" w:lastColumn="0" w:oddVBand="0" w:evenVBand="0" w:oddHBand="0" w:evenHBand="0" w:firstRowFirstColumn="0" w:firstRowLastColumn="0" w:lastRowFirstColumn="0" w:lastRowLastColumn="0"/>
            <w:tcW w:w="2335" w:type="dxa"/>
            <w:vAlign w:val="center"/>
          </w:tcPr>
          <w:p w14:paraId="03D6FE0E" w14:textId="2F70B278" w:rsidR="00B84EB0" w:rsidRDefault="00B84EB0" w:rsidP="00C45D3A">
            <w:r>
              <w:t>Wakame</w:t>
            </w:r>
          </w:p>
        </w:tc>
        <w:tc>
          <w:tcPr>
            <w:tcW w:w="2610" w:type="dxa"/>
            <w:vAlign w:val="center"/>
          </w:tcPr>
          <w:p w14:paraId="69DD1E53" w14:textId="5FAC0699" w:rsidR="00B84EB0" w:rsidRDefault="00B84EB0" w:rsidP="00C45D3A">
            <w:pPr>
              <w:cnfStyle w:val="000000000000" w:firstRow="0" w:lastRow="0" w:firstColumn="0" w:lastColumn="0" w:oddVBand="0" w:evenVBand="0" w:oddHBand="0" w:evenHBand="0" w:firstRowFirstColumn="0" w:firstRowLastColumn="0" w:lastRowFirstColumn="0" w:lastRowLastColumn="0"/>
              <w:rPr>
                <w:i/>
                <w:iCs/>
              </w:rPr>
            </w:pPr>
            <w:r>
              <w:rPr>
                <w:rFonts w:cs="Calibri"/>
                <w:i/>
                <w:iCs/>
                <w:color w:val="000000"/>
              </w:rPr>
              <w:t>Undaria pinnatifida</w:t>
            </w:r>
          </w:p>
        </w:tc>
        <w:tc>
          <w:tcPr>
            <w:tcW w:w="1800" w:type="dxa"/>
            <w:vAlign w:val="center"/>
          </w:tcPr>
          <w:p w14:paraId="62E13BAE" w14:textId="1F548EEE"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1,571</w:t>
            </w:r>
          </w:p>
        </w:tc>
        <w:tc>
          <w:tcPr>
            <w:tcW w:w="2970" w:type="dxa"/>
            <w:vAlign w:val="center"/>
          </w:tcPr>
          <w:p w14:paraId="75BB60C4" w14:textId="2424AE4C"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Hou &amp; Yan, 1998</w:t>
            </w:r>
          </w:p>
        </w:tc>
      </w:tr>
      <w:tr w:rsidR="00565F31" w14:paraId="3CD5DF18"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vAlign w:val="center"/>
          </w:tcPr>
          <w:p w14:paraId="6566B6C3" w14:textId="117B6AAE" w:rsidR="00B84EB0" w:rsidRDefault="00B84EB0" w:rsidP="00C45D3A">
            <w:r>
              <w:t>Wakame</w:t>
            </w:r>
          </w:p>
        </w:tc>
        <w:tc>
          <w:tcPr>
            <w:tcW w:w="2610" w:type="dxa"/>
            <w:shd w:val="clear" w:color="auto" w:fill="D9D9D9" w:themeFill="background1" w:themeFillShade="D9"/>
            <w:vAlign w:val="center"/>
          </w:tcPr>
          <w:p w14:paraId="307E4E47" w14:textId="13B156EF" w:rsidR="00B84EB0" w:rsidRDefault="00B84EB0" w:rsidP="00C45D3A">
            <w:pPr>
              <w:cnfStyle w:val="000000100000" w:firstRow="0" w:lastRow="0" w:firstColumn="0" w:lastColumn="0" w:oddVBand="0" w:evenVBand="0" w:oddHBand="1" w:evenHBand="0" w:firstRowFirstColumn="0" w:firstRowLastColumn="0" w:lastRowFirstColumn="0" w:lastRowLastColumn="0"/>
              <w:rPr>
                <w:i/>
                <w:iCs/>
              </w:rPr>
            </w:pPr>
            <w:r>
              <w:rPr>
                <w:rFonts w:cs="Calibri"/>
                <w:i/>
                <w:iCs/>
                <w:color w:val="000000"/>
              </w:rPr>
              <w:t>Undaria pinnatifida</w:t>
            </w:r>
          </w:p>
        </w:tc>
        <w:tc>
          <w:tcPr>
            <w:tcW w:w="1800" w:type="dxa"/>
            <w:shd w:val="clear" w:color="auto" w:fill="D9D9D9" w:themeFill="background1" w:themeFillShade="D9"/>
            <w:vAlign w:val="center"/>
          </w:tcPr>
          <w:p w14:paraId="788DC1CC" w14:textId="76CDB9B3"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104</w:t>
            </w:r>
            <w:r w:rsidRPr="00B84EB0">
              <w:rPr>
                <w:rFonts w:cs="Calibri"/>
                <w:color w:val="000000"/>
              </w:rPr>
              <w:t>–</w:t>
            </w:r>
            <w:r>
              <w:rPr>
                <w:rFonts w:cs="Calibri"/>
                <w:color w:val="000000"/>
              </w:rPr>
              <w:t>217</w:t>
            </w:r>
          </w:p>
        </w:tc>
        <w:tc>
          <w:tcPr>
            <w:tcW w:w="2970" w:type="dxa"/>
            <w:shd w:val="clear" w:color="auto" w:fill="D9D9D9" w:themeFill="background1" w:themeFillShade="D9"/>
            <w:vAlign w:val="center"/>
          </w:tcPr>
          <w:p w14:paraId="71509E4D" w14:textId="2FF214CF"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Lee et al., 1994</w:t>
            </w:r>
          </w:p>
        </w:tc>
      </w:tr>
      <w:tr w:rsidR="00565F31" w14:paraId="5F7C6F25" w14:textId="77777777" w:rsidTr="007E4940">
        <w:tc>
          <w:tcPr>
            <w:cnfStyle w:val="001000000000" w:firstRow="0" w:lastRow="0" w:firstColumn="1" w:lastColumn="0" w:oddVBand="0" w:evenVBand="0" w:oddHBand="0" w:evenHBand="0" w:firstRowFirstColumn="0" w:firstRowLastColumn="0" w:lastRowFirstColumn="0" w:lastRowLastColumn="0"/>
            <w:tcW w:w="2335" w:type="dxa"/>
            <w:vAlign w:val="center"/>
          </w:tcPr>
          <w:p w14:paraId="73DC5D94" w14:textId="46B85AD2" w:rsidR="00B84EB0" w:rsidRDefault="00B84EB0" w:rsidP="00C45D3A">
            <w:r>
              <w:t>Wakame</w:t>
            </w:r>
          </w:p>
        </w:tc>
        <w:tc>
          <w:tcPr>
            <w:tcW w:w="2610" w:type="dxa"/>
            <w:vAlign w:val="center"/>
          </w:tcPr>
          <w:p w14:paraId="67FEEA01" w14:textId="0CBF5F82" w:rsidR="00B84EB0" w:rsidRDefault="00B84EB0" w:rsidP="00C45D3A">
            <w:pPr>
              <w:cnfStyle w:val="000000000000" w:firstRow="0" w:lastRow="0" w:firstColumn="0" w:lastColumn="0" w:oddVBand="0" w:evenVBand="0" w:oddHBand="0" w:evenHBand="0" w:firstRowFirstColumn="0" w:firstRowLastColumn="0" w:lastRowFirstColumn="0" w:lastRowLastColumn="0"/>
              <w:rPr>
                <w:i/>
                <w:iCs/>
              </w:rPr>
            </w:pPr>
            <w:r>
              <w:rPr>
                <w:rFonts w:cs="Calibri"/>
                <w:i/>
                <w:iCs/>
                <w:color w:val="000000"/>
              </w:rPr>
              <w:t>Undaria pinnatifida</w:t>
            </w:r>
          </w:p>
        </w:tc>
        <w:tc>
          <w:tcPr>
            <w:tcW w:w="1800" w:type="dxa"/>
            <w:vAlign w:val="center"/>
          </w:tcPr>
          <w:p w14:paraId="3964104A" w14:textId="0A95CE42"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306</w:t>
            </w:r>
          </w:p>
        </w:tc>
        <w:tc>
          <w:tcPr>
            <w:tcW w:w="2970" w:type="dxa"/>
            <w:vAlign w:val="center"/>
          </w:tcPr>
          <w:p w14:paraId="4ED1BE40" w14:textId="1A9FF8A8"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Romarís-Hortas et al., 2012</w:t>
            </w:r>
          </w:p>
        </w:tc>
      </w:tr>
      <w:tr w:rsidR="00565F31" w14:paraId="79556536"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vAlign w:val="center"/>
          </w:tcPr>
          <w:p w14:paraId="43C0CCBC" w14:textId="2980FA50" w:rsidR="00B84EB0" w:rsidRDefault="00B84EB0" w:rsidP="00C45D3A">
            <w:r>
              <w:t>Wakame</w:t>
            </w:r>
          </w:p>
        </w:tc>
        <w:tc>
          <w:tcPr>
            <w:tcW w:w="2610" w:type="dxa"/>
            <w:shd w:val="clear" w:color="auto" w:fill="D9D9D9" w:themeFill="background1" w:themeFillShade="D9"/>
            <w:vAlign w:val="center"/>
          </w:tcPr>
          <w:p w14:paraId="567B3085" w14:textId="47BC8BF3" w:rsidR="00B84EB0" w:rsidRDefault="00B84EB0" w:rsidP="00C45D3A">
            <w:pPr>
              <w:cnfStyle w:val="000000100000" w:firstRow="0" w:lastRow="0" w:firstColumn="0" w:lastColumn="0" w:oddVBand="0" w:evenVBand="0" w:oddHBand="1" w:evenHBand="0" w:firstRowFirstColumn="0" w:firstRowLastColumn="0" w:lastRowFirstColumn="0" w:lastRowLastColumn="0"/>
              <w:rPr>
                <w:i/>
                <w:iCs/>
              </w:rPr>
            </w:pPr>
            <w:r>
              <w:rPr>
                <w:rFonts w:cs="Calibri"/>
                <w:i/>
                <w:iCs/>
                <w:color w:val="000000"/>
              </w:rPr>
              <w:t>Undaria pinnatifida</w:t>
            </w:r>
          </w:p>
        </w:tc>
        <w:tc>
          <w:tcPr>
            <w:tcW w:w="1800" w:type="dxa"/>
            <w:shd w:val="clear" w:color="auto" w:fill="D9D9D9" w:themeFill="background1" w:themeFillShade="D9"/>
            <w:vAlign w:val="center"/>
          </w:tcPr>
          <w:p w14:paraId="4F01518E" w14:textId="30166D3B"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66</w:t>
            </w:r>
          </w:p>
        </w:tc>
        <w:tc>
          <w:tcPr>
            <w:tcW w:w="2970" w:type="dxa"/>
            <w:shd w:val="clear" w:color="auto" w:fill="D9D9D9" w:themeFill="background1" w:themeFillShade="D9"/>
            <w:vAlign w:val="center"/>
          </w:tcPr>
          <w:p w14:paraId="00A29C5E" w14:textId="48FEF3A9"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Teas et al., 2004</w:t>
            </w:r>
          </w:p>
        </w:tc>
      </w:tr>
      <w:tr w:rsidR="00565F31" w14:paraId="1654AD0D" w14:textId="77777777" w:rsidTr="007E4940">
        <w:tc>
          <w:tcPr>
            <w:cnfStyle w:val="001000000000" w:firstRow="0" w:lastRow="0" w:firstColumn="1" w:lastColumn="0" w:oddVBand="0" w:evenVBand="0" w:oddHBand="0" w:evenHBand="0" w:firstRowFirstColumn="0" w:firstRowLastColumn="0" w:lastRowFirstColumn="0" w:lastRowLastColumn="0"/>
            <w:tcW w:w="2335" w:type="dxa"/>
            <w:vAlign w:val="center"/>
          </w:tcPr>
          <w:p w14:paraId="5C18C91E" w14:textId="540FA89A" w:rsidR="00B84EB0" w:rsidRDefault="00B84EB0" w:rsidP="00C45D3A">
            <w:r>
              <w:t>Wakame</w:t>
            </w:r>
          </w:p>
        </w:tc>
        <w:tc>
          <w:tcPr>
            <w:tcW w:w="2610" w:type="dxa"/>
            <w:vAlign w:val="center"/>
          </w:tcPr>
          <w:p w14:paraId="3DE87D0F" w14:textId="02A31223" w:rsidR="00B84EB0" w:rsidRDefault="00B84EB0" w:rsidP="00C45D3A">
            <w:pPr>
              <w:cnfStyle w:val="000000000000" w:firstRow="0" w:lastRow="0" w:firstColumn="0" w:lastColumn="0" w:oddVBand="0" w:evenVBand="0" w:oddHBand="0" w:evenHBand="0" w:firstRowFirstColumn="0" w:firstRowLastColumn="0" w:lastRowFirstColumn="0" w:lastRowLastColumn="0"/>
              <w:rPr>
                <w:i/>
                <w:iCs/>
              </w:rPr>
            </w:pPr>
            <w:r>
              <w:rPr>
                <w:rFonts w:cs="Calibri"/>
                <w:i/>
                <w:iCs/>
                <w:color w:val="000000"/>
              </w:rPr>
              <w:t>Undaria pinnatifida</w:t>
            </w:r>
          </w:p>
        </w:tc>
        <w:tc>
          <w:tcPr>
            <w:tcW w:w="1800" w:type="dxa"/>
            <w:vAlign w:val="center"/>
          </w:tcPr>
          <w:p w14:paraId="1B127747" w14:textId="61E58408"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60</w:t>
            </w:r>
            <w:r w:rsidRPr="00B84EB0">
              <w:rPr>
                <w:rFonts w:cs="Calibri"/>
                <w:color w:val="000000"/>
              </w:rPr>
              <w:t>–</w:t>
            </w:r>
            <w:r>
              <w:rPr>
                <w:rFonts w:cs="Calibri"/>
                <w:color w:val="000000"/>
              </w:rPr>
              <w:t>102</w:t>
            </w:r>
          </w:p>
        </w:tc>
        <w:tc>
          <w:tcPr>
            <w:tcW w:w="2970" w:type="dxa"/>
            <w:vAlign w:val="center"/>
          </w:tcPr>
          <w:p w14:paraId="2E769591" w14:textId="7181EFA3"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Van Netten et al., 2000</w:t>
            </w:r>
          </w:p>
        </w:tc>
      </w:tr>
      <w:tr w:rsidR="00565F31" w14:paraId="2DA967C8"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bottom w:val="single" w:sz="8" w:space="0" w:color="0D0D0D" w:themeColor="text1" w:themeTint="F2"/>
            </w:tcBorders>
            <w:shd w:val="clear" w:color="auto" w:fill="D9D9D9" w:themeFill="background1" w:themeFillShade="D9"/>
            <w:vAlign w:val="center"/>
          </w:tcPr>
          <w:p w14:paraId="497F893D" w14:textId="77C3F81B" w:rsidR="00B84EB0" w:rsidRDefault="00B84EB0" w:rsidP="00C45D3A">
            <w:r>
              <w:t>Wakame</w:t>
            </w:r>
          </w:p>
        </w:tc>
        <w:tc>
          <w:tcPr>
            <w:tcW w:w="2610" w:type="dxa"/>
            <w:tcBorders>
              <w:bottom w:val="single" w:sz="8" w:space="0" w:color="0D0D0D" w:themeColor="text1" w:themeTint="F2"/>
            </w:tcBorders>
            <w:shd w:val="clear" w:color="auto" w:fill="D9D9D9" w:themeFill="background1" w:themeFillShade="D9"/>
            <w:vAlign w:val="center"/>
          </w:tcPr>
          <w:p w14:paraId="3CC0C7DF" w14:textId="53D938E6" w:rsidR="00B84EB0" w:rsidRPr="009B7677" w:rsidRDefault="00B84EB0" w:rsidP="00C45D3A">
            <w:pPr>
              <w:cnfStyle w:val="000000100000" w:firstRow="0" w:lastRow="0" w:firstColumn="0" w:lastColumn="0" w:oddVBand="0" w:evenVBand="0" w:oddHBand="1" w:evenHBand="0" w:firstRowFirstColumn="0" w:firstRowLastColumn="0" w:lastRowFirstColumn="0" w:lastRowLastColumn="0"/>
            </w:pPr>
            <w:r>
              <w:rPr>
                <w:i/>
                <w:iCs/>
              </w:rPr>
              <w:t xml:space="preserve">Undaria </w:t>
            </w:r>
            <w:r>
              <w:t>species</w:t>
            </w:r>
          </w:p>
        </w:tc>
        <w:tc>
          <w:tcPr>
            <w:tcW w:w="1800" w:type="dxa"/>
            <w:tcBorders>
              <w:bottom w:val="single" w:sz="8" w:space="0" w:color="0D0D0D" w:themeColor="text1" w:themeTint="F2"/>
            </w:tcBorders>
            <w:shd w:val="clear" w:color="auto" w:fill="D9D9D9" w:themeFill="background1" w:themeFillShade="D9"/>
            <w:vAlign w:val="center"/>
          </w:tcPr>
          <w:p w14:paraId="4AC08044" w14:textId="3A1134AC"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93.9</w:t>
            </w:r>
            <w:r w:rsidRPr="00B84EB0">
              <w:rPr>
                <w:rFonts w:cs="Calibri"/>
                <w:color w:val="000000"/>
              </w:rPr>
              <w:t>–</w:t>
            </w:r>
            <w:r>
              <w:rPr>
                <w:rFonts w:cs="Calibri"/>
                <w:color w:val="000000"/>
              </w:rPr>
              <w:t>185.1</w:t>
            </w:r>
          </w:p>
        </w:tc>
        <w:tc>
          <w:tcPr>
            <w:tcW w:w="2970" w:type="dxa"/>
            <w:tcBorders>
              <w:bottom w:val="single" w:sz="8" w:space="0" w:color="0D0D0D" w:themeColor="text1" w:themeTint="F2"/>
            </w:tcBorders>
            <w:shd w:val="clear" w:color="auto" w:fill="D9D9D9" w:themeFill="background1" w:themeFillShade="D9"/>
            <w:vAlign w:val="center"/>
          </w:tcPr>
          <w:p w14:paraId="56058AC4" w14:textId="0125744A"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Yeh et al., 2014</w:t>
            </w:r>
          </w:p>
        </w:tc>
      </w:tr>
      <w:tr w:rsidR="00B84EB0" w14:paraId="5365BFE3"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tcBorders>
            <w:vAlign w:val="center"/>
          </w:tcPr>
          <w:p w14:paraId="05928665" w14:textId="654FE038" w:rsidR="00B84EB0" w:rsidRDefault="00B84EB0" w:rsidP="00C45D3A">
            <w:r>
              <w:t>Winged Kelp</w:t>
            </w:r>
          </w:p>
        </w:tc>
        <w:tc>
          <w:tcPr>
            <w:tcW w:w="2610" w:type="dxa"/>
            <w:tcBorders>
              <w:top w:val="single" w:sz="8" w:space="0" w:color="0D0D0D" w:themeColor="text1" w:themeTint="F2"/>
            </w:tcBorders>
            <w:vAlign w:val="center"/>
          </w:tcPr>
          <w:p w14:paraId="613A752E" w14:textId="3C14F04B" w:rsidR="00B84EB0" w:rsidRDefault="00B84EB0" w:rsidP="00C45D3A">
            <w:pPr>
              <w:cnfStyle w:val="000000000000" w:firstRow="0" w:lastRow="0" w:firstColumn="0" w:lastColumn="0" w:oddVBand="0" w:evenVBand="0" w:oddHBand="0" w:evenHBand="0" w:firstRowFirstColumn="0" w:firstRowLastColumn="0" w:lastRowFirstColumn="0" w:lastRowLastColumn="0"/>
              <w:rPr>
                <w:i/>
                <w:iCs/>
              </w:rPr>
            </w:pPr>
            <w:r>
              <w:rPr>
                <w:i/>
                <w:iCs/>
              </w:rPr>
              <w:t>Alaria esculenta</w:t>
            </w:r>
          </w:p>
        </w:tc>
        <w:tc>
          <w:tcPr>
            <w:tcW w:w="1800" w:type="dxa"/>
            <w:tcBorders>
              <w:top w:val="single" w:sz="8" w:space="0" w:color="0D0D0D" w:themeColor="text1" w:themeTint="F2"/>
            </w:tcBorders>
            <w:vAlign w:val="center"/>
          </w:tcPr>
          <w:p w14:paraId="1AAE5129" w14:textId="57DC1077"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245–216</w:t>
            </w:r>
          </w:p>
        </w:tc>
        <w:tc>
          <w:tcPr>
            <w:tcW w:w="2970" w:type="dxa"/>
            <w:tcBorders>
              <w:top w:val="single" w:sz="8" w:space="0" w:color="0D0D0D" w:themeColor="text1" w:themeTint="F2"/>
            </w:tcBorders>
            <w:vAlign w:val="center"/>
          </w:tcPr>
          <w:p w14:paraId="2C6C5781" w14:textId="120BED35"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Aakre et al., 2021</w:t>
            </w:r>
          </w:p>
        </w:tc>
      </w:tr>
      <w:tr w:rsidR="00565F31" w14:paraId="1474E017"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vAlign w:val="center"/>
          </w:tcPr>
          <w:p w14:paraId="017F4102" w14:textId="7F5A2644" w:rsidR="00B84EB0" w:rsidRDefault="00B84EB0" w:rsidP="00C45D3A">
            <w:r>
              <w:t>Winged Kelp</w:t>
            </w:r>
          </w:p>
        </w:tc>
        <w:tc>
          <w:tcPr>
            <w:tcW w:w="2610" w:type="dxa"/>
            <w:shd w:val="clear" w:color="auto" w:fill="D9D9D9" w:themeFill="background1" w:themeFillShade="D9"/>
            <w:vAlign w:val="center"/>
          </w:tcPr>
          <w:p w14:paraId="09ED9F87" w14:textId="2DE81907" w:rsidR="00B84EB0" w:rsidRDefault="00B84EB0" w:rsidP="00C45D3A">
            <w:pPr>
              <w:cnfStyle w:val="000000100000" w:firstRow="0" w:lastRow="0" w:firstColumn="0" w:lastColumn="0" w:oddVBand="0" w:evenVBand="0" w:oddHBand="1" w:evenHBand="0" w:firstRowFirstColumn="0" w:firstRowLastColumn="0" w:lastRowFirstColumn="0" w:lastRowLastColumn="0"/>
              <w:rPr>
                <w:i/>
                <w:iCs/>
              </w:rPr>
            </w:pPr>
            <w:r>
              <w:rPr>
                <w:i/>
                <w:iCs/>
              </w:rPr>
              <w:t>Alaria esculenta</w:t>
            </w:r>
          </w:p>
        </w:tc>
        <w:tc>
          <w:tcPr>
            <w:tcW w:w="1800" w:type="dxa"/>
            <w:shd w:val="clear" w:color="auto" w:fill="D9D9D9" w:themeFill="background1" w:themeFillShade="D9"/>
            <w:vAlign w:val="center"/>
          </w:tcPr>
          <w:p w14:paraId="7C0DC18D" w14:textId="2A6A1E58"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670</w:t>
            </w:r>
          </w:p>
        </w:tc>
        <w:tc>
          <w:tcPr>
            <w:tcW w:w="2970" w:type="dxa"/>
            <w:shd w:val="clear" w:color="auto" w:fill="D9D9D9" w:themeFill="background1" w:themeFillShade="D9"/>
            <w:vAlign w:val="center"/>
          </w:tcPr>
          <w:p w14:paraId="36C73CD1" w14:textId="53826C8F"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Nitschke &amp; Stengel, 2016</w:t>
            </w:r>
          </w:p>
        </w:tc>
      </w:tr>
      <w:tr w:rsidR="00B84EB0" w14:paraId="0096AF1A" w14:textId="77777777" w:rsidTr="007E4940">
        <w:tc>
          <w:tcPr>
            <w:cnfStyle w:val="001000000000" w:firstRow="0" w:lastRow="0" w:firstColumn="1" w:lastColumn="0" w:oddVBand="0" w:evenVBand="0" w:oddHBand="0" w:evenHBand="0" w:firstRowFirstColumn="0" w:firstRowLastColumn="0" w:lastRowFirstColumn="0" w:lastRowLastColumn="0"/>
            <w:tcW w:w="2335" w:type="dxa"/>
            <w:vAlign w:val="center"/>
          </w:tcPr>
          <w:p w14:paraId="62C594BD" w14:textId="76341A26" w:rsidR="00B84EB0" w:rsidRDefault="00B84EB0" w:rsidP="00C45D3A">
            <w:r>
              <w:t>Winged Kelp</w:t>
            </w:r>
          </w:p>
        </w:tc>
        <w:tc>
          <w:tcPr>
            <w:tcW w:w="2610" w:type="dxa"/>
            <w:vAlign w:val="center"/>
          </w:tcPr>
          <w:p w14:paraId="50E81450" w14:textId="52F8DB97" w:rsidR="00B84EB0" w:rsidRDefault="00B84EB0" w:rsidP="00C45D3A">
            <w:pPr>
              <w:cnfStyle w:val="000000000000" w:firstRow="0" w:lastRow="0" w:firstColumn="0" w:lastColumn="0" w:oddVBand="0" w:evenVBand="0" w:oddHBand="0" w:evenHBand="0" w:firstRowFirstColumn="0" w:firstRowLastColumn="0" w:lastRowFirstColumn="0" w:lastRowLastColumn="0"/>
              <w:rPr>
                <w:i/>
                <w:iCs/>
              </w:rPr>
            </w:pPr>
            <w:r>
              <w:rPr>
                <w:i/>
                <w:iCs/>
              </w:rPr>
              <w:t>Alaria esculenta</w:t>
            </w:r>
          </w:p>
        </w:tc>
        <w:tc>
          <w:tcPr>
            <w:tcW w:w="1800" w:type="dxa"/>
            <w:vAlign w:val="center"/>
          </w:tcPr>
          <w:p w14:paraId="7260325A" w14:textId="0233136A"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180</w:t>
            </w:r>
            <w:r w:rsidRPr="00B84EB0">
              <w:rPr>
                <w:rFonts w:cs="Calibri"/>
                <w:color w:val="000000"/>
              </w:rPr>
              <w:t>–</w:t>
            </w:r>
            <w:r>
              <w:rPr>
                <w:rFonts w:cs="Calibri"/>
                <w:color w:val="000000"/>
              </w:rPr>
              <w:t>1,070</w:t>
            </w:r>
          </w:p>
        </w:tc>
        <w:tc>
          <w:tcPr>
            <w:tcW w:w="2970" w:type="dxa"/>
            <w:vAlign w:val="center"/>
          </w:tcPr>
          <w:p w14:paraId="6F78991C" w14:textId="6AB78ED9"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Roleda et al., 2019</w:t>
            </w:r>
          </w:p>
        </w:tc>
      </w:tr>
      <w:tr w:rsidR="00565F31" w14:paraId="27B62190"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bottom w:val="single" w:sz="8" w:space="0" w:color="0D0D0D" w:themeColor="text1" w:themeTint="F2"/>
            </w:tcBorders>
            <w:shd w:val="clear" w:color="auto" w:fill="D9D9D9" w:themeFill="background1" w:themeFillShade="D9"/>
            <w:vAlign w:val="center"/>
          </w:tcPr>
          <w:p w14:paraId="0B09B0BF" w14:textId="223B55CD" w:rsidR="00B84EB0" w:rsidRDefault="00B84EB0" w:rsidP="00C45D3A">
            <w:r>
              <w:t>Winged Kelp</w:t>
            </w:r>
          </w:p>
        </w:tc>
        <w:tc>
          <w:tcPr>
            <w:tcW w:w="2610" w:type="dxa"/>
            <w:tcBorders>
              <w:bottom w:val="single" w:sz="8" w:space="0" w:color="0D0D0D" w:themeColor="text1" w:themeTint="F2"/>
            </w:tcBorders>
            <w:shd w:val="clear" w:color="auto" w:fill="D9D9D9" w:themeFill="background1" w:themeFillShade="D9"/>
            <w:vAlign w:val="center"/>
          </w:tcPr>
          <w:p w14:paraId="0DCE38AE" w14:textId="661EC6C6" w:rsidR="00B84EB0" w:rsidRDefault="00B84EB0" w:rsidP="00C45D3A">
            <w:pPr>
              <w:cnfStyle w:val="000000100000" w:firstRow="0" w:lastRow="0" w:firstColumn="0" w:lastColumn="0" w:oddVBand="0" w:evenVBand="0" w:oddHBand="1" w:evenHBand="0" w:firstRowFirstColumn="0" w:firstRowLastColumn="0" w:lastRowFirstColumn="0" w:lastRowLastColumn="0"/>
              <w:rPr>
                <w:i/>
                <w:iCs/>
              </w:rPr>
            </w:pPr>
            <w:r>
              <w:rPr>
                <w:i/>
                <w:iCs/>
              </w:rPr>
              <w:t>Alaria marginata</w:t>
            </w:r>
          </w:p>
        </w:tc>
        <w:tc>
          <w:tcPr>
            <w:tcW w:w="1800" w:type="dxa"/>
            <w:tcBorders>
              <w:bottom w:val="single" w:sz="8" w:space="0" w:color="0D0D0D" w:themeColor="text1" w:themeTint="F2"/>
            </w:tcBorders>
            <w:shd w:val="clear" w:color="auto" w:fill="D9D9D9" w:themeFill="background1" w:themeFillShade="D9"/>
            <w:vAlign w:val="center"/>
          </w:tcPr>
          <w:p w14:paraId="3B61128A" w14:textId="36DAD9E1"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151</w:t>
            </w:r>
          </w:p>
        </w:tc>
        <w:tc>
          <w:tcPr>
            <w:tcW w:w="2970" w:type="dxa"/>
            <w:tcBorders>
              <w:bottom w:val="single" w:sz="8" w:space="0" w:color="0D0D0D" w:themeColor="text1" w:themeTint="F2"/>
            </w:tcBorders>
            <w:shd w:val="clear" w:color="auto" w:fill="D9D9D9" w:themeFill="background1" w:themeFillShade="D9"/>
            <w:vAlign w:val="center"/>
          </w:tcPr>
          <w:p w14:paraId="16111097" w14:textId="6AC1E6F8" w:rsidR="00B84EB0" w:rsidRDefault="00B84EB0" w:rsidP="00C45D3A">
            <w:pPr>
              <w:cnfStyle w:val="000000100000" w:firstRow="0" w:lastRow="0" w:firstColumn="0" w:lastColumn="0" w:oddVBand="0" w:evenVBand="0" w:oddHBand="1" w:evenHBand="0" w:firstRowFirstColumn="0" w:firstRowLastColumn="0" w:lastRowFirstColumn="0" w:lastRowLastColumn="0"/>
            </w:pPr>
            <w:r>
              <w:rPr>
                <w:rFonts w:cs="Calibri"/>
                <w:color w:val="000000"/>
              </w:rPr>
              <w:t>Van Netten et al., 2000</w:t>
            </w:r>
          </w:p>
        </w:tc>
      </w:tr>
      <w:tr w:rsidR="00565F31" w14:paraId="33A85829"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tcBorders>
            <w:vAlign w:val="center"/>
          </w:tcPr>
          <w:p w14:paraId="11324757" w14:textId="3FADAC3B" w:rsidR="00B84EB0" w:rsidRDefault="00B84EB0" w:rsidP="00C45D3A">
            <w:r>
              <w:t>Wire Weed/Japweed</w:t>
            </w:r>
          </w:p>
        </w:tc>
        <w:tc>
          <w:tcPr>
            <w:tcW w:w="2610" w:type="dxa"/>
            <w:tcBorders>
              <w:top w:val="single" w:sz="8" w:space="0" w:color="0D0D0D" w:themeColor="text1" w:themeTint="F2"/>
            </w:tcBorders>
            <w:vAlign w:val="center"/>
          </w:tcPr>
          <w:p w14:paraId="50E786A8" w14:textId="71EFA101" w:rsidR="00B84EB0" w:rsidRDefault="00B84EB0" w:rsidP="00C45D3A">
            <w:pPr>
              <w:cnfStyle w:val="000000000000" w:firstRow="0" w:lastRow="0" w:firstColumn="0" w:lastColumn="0" w:oddVBand="0" w:evenVBand="0" w:oddHBand="0" w:evenHBand="0" w:firstRowFirstColumn="0" w:firstRowLastColumn="0" w:lastRowFirstColumn="0" w:lastRowLastColumn="0"/>
              <w:rPr>
                <w:i/>
                <w:iCs/>
              </w:rPr>
            </w:pPr>
            <w:r>
              <w:rPr>
                <w:i/>
                <w:iCs/>
              </w:rPr>
              <w:t>Sargassum muticum</w:t>
            </w:r>
          </w:p>
        </w:tc>
        <w:tc>
          <w:tcPr>
            <w:tcW w:w="1800" w:type="dxa"/>
            <w:tcBorders>
              <w:top w:val="single" w:sz="8" w:space="0" w:color="0D0D0D" w:themeColor="text1" w:themeTint="F2"/>
            </w:tcBorders>
            <w:vAlign w:val="center"/>
          </w:tcPr>
          <w:p w14:paraId="5D25C1C2" w14:textId="04E556D9"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93</w:t>
            </w:r>
          </w:p>
        </w:tc>
        <w:tc>
          <w:tcPr>
            <w:tcW w:w="2970" w:type="dxa"/>
            <w:tcBorders>
              <w:top w:val="single" w:sz="8" w:space="0" w:color="0D0D0D" w:themeColor="text1" w:themeTint="F2"/>
            </w:tcBorders>
            <w:vAlign w:val="center"/>
          </w:tcPr>
          <w:p w14:paraId="0C870A71" w14:textId="54CA630F" w:rsidR="00B84EB0" w:rsidRDefault="00B84EB0" w:rsidP="00C45D3A">
            <w:pPr>
              <w:cnfStyle w:val="000000000000" w:firstRow="0" w:lastRow="0" w:firstColumn="0" w:lastColumn="0" w:oddVBand="0" w:evenVBand="0" w:oddHBand="0" w:evenHBand="0" w:firstRowFirstColumn="0" w:firstRowLastColumn="0" w:lastRowFirstColumn="0" w:lastRowLastColumn="0"/>
            </w:pPr>
            <w:r>
              <w:rPr>
                <w:rFonts w:cs="Calibri"/>
                <w:color w:val="000000"/>
              </w:rPr>
              <w:t>Nitschke &amp; Stengel, 2015</w:t>
            </w:r>
          </w:p>
        </w:tc>
      </w:tr>
    </w:tbl>
    <w:p w14:paraId="431E6ED5" w14:textId="77777777" w:rsidR="0050645C" w:rsidRDefault="0050645C" w:rsidP="00C54E07">
      <w:pPr>
        <w:pStyle w:val="Caption"/>
        <w:rPr>
          <w:b/>
          <w:bCs/>
        </w:rPr>
      </w:pPr>
    </w:p>
    <w:p w14:paraId="5B97462E" w14:textId="77777777" w:rsidR="0050645C" w:rsidRDefault="0050645C">
      <w:pPr>
        <w:rPr>
          <w:b/>
          <w:bCs/>
          <w:i/>
          <w:iCs/>
          <w:color w:val="0E2841" w:themeColor="text2"/>
          <w:szCs w:val="18"/>
        </w:rPr>
      </w:pPr>
      <w:r>
        <w:rPr>
          <w:b/>
          <w:bCs/>
        </w:rPr>
        <w:br w:type="page"/>
      </w:r>
    </w:p>
    <w:p w14:paraId="5FAACDF8" w14:textId="6EB3E3F1" w:rsidR="00045395" w:rsidRDefault="00045395" w:rsidP="00C54E07">
      <w:pPr>
        <w:pStyle w:val="Caption"/>
      </w:pPr>
      <w:r w:rsidRPr="00045395">
        <w:rPr>
          <w:b/>
          <w:bCs/>
        </w:rPr>
        <w:lastRenderedPageBreak/>
        <w:t>Table D-</w:t>
      </w:r>
      <w:r w:rsidRPr="00045395">
        <w:rPr>
          <w:b/>
          <w:bCs/>
        </w:rPr>
        <w:fldChar w:fldCharType="begin"/>
      </w:r>
      <w:r w:rsidRPr="00045395">
        <w:rPr>
          <w:b/>
          <w:bCs/>
        </w:rPr>
        <w:instrText xml:space="preserve"> SEQ Table_D- \* ARABIC </w:instrText>
      </w:r>
      <w:r w:rsidRPr="00045395">
        <w:rPr>
          <w:b/>
          <w:bCs/>
        </w:rPr>
        <w:fldChar w:fldCharType="separate"/>
      </w:r>
      <w:r w:rsidR="00A042AD">
        <w:rPr>
          <w:b/>
          <w:bCs/>
          <w:noProof/>
        </w:rPr>
        <w:t>3</w:t>
      </w:r>
      <w:r w:rsidRPr="00045395">
        <w:rPr>
          <w:b/>
          <w:bCs/>
        </w:rPr>
        <w:fldChar w:fldCharType="end"/>
      </w:r>
      <w:r w:rsidRPr="00045395">
        <w:rPr>
          <w:b/>
          <w:bCs/>
        </w:rPr>
        <w:t>:</w:t>
      </w:r>
      <w:r>
        <w:t xml:space="preserve"> </w:t>
      </w:r>
      <w:r w:rsidRPr="0090438B">
        <w:t xml:space="preserve">Iodine concentrations measured in various red seaweed species. </w:t>
      </w:r>
      <w:r w:rsidR="00985B0E">
        <w:t>“</w:t>
      </w:r>
      <w:r w:rsidRPr="00985B0E">
        <w:rPr>
          <w:b/>
          <w:bCs/>
        </w:rPr>
        <w:t>DW</w:t>
      </w:r>
      <w:r w:rsidR="00985B0E" w:rsidRPr="00985B0E">
        <w:t>”</w:t>
      </w:r>
      <w:r w:rsidR="00985B0E">
        <w:t xml:space="preserve"> stand for</w:t>
      </w:r>
      <w:r w:rsidRPr="0090438B">
        <w:t xml:space="preserve"> Dry Weight. Concentrations measured and reported as mg/kg DW were converted to µg/g DW.</w:t>
      </w:r>
    </w:p>
    <w:tbl>
      <w:tblPr>
        <w:tblStyle w:val="GridTable4"/>
        <w:tblW w:w="9715" w:type="dxa"/>
        <w:tbl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insideH w:val="single" w:sz="6" w:space="0" w:color="0D0D0D" w:themeColor="text1" w:themeTint="F2"/>
          <w:insideV w:val="single" w:sz="6" w:space="0" w:color="0D0D0D" w:themeColor="text1" w:themeTint="F2"/>
        </w:tblBorders>
        <w:tblCellMar>
          <w:top w:w="29" w:type="dxa"/>
          <w:bottom w:w="29" w:type="dxa"/>
        </w:tblCellMar>
        <w:tblLook w:val="04A0" w:firstRow="1" w:lastRow="0" w:firstColumn="1" w:lastColumn="0" w:noHBand="0" w:noVBand="1"/>
      </w:tblPr>
      <w:tblGrid>
        <w:gridCol w:w="2337"/>
        <w:gridCol w:w="2608"/>
        <w:gridCol w:w="1890"/>
        <w:gridCol w:w="2880"/>
      </w:tblGrid>
      <w:tr w:rsidR="00565F31" w:rsidRPr="00F9694B" w14:paraId="46B3CFB3" w14:textId="77777777" w:rsidTr="007E4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left w:val="none" w:sz="0" w:space="0" w:color="auto"/>
              <w:bottom w:val="single" w:sz="8" w:space="0" w:color="0D0D0D" w:themeColor="text1" w:themeTint="F2"/>
              <w:right w:val="none" w:sz="0" w:space="0" w:color="auto"/>
            </w:tcBorders>
            <w:shd w:val="clear" w:color="auto" w:fill="AE372D"/>
            <w:vAlign w:val="center"/>
          </w:tcPr>
          <w:p w14:paraId="002AEE67" w14:textId="778AC82F" w:rsidR="0035746E" w:rsidRPr="00F9694B" w:rsidRDefault="0035746E" w:rsidP="00F9694B">
            <w:r w:rsidRPr="00F9694B">
              <w:t>Common</w:t>
            </w:r>
            <w:r w:rsidR="00F9694B">
              <w:t>/Scientific Name</w:t>
            </w:r>
          </w:p>
        </w:tc>
        <w:tc>
          <w:tcPr>
            <w:tcW w:w="2608" w:type="dxa"/>
            <w:tcBorders>
              <w:top w:val="none" w:sz="0" w:space="0" w:color="auto"/>
              <w:left w:val="none" w:sz="0" w:space="0" w:color="auto"/>
              <w:bottom w:val="single" w:sz="8" w:space="0" w:color="0D0D0D" w:themeColor="text1" w:themeTint="F2"/>
              <w:right w:val="none" w:sz="0" w:space="0" w:color="auto"/>
            </w:tcBorders>
            <w:shd w:val="clear" w:color="auto" w:fill="AE372D"/>
            <w:vAlign w:val="center"/>
          </w:tcPr>
          <w:p w14:paraId="0A0894A0" w14:textId="1529C9F4" w:rsidR="0035746E" w:rsidRPr="00F9694B" w:rsidRDefault="0035746E" w:rsidP="00F9694B">
            <w:pPr>
              <w:cnfStyle w:val="100000000000" w:firstRow="1" w:lastRow="0" w:firstColumn="0" w:lastColumn="0" w:oddVBand="0" w:evenVBand="0" w:oddHBand="0" w:evenHBand="0" w:firstRowFirstColumn="0" w:firstRowLastColumn="0" w:lastRowFirstColumn="0" w:lastRowLastColumn="0"/>
            </w:pPr>
            <w:r w:rsidRPr="00F9694B">
              <w:t>Scientific Name</w:t>
            </w:r>
          </w:p>
        </w:tc>
        <w:tc>
          <w:tcPr>
            <w:tcW w:w="1890" w:type="dxa"/>
            <w:tcBorders>
              <w:top w:val="none" w:sz="0" w:space="0" w:color="auto"/>
              <w:left w:val="none" w:sz="0" w:space="0" w:color="auto"/>
              <w:bottom w:val="single" w:sz="8" w:space="0" w:color="0D0D0D" w:themeColor="text1" w:themeTint="F2"/>
              <w:right w:val="none" w:sz="0" w:space="0" w:color="auto"/>
            </w:tcBorders>
            <w:shd w:val="clear" w:color="auto" w:fill="AE372D"/>
            <w:vAlign w:val="center"/>
          </w:tcPr>
          <w:p w14:paraId="063A823D" w14:textId="5DF41DE9" w:rsidR="0035746E" w:rsidRPr="00F9694B" w:rsidRDefault="000A342B" w:rsidP="00F9694B">
            <w:pPr>
              <w:cnfStyle w:val="100000000000" w:firstRow="1" w:lastRow="0" w:firstColumn="0" w:lastColumn="0" w:oddVBand="0" w:evenVBand="0" w:oddHBand="0" w:evenHBand="0" w:firstRowFirstColumn="0" w:firstRowLastColumn="0" w:lastRowFirstColumn="0" w:lastRowLastColumn="0"/>
            </w:pPr>
            <w:r w:rsidRPr="00F9694B">
              <w:t>Iodine Concentration (µg/g DW)</w:t>
            </w:r>
          </w:p>
        </w:tc>
        <w:tc>
          <w:tcPr>
            <w:tcW w:w="2880" w:type="dxa"/>
            <w:tcBorders>
              <w:top w:val="none" w:sz="0" w:space="0" w:color="auto"/>
              <w:left w:val="none" w:sz="0" w:space="0" w:color="auto"/>
              <w:bottom w:val="single" w:sz="8" w:space="0" w:color="0D0D0D" w:themeColor="text1" w:themeTint="F2"/>
              <w:right w:val="none" w:sz="0" w:space="0" w:color="auto"/>
            </w:tcBorders>
            <w:shd w:val="clear" w:color="auto" w:fill="AE372D"/>
            <w:vAlign w:val="center"/>
          </w:tcPr>
          <w:p w14:paraId="0DA32449" w14:textId="0B77780B" w:rsidR="0035746E" w:rsidRPr="00F9694B" w:rsidRDefault="0035746E" w:rsidP="00F9694B">
            <w:pPr>
              <w:cnfStyle w:val="100000000000" w:firstRow="1" w:lastRow="0" w:firstColumn="0" w:lastColumn="0" w:oddVBand="0" w:evenVBand="0" w:oddHBand="0" w:evenHBand="0" w:firstRowFirstColumn="0" w:firstRowLastColumn="0" w:lastRowFirstColumn="0" w:lastRowLastColumn="0"/>
            </w:pPr>
            <w:r w:rsidRPr="00F9694B">
              <w:t>Reference</w:t>
            </w:r>
          </w:p>
        </w:tc>
      </w:tr>
      <w:tr w:rsidR="000B3003" w14:paraId="55639A86"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0D0D0D" w:themeColor="text1" w:themeTint="F2"/>
              <w:bottom w:val="single" w:sz="8" w:space="0" w:color="0D0D0D" w:themeColor="text1" w:themeTint="F2"/>
            </w:tcBorders>
            <w:shd w:val="clear" w:color="auto" w:fill="D9D9D9" w:themeFill="background1" w:themeFillShade="D9"/>
          </w:tcPr>
          <w:p w14:paraId="7B33EE66" w14:textId="6FB8654C" w:rsidR="00F9694B" w:rsidRDefault="0050645C" w:rsidP="00F9694B">
            <w:r w:rsidRPr="0050645C">
              <w:t>Carrageenan Moss</w:t>
            </w:r>
          </w:p>
        </w:tc>
        <w:tc>
          <w:tcPr>
            <w:tcW w:w="2608" w:type="dxa"/>
            <w:tcBorders>
              <w:top w:val="single" w:sz="8" w:space="0" w:color="0D0D0D" w:themeColor="text1" w:themeTint="F2"/>
              <w:bottom w:val="single" w:sz="8" w:space="0" w:color="0D0D0D" w:themeColor="text1" w:themeTint="F2"/>
            </w:tcBorders>
            <w:shd w:val="clear" w:color="auto" w:fill="D9D9D9" w:themeFill="background1" w:themeFillShade="D9"/>
          </w:tcPr>
          <w:p w14:paraId="124DC03C" w14:textId="21485E13" w:rsidR="00F9694B" w:rsidRPr="0035746E" w:rsidRDefault="0050645C" w:rsidP="00F9694B">
            <w:pPr>
              <w:cnfStyle w:val="000000100000" w:firstRow="0" w:lastRow="0" w:firstColumn="0" w:lastColumn="0" w:oddVBand="0" w:evenVBand="0" w:oddHBand="1" w:evenHBand="0" w:firstRowFirstColumn="0" w:firstRowLastColumn="0" w:lastRowFirstColumn="0" w:lastRowLastColumn="0"/>
              <w:rPr>
                <w:i/>
                <w:iCs/>
              </w:rPr>
            </w:pPr>
            <w:r>
              <w:rPr>
                <w:i/>
                <w:iCs/>
              </w:rPr>
              <w:t>Mastocarpus stellatus</w:t>
            </w:r>
          </w:p>
        </w:tc>
        <w:tc>
          <w:tcPr>
            <w:tcW w:w="1890" w:type="dxa"/>
            <w:tcBorders>
              <w:top w:val="single" w:sz="8" w:space="0" w:color="0D0D0D" w:themeColor="text1" w:themeTint="F2"/>
              <w:bottom w:val="single" w:sz="8" w:space="0" w:color="0D0D0D" w:themeColor="text1" w:themeTint="F2"/>
            </w:tcBorders>
            <w:shd w:val="clear" w:color="auto" w:fill="D9D9D9" w:themeFill="background1" w:themeFillShade="D9"/>
          </w:tcPr>
          <w:p w14:paraId="4BD476F7" w14:textId="06C7F6D7" w:rsidR="00F9694B" w:rsidRPr="0050645C" w:rsidRDefault="0050645C" w:rsidP="00F9694B">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174</w:t>
            </w:r>
          </w:p>
        </w:tc>
        <w:tc>
          <w:tcPr>
            <w:tcW w:w="2880" w:type="dxa"/>
            <w:tcBorders>
              <w:top w:val="single" w:sz="8" w:space="0" w:color="0D0D0D" w:themeColor="text1" w:themeTint="F2"/>
              <w:bottom w:val="single" w:sz="8" w:space="0" w:color="0D0D0D" w:themeColor="text1" w:themeTint="F2"/>
            </w:tcBorders>
            <w:shd w:val="clear" w:color="auto" w:fill="D9D9D9" w:themeFill="background1" w:themeFillShade="D9"/>
          </w:tcPr>
          <w:p w14:paraId="30E4D246" w14:textId="74E33D1B" w:rsidR="00F9694B" w:rsidRPr="0050645C" w:rsidRDefault="0050645C" w:rsidP="00F9694B">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Nitschke &amp; Stengel, 2015</w:t>
            </w:r>
          </w:p>
        </w:tc>
      </w:tr>
      <w:tr w:rsidR="00F9694B" w14:paraId="42F9684E" w14:textId="77777777" w:rsidTr="007E4940">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0D0D0D" w:themeColor="text1" w:themeTint="F2"/>
            </w:tcBorders>
          </w:tcPr>
          <w:p w14:paraId="692BF160" w14:textId="49AE94E3" w:rsidR="00F9694B" w:rsidRDefault="0050645C" w:rsidP="00F9694B">
            <w:r>
              <w:rPr>
                <w:i/>
                <w:iCs/>
              </w:rPr>
              <w:t>Ceramium boydenoo</w:t>
            </w:r>
          </w:p>
        </w:tc>
        <w:tc>
          <w:tcPr>
            <w:tcW w:w="2608" w:type="dxa"/>
            <w:tcBorders>
              <w:top w:val="single" w:sz="8" w:space="0" w:color="0D0D0D" w:themeColor="text1" w:themeTint="F2"/>
            </w:tcBorders>
          </w:tcPr>
          <w:p w14:paraId="55D7E2E4" w14:textId="697DEA0A" w:rsidR="00F9694B" w:rsidRPr="0035746E" w:rsidRDefault="00F9694B" w:rsidP="00F9694B">
            <w:pPr>
              <w:cnfStyle w:val="000000000000" w:firstRow="0" w:lastRow="0" w:firstColumn="0" w:lastColumn="0" w:oddVBand="0" w:evenVBand="0" w:oddHBand="0" w:evenHBand="0" w:firstRowFirstColumn="0" w:firstRowLastColumn="0" w:lastRowFirstColumn="0" w:lastRowLastColumn="0"/>
              <w:rPr>
                <w:i/>
                <w:iCs/>
              </w:rPr>
            </w:pPr>
            <w:r w:rsidRPr="0035746E">
              <w:rPr>
                <w:i/>
                <w:iCs/>
              </w:rPr>
              <w:t xml:space="preserve">Ceramium </w:t>
            </w:r>
            <w:r w:rsidR="0050645C">
              <w:rPr>
                <w:i/>
                <w:iCs/>
              </w:rPr>
              <w:t>boydenoo</w:t>
            </w:r>
          </w:p>
        </w:tc>
        <w:tc>
          <w:tcPr>
            <w:tcW w:w="1890" w:type="dxa"/>
            <w:tcBorders>
              <w:top w:val="single" w:sz="8" w:space="0" w:color="0D0D0D" w:themeColor="text1" w:themeTint="F2"/>
            </w:tcBorders>
          </w:tcPr>
          <w:p w14:paraId="562817B3" w14:textId="13E35C87" w:rsidR="00F9694B" w:rsidRDefault="0050645C" w:rsidP="00F9694B">
            <w:pPr>
              <w:cnfStyle w:val="000000000000" w:firstRow="0" w:lastRow="0" w:firstColumn="0" w:lastColumn="0" w:oddVBand="0" w:evenVBand="0" w:oddHBand="0" w:evenHBand="0" w:firstRowFirstColumn="0" w:firstRowLastColumn="0" w:lastRowFirstColumn="0" w:lastRowLastColumn="0"/>
            </w:pPr>
            <w:r>
              <w:rPr>
                <w:rFonts w:cs="Calibri"/>
                <w:color w:val="000000"/>
              </w:rPr>
              <w:t>71</w:t>
            </w:r>
            <w:r w:rsidR="00F9694B">
              <w:rPr>
                <w:rFonts w:cs="Calibri"/>
                <w:color w:val="000000"/>
              </w:rPr>
              <w:t>.1</w:t>
            </w:r>
          </w:p>
        </w:tc>
        <w:tc>
          <w:tcPr>
            <w:tcW w:w="2880" w:type="dxa"/>
            <w:tcBorders>
              <w:top w:val="single" w:sz="8" w:space="0" w:color="0D0D0D" w:themeColor="text1" w:themeTint="F2"/>
            </w:tcBorders>
          </w:tcPr>
          <w:p w14:paraId="5B2203D2" w14:textId="3B255779" w:rsidR="00F9694B" w:rsidRDefault="00F9694B" w:rsidP="00F9694B">
            <w:pPr>
              <w:cnfStyle w:val="000000000000" w:firstRow="0" w:lastRow="0" w:firstColumn="0" w:lastColumn="0" w:oddVBand="0" w:evenVBand="0" w:oddHBand="0" w:evenHBand="0" w:firstRowFirstColumn="0" w:firstRowLastColumn="0" w:lastRowFirstColumn="0" w:lastRowLastColumn="0"/>
            </w:pPr>
            <w:r>
              <w:rPr>
                <w:rFonts w:cs="Calibri"/>
                <w:color w:val="000000"/>
              </w:rPr>
              <w:t>Hou &amp; Yan, 1998</w:t>
            </w:r>
          </w:p>
        </w:tc>
      </w:tr>
      <w:tr w:rsidR="000B3003" w14:paraId="1D0C785E"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bottom w:val="single" w:sz="8" w:space="0" w:color="0D0D0D" w:themeColor="text1" w:themeTint="F2"/>
            </w:tcBorders>
            <w:shd w:val="clear" w:color="auto" w:fill="D9D9D9" w:themeFill="background1" w:themeFillShade="D9"/>
          </w:tcPr>
          <w:p w14:paraId="75234A14" w14:textId="708B899B" w:rsidR="00F9694B" w:rsidRPr="0050645C" w:rsidRDefault="0050645C" w:rsidP="00F9694B">
            <w:pPr>
              <w:rPr>
                <w:i/>
                <w:iCs/>
              </w:rPr>
            </w:pPr>
            <w:r w:rsidRPr="0050645C">
              <w:rPr>
                <w:i/>
                <w:iCs/>
              </w:rPr>
              <w:t>Ceramium kondoi</w:t>
            </w:r>
          </w:p>
        </w:tc>
        <w:tc>
          <w:tcPr>
            <w:tcW w:w="2608" w:type="dxa"/>
            <w:tcBorders>
              <w:bottom w:val="single" w:sz="8" w:space="0" w:color="0D0D0D" w:themeColor="text1" w:themeTint="F2"/>
            </w:tcBorders>
            <w:shd w:val="clear" w:color="auto" w:fill="D9D9D9" w:themeFill="background1" w:themeFillShade="D9"/>
          </w:tcPr>
          <w:p w14:paraId="65DDE7FC" w14:textId="238A3811" w:rsidR="00F9694B" w:rsidRPr="0035746E" w:rsidRDefault="0050645C" w:rsidP="00F9694B">
            <w:pPr>
              <w:cnfStyle w:val="000000100000" w:firstRow="0" w:lastRow="0" w:firstColumn="0" w:lastColumn="0" w:oddVBand="0" w:evenVBand="0" w:oddHBand="1" w:evenHBand="0" w:firstRowFirstColumn="0" w:firstRowLastColumn="0" w:lastRowFirstColumn="0" w:lastRowLastColumn="0"/>
              <w:rPr>
                <w:i/>
                <w:iCs/>
              </w:rPr>
            </w:pPr>
            <w:r>
              <w:rPr>
                <w:i/>
                <w:iCs/>
              </w:rPr>
              <w:t>Ceramium kondoi</w:t>
            </w:r>
          </w:p>
        </w:tc>
        <w:tc>
          <w:tcPr>
            <w:tcW w:w="1890" w:type="dxa"/>
            <w:tcBorders>
              <w:bottom w:val="single" w:sz="8" w:space="0" w:color="0D0D0D" w:themeColor="text1" w:themeTint="F2"/>
            </w:tcBorders>
            <w:shd w:val="clear" w:color="auto" w:fill="D9D9D9" w:themeFill="background1" w:themeFillShade="D9"/>
          </w:tcPr>
          <w:p w14:paraId="0D199F2B" w14:textId="1BAEC310" w:rsidR="00F9694B" w:rsidRDefault="0050645C" w:rsidP="00F9694B">
            <w:pPr>
              <w:cnfStyle w:val="000000100000" w:firstRow="0" w:lastRow="0" w:firstColumn="0" w:lastColumn="0" w:oddVBand="0" w:evenVBand="0" w:oddHBand="1" w:evenHBand="0" w:firstRowFirstColumn="0" w:firstRowLastColumn="0" w:lastRowFirstColumn="0" w:lastRowLastColumn="0"/>
            </w:pPr>
            <w:r>
              <w:rPr>
                <w:rFonts w:cs="Calibri"/>
                <w:color w:val="000000"/>
              </w:rPr>
              <w:t>34.1</w:t>
            </w:r>
          </w:p>
        </w:tc>
        <w:tc>
          <w:tcPr>
            <w:tcW w:w="2880" w:type="dxa"/>
            <w:tcBorders>
              <w:bottom w:val="single" w:sz="8" w:space="0" w:color="0D0D0D" w:themeColor="text1" w:themeTint="F2"/>
            </w:tcBorders>
            <w:shd w:val="clear" w:color="auto" w:fill="D9D9D9" w:themeFill="background1" w:themeFillShade="D9"/>
          </w:tcPr>
          <w:p w14:paraId="2AFBE853" w14:textId="7829CE10" w:rsidR="00F9694B" w:rsidRDefault="00F9694B" w:rsidP="00F9694B">
            <w:pPr>
              <w:cnfStyle w:val="000000100000" w:firstRow="0" w:lastRow="0" w:firstColumn="0" w:lastColumn="0" w:oddVBand="0" w:evenVBand="0" w:oddHBand="1" w:evenHBand="0" w:firstRowFirstColumn="0" w:firstRowLastColumn="0" w:lastRowFirstColumn="0" w:lastRowLastColumn="0"/>
            </w:pPr>
            <w:r>
              <w:rPr>
                <w:rFonts w:cs="Calibri"/>
                <w:color w:val="000000"/>
              </w:rPr>
              <w:t>Hou &amp; Yan, 1998</w:t>
            </w:r>
          </w:p>
        </w:tc>
      </w:tr>
      <w:tr w:rsidR="0035746E" w14:paraId="00B19B52" w14:textId="77777777" w:rsidTr="007E4940">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0D0D0D" w:themeColor="text1" w:themeTint="F2"/>
              <w:bottom w:val="single" w:sz="8" w:space="0" w:color="0D0D0D" w:themeColor="text1" w:themeTint="F2"/>
            </w:tcBorders>
          </w:tcPr>
          <w:p w14:paraId="02727B2E" w14:textId="569045D3" w:rsidR="0035746E" w:rsidRPr="0050645C" w:rsidRDefault="0050645C" w:rsidP="0035746E">
            <w:pPr>
              <w:rPr>
                <w:rFonts w:cs="Calibri"/>
                <w:b w:val="0"/>
                <w:bCs w:val="0"/>
                <w:color w:val="000000"/>
              </w:rPr>
            </w:pPr>
            <w:r w:rsidRPr="0035746E">
              <w:rPr>
                <w:i/>
                <w:iCs/>
              </w:rPr>
              <w:t>Gracilaria confervoides</w:t>
            </w:r>
          </w:p>
        </w:tc>
        <w:tc>
          <w:tcPr>
            <w:tcW w:w="2608" w:type="dxa"/>
            <w:tcBorders>
              <w:top w:val="single" w:sz="8" w:space="0" w:color="0D0D0D" w:themeColor="text1" w:themeTint="F2"/>
              <w:bottom w:val="single" w:sz="8" w:space="0" w:color="0D0D0D" w:themeColor="text1" w:themeTint="F2"/>
            </w:tcBorders>
          </w:tcPr>
          <w:p w14:paraId="7CEC3CB1" w14:textId="311FE265" w:rsidR="0035746E" w:rsidRPr="0050645C" w:rsidRDefault="0050645C" w:rsidP="0035746E">
            <w:pPr>
              <w:cnfStyle w:val="000000000000" w:firstRow="0" w:lastRow="0" w:firstColumn="0" w:lastColumn="0" w:oddVBand="0" w:evenVBand="0" w:oddHBand="0" w:evenHBand="0" w:firstRowFirstColumn="0" w:firstRowLastColumn="0" w:lastRowFirstColumn="0" w:lastRowLastColumn="0"/>
              <w:rPr>
                <w:rFonts w:cs="Calibri"/>
                <w:i/>
                <w:iCs/>
                <w:color w:val="000000"/>
              </w:rPr>
            </w:pPr>
            <w:r w:rsidRPr="0035746E">
              <w:rPr>
                <w:i/>
                <w:iCs/>
              </w:rPr>
              <w:t>Gracilaria confervoides</w:t>
            </w:r>
          </w:p>
        </w:tc>
        <w:tc>
          <w:tcPr>
            <w:tcW w:w="1890" w:type="dxa"/>
            <w:tcBorders>
              <w:top w:val="single" w:sz="8" w:space="0" w:color="0D0D0D" w:themeColor="text1" w:themeTint="F2"/>
              <w:bottom w:val="single" w:sz="8" w:space="0" w:color="0D0D0D" w:themeColor="text1" w:themeTint="F2"/>
            </w:tcBorders>
          </w:tcPr>
          <w:p w14:paraId="0DE16038" w14:textId="0C4E6637" w:rsidR="0035746E" w:rsidRPr="0050645C" w:rsidRDefault="0050645C" w:rsidP="0035746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353</w:t>
            </w:r>
          </w:p>
        </w:tc>
        <w:tc>
          <w:tcPr>
            <w:tcW w:w="2880" w:type="dxa"/>
            <w:tcBorders>
              <w:top w:val="single" w:sz="8" w:space="0" w:color="0D0D0D" w:themeColor="text1" w:themeTint="F2"/>
              <w:bottom w:val="single" w:sz="8" w:space="0" w:color="0D0D0D" w:themeColor="text1" w:themeTint="F2"/>
            </w:tcBorders>
          </w:tcPr>
          <w:p w14:paraId="1A350FF3" w14:textId="5F7DEF77" w:rsidR="0035746E" w:rsidRPr="0050645C" w:rsidRDefault="0050645C" w:rsidP="0035746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Hou &amp; Yan, 1998</w:t>
            </w:r>
          </w:p>
        </w:tc>
      </w:tr>
      <w:tr w:rsidR="009B73BE" w14:paraId="14A89681"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0D0D0D" w:themeColor="text1" w:themeTint="F2"/>
            </w:tcBorders>
            <w:shd w:val="clear" w:color="auto" w:fill="D9D9D9" w:themeFill="background1" w:themeFillShade="D9"/>
          </w:tcPr>
          <w:p w14:paraId="38A05B8D" w14:textId="221E48C8" w:rsidR="0035746E" w:rsidRDefault="0035746E" w:rsidP="0035746E">
            <w:r>
              <w:rPr>
                <w:rFonts w:cs="Calibri"/>
                <w:color w:val="000000"/>
              </w:rPr>
              <w:t>Dulse</w:t>
            </w:r>
          </w:p>
        </w:tc>
        <w:tc>
          <w:tcPr>
            <w:tcW w:w="2608" w:type="dxa"/>
            <w:tcBorders>
              <w:top w:val="single" w:sz="8" w:space="0" w:color="0D0D0D" w:themeColor="text1" w:themeTint="F2"/>
            </w:tcBorders>
            <w:shd w:val="clear" w:color="auto" w:fill="D9D9D9" w:themeFill="background1" w:themeFillShade="D9"/>
          </w:tcPr>
          <w:p w14:paraId="7AE503FE" w14:textId="2F93F481" w:rsidR="0035746E" w:rsidRPr="0035746E" w:rsidRDefault="00C45D3A" w:rsidP="0035746E">
            <w:pPr>
              <w:cnfStyle w:val="000000100000" w:firstRow="0" w:lastRow="0" w:firstColumn="0" w:lastColumn="0" w:oddVBand="0" w:evenVBand="0" w:oddHBand="1" w:evenHBand="0" w:firstRowFirstColumn="0" w:firstRowLastColumn="0" w:lastRowFirstColumn="0" w:lastRowLastColumn="0"/>
              <w:rPr>
                <w:i/>
                <w:iCs/>
              </w:rPr>
            </w:pPr>
            <w:r>
              <w:rPr>
                <w:i/>
                <w:iCs/>
              </w:rPr>
              <w:t>Palmaria palmata</w:t>
            </w:r>
          </w:p>
        </w:tc>
        <w:tc>
          <w:tcPr>
            <w:tcW w:w="1890" w:type="dxa"/>
            <w:tcBorders>
              <w:top w:val="single" w:sz="8" w:space="0" w:color="0D0D0D" w:themeColor="text1" w:themeTint="F2"/>
            </w:tcBorders>
            <w:shd w:val="clear" w:color="auto" w:fill="D9D9D9" w:themeFill="background1" w:themeFillShade="D9"/>
          </w:tcPr>
          <w:p w14:paraId="3ED70F6D" w14:textId="05C20F62" w:rsidR="0035746E" w:rsidRDefault="0035746E" w:rsidP="0035746E">
            <w:pPr>
              <w:cnfStyle w:val="000000100000" w:firstRow="0" w:lastRow="0" w:firstColumn="0" w:lastColumn="0" w:oddVBand="0" w:evenVBand="0" w:oddHBand="1" w:evenHBand="0" w:firstRowFirstColumn="0" w:firstRowLastColumn="0" w:lastRowFirstColumn="0" w:lastRowLastColumn="0"/>
            </w:pPr>
            <w:r>
              <w:rPr>
                <w:rFonts w:cs="Calibri"/>
                <w:color w:val="000000"/>
              </w:rPr>
              <w:t>152</w:t>
            </w:r>
          </w:p>
        </w:tc>
        <w:tc>
          <w:tcPr>
            <w:tcW w:w="2880" w:type="dxa"/>
            <w:tcBorders>
              <w:top w:val="single" w:sz="8" w:space="0" w:color="0D0D0D" w:themeColor="text1" w:themeTint="F2"/>
            </w:tcBorders>
            <w:shd w:val="clear" w:color="auto" w:fill="D9D9D9" w:themeFill="background1" w:themeFillShade="D9"/>
          </w:tcPr>
          <w:p w14:paraId="5B778EA7" w14:textId="10F444C2" w:rsidR="0035746E" w:rsidRDefault="0035746E" w:rsidP="0035746E">
            <w:pPr>
              <w:cnfStyle w:val="000000100000" w:firstRow="0" w:lastRow="0" w:firstColumn="0" w:lastColumn="0" w:oddVBand="0" w:evenVBand="0" w:oddHBand="1" w:evenHBand="0" w:firstRowFirstColumn="0" w:firstRowLastColumn="0" w:lastRowFirstColumn="0" w:lastRowLastColumn="0"/>
            </w:pPr>
            <w:r>
              <w:rPr>
                <w:rFonts w:cs="Calibri"/>
                <w:color w:val="000000"/>
              </w:rPr>
              <w:t>Aakre et al., 2021</w:t>
            </w:r>
          </w:p>
        </w:tc>
      </w:tr>
      <w:tr w:rsidR="0035746E" w14:paraId="0546BC69" w14:textId="77777777" w:rsidTr="007E4940">
        <w:tc>
          <w:tcPr>
            <w:cnfStyle w:val="001000000000" w:firstRow="0" w:lastRow="0" w:firstColumn="1" w:lastColumn="0" w:oddVBand="0" w:evenVBand="0" w:oddHBand="0" w:evenHBand="0" w:firstRowFirstColumn="0" w:firstRowLastColumn="0" w:lastRowFirstColumn="0" w:lastRowLastColumn="0"/>
            <w:tcW w:w="2337" w:type="dxa"/>
          </w:tcPr>
          <w:p w14:paraId="22A293AE" w14:textId="05FE8CEA" w:rsidR="0035746E" w:rsidRDefault="0035746E" w:rsidP="0035746E">
            <w:r>
              <w:rPr>
                <w:rFonts w:cs="Calibri"/>
                <w:color w:val="000000"/>
              </w:rPr>
              <w:t>Dulse</w:t>
            </w:r>
          </w:p>
        </w:tc>
        <w:tc>
          <w:tcPr>
            <w:tcW w:w="2608" w:type="dxa"/>
          </w:tcPr>
          <w:p w14:paraId="52083242" w14:textId="781C3EC9" w:rsidR="0035746E" w:rsidRPr="0035746E" w:rsidRDefault="00C45D3A" w:rsidP="0035746E">
            <w:pPr>
              <w:cnfStyle w:val="000000000000" w:firstRow="0" w:lastRow="0" w:firstColumn="0" w:lastColumn="0" w:oddVBand="0" w:evenVBand="0" w:oddHBand="0" w:evenHBand="0" w:firstRowFirstColumn="0" w:firstRowLastColumn="0" w:lastRowFirstColumn="0" w:lastRowLastColumn="0"/>
              <w:rPr>
                <w:i/>
                <w:iCs/>
              </w:rPr>
            </w:pPr>
            <w:r>
              <w:rPr>
                <w:i/>
                <w:iCs/>
              </w:rPr>
              <w:t>Palmaria palmata</w:t>
            </w:r>
          </w:p>
        </w:tc>
        <w:tc>
          <w:tcPr>
            <w:tcW w:w="1890" w:type="dxa"/>
          </w:tcPr>
          <w:p w14:paraId="1F7CE2B9" w14:textId="00D4CC6A" w:rsidR="0035746E" w:rsidRDefault="0035746E" w:rsidP="0035746E">
            <w:pPr>
              <w:cnfStyle w:val="000000000000" w:firstRow="0" w:lastRow="0" w:firstColumn="0" w:lastColumn="0" w:oddVBand="0" w:evenVBand="0" w:oddHBand="0" w:evenHBand="0" w:firstRowFirstColumn="0" w:firstRowLastColumn="0" w:lastRowFirstColumn="0" w:lastRowLastColumn="0"/>
            </w:pPr>
            <w:r>
              <w:rPr>
                <w:rFonts w:cs="Calibri"/>
                <w:color w:val="000000"/>
              </w:rPr>
              <w:t>44.1</w:t>
            </w:r>
          </w:p>
        </w:tc>
        <w:tc>
          <w:tcPr>
            <w:tcW w:w="2880" w:type="dxa"/>
          </w:tcPr>
          <w:p w14:paraId="15129765" w14:textId="79F380AA" w:rsidR="0035746E" w:rsidRDefault="0035746E" w:rsidP="0035746E">
            <w:pPr>
              <w:cnfStyle w:val="000000000000" w:firstRow="0" w:lastRow="0" w:firstColumn="0" w:lastColumn="0" w:oddVBand="0" w:evenVBand="0" w:oddHBand="0" w:evenHBand="0" w:firstRowFirstColumn="0" w:firstRowLastColumn="0" w:lastRowFirstColumn="0" w:lastRowLastColumn="0"/>
            </w:pPr>
            <w:r>
              <w:rPr>
                <w:rFonts w:cs="Calibri"/>
                <w:color w:val="000000"/>
              </w:rPr>
              <w:t>Lee et al., 1994</w:t>
            </w:r>
          </w:p>
        </w:tc>
      </w:tr>
      <w:tr w:rsidR="009B73BE" w14:paraId="6C0EC1C7"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D9D9D9" w:themeFill="background1" w:themeFillShade="D9"/>
          </w:tcPr>
          <w:p w14:paraId="05B6BCE6" w14:textId="692C739B" w:rsidR="0035746E" w:rsidRDefault="0035746E" w:rsidP="0035746E">
            <w:r>
              <w:t>Dulse</w:t>
            </w:r>
          </w:p>
        </w:tc>
        <w:tc>
          <w:tcPr>
            <w:tcW w:w="2608" w:type="dxa"/>
            <w:shd w:val="clear" w:color="auto" w:fill="D9D9D9" w:themeFill="background1" w:themeFillShade="D9"/>
          </w:tcPr>
          <w:p w14:paraId="4E79723C" w14:textId="3FEC3D21" w:rsidR="0035746E" w:rsidRDefault="00C45D3A" w:rsidP="0035746E">
            <w:pPr>
              <w:cnfStyle w:val="000000100000" w:firstRow="0" w:lastRow="0" w:firstColumn="0" w:lastColumn="0" w:oddVBand="0" w:evenVBand="0" w:oddHBand="1" w:evenHBand="0" w:firstRowFirstColumn="0" w:firstRowLastColumn="0" w:lastRowFirstColumn="0" w:lastRowLastColumn="0"/>
            </w:pPr>
            <w:r>
              <w:rPr>
                <w:i/>
                <w:iCs/>
              </w:rPr>
              <w:t>Palmaria palmata</w:t>
            </w:r>
          </w:p>
        </w:tc>
        <w:tc>
          <w:tcPr>
            <w:tcW w:w="1890" w:type="dxa"/>
            <w:shd w:val="clear" w:color="auto" w:fill="D9D9D9" w:themeFill="background1" w:themeFillShade="D9"/>
          </w:tcPr>
          <w:p w14:paraId="242047DB" w14:textId="357F7273" w:rsidR="0035746E" w:rsidRDefault="0035746E" w:rsidP="0035746E">
            <w:pPr>
              <w:cnfStyle w:val="000000100000" w:firstRow="0" w:lastRow="0" w:firstColumn="0" w:lastColumn="0" w:oddVBand="0" w:evenVBand="0" w:oddHBand="1" w:evenHBand="0" w:firstRowFirstColumn="0" w:firstRowLastColumn="0" w:lastRowFirstColumn="0" w:lastRowLastColumn="0"/>
            </w:pPr>
            <w:r>
              <w:rPr>
                <w:rFonts w:cs="Calibri"/>
                <w:color w:val="000000"/>
              </w:rPr>
              <w:t>&lt;5</w:t>
            </w:r>
            <w:r w:rsidRPr="0035746E">
              <w:rPr>
                <w:rFonts w:cs="Calibri"/>
                <w:color w:val="000000"/>
              </w:rPr>
              <w:t>–</w:t>
            </w:r>
            <w:r>
              <w:rPr>
                <w:rFonts w:cs="Calibri"/>
                <w:color w:val="000000"/>
              </w:rPr>
              <w:t>7</w:t>
            </w:r>
          </w:p>
        </w:tc>
        <w:tc>
          <w:tcPr>
            <w:tcW w:w="2880" w:type="dxa"/>
            <w:shd w:val="clear" w:color="auto" w:fill="D9D9D9" w:themeFill="background1" w:themeFillShade="D9"/>
          </w:tcPr>
          <w:p w14:paraId="05717128" w14:textId="754CED90" w:rsidR="0035746E" w:rsidRDefault="0035746E" w:rsidP="0035746E">
            <w:pPr>
              <w:cnfStyle w:val="000000100000" w:firstRow="0" w:lastRow="0" w:firstColumn="0" w:lastColumn="0" w:oddVBand="0" w:evenVBand="0" w:oddHBand="1" w:evenHBand="0" w:firstRowFirstColumn="0" w:firstRowLastColumn="0" w:lastRowFirstColumn="0" w:lastRowLastColumn="0"/>
            </w:pPr>
            <w:r>
              <w:rPr>
                <w:rFonts w:cs="Calibri"/>
                <w:color w:val="000000"/>
              </w:rPr>
              <w:t>Mouritsen et al., 2013</w:t>
            </w:r>
          </w:p>
        </w:tc>
      </w:tr>
      <w:tr w:rsidR="0035746E" w14:paraId="3D582B34" w14:textId="77777777" w:rsidTr="007E4940">
        <w:tc>
          <w:tcPr>
            <w:cnfStyle w:val="001000000000" w:firstRow="0" w:lastRow="0" w:firstColumn="1" w:lastColumn="0" w:oddVBand="0" w:evenVBand="0" w:oddHBand="0" w:evenHBand="0" w:firstRowFirstColumn="0" w:firstRowLastColumn="0" w:lastRowFirstColumn="0" w:lastRowLastColumn="0"/>
            <w:tcW w:w="2337" w:type="dxa"/>
          </w:tcPr>
          <w:p w14:paraId="07803DCB" w14:textId="5936D877" w:rsidR="0035746E" w:rsidRDefault="0035746E" w:rsidP="0035746E">
            <w:r>
              <w:t>Dulse</w:t>
            </w:r>
          </w:p>
        </w:tc>
        <w:tc>
          <w:tcPr>
            <w:tcW w:w="2608" w:type="dxa"/>
          </w:tcPr>
          <w:p w14:paraId="5DCF5376" w14:textId="32A2E75F" w:rsidR="0035746E" w:rsidRDefault="00C45D3A" w:rsidP="0035746E">
            <w:pPr>
              <w:cnfStyle w:val="000000000000" w:firstRow="0" w:lastRow="0" w:firstColumn="0" w:lastColumn="0" w:oddVBand="0" w:evenVBand="0" w:oddHBand="0" w:evenHBand="0" w:firstRowFirstColumn="0" w:firstRowLastColumn="0" w:lastRowFirstColumn="0" w:lastRowLastColumn="0"/>
            </w:pPr>
            <w:r>
              <w:rPr>
                <w:i/>
                <w:iCs/>
              </w:rPr>
              <w:t>Palmaria palmata</w:t>
            </w:r>
          </w:p>
        </w:tc>
        <w:tc>
          <w:tcPr>
            <w:tcW w:w="1890" w:type="dxa"/>
          </w:tcPr>
          <w:p w14:paraId="75C1B0FA" w14:textId="03B093EF" w:rsidR="0035746E" w:rsidRDefault="0035746E" w:rsidP="0035746E">
            <w:pPr>
              <w:cnfStyle w:val="000000000000" w:firstRow="0" w:lastRow="0" w:firstColumn="0" w:lastColumn="0" w:oddVBand="0" w:evenVBand="0" w:oddHBand="0" w:evenHBand="0" w:firstRowFirstColumn="0" w:firstRowLastColumn="0" w:lastRowFirstColumn="0" w:lastRowLastColumn="0"/>
            </w:pPr>
            <w:r>
              <w:rPr>
                <w:rFonts w:cs="Calibri"/>
                <w:color w:val="000000"/>
              </w:rPr>
              <w:t>97</w:t>
            </w:r>
          </w:p>
        </w:tc>
        <w:tc>
          <w:tcPr>
            <w:tcW w:w="2880" w:type="dxa"/>
          </w:tcPr>
          <w:p w14:paraId="22AF623B" w14:textId="65E31A31" w:rsidR="0035746E" w:rsidRDefault="0035746E" w:rsidP="0035746E">
            <w:pPr>
              <w:cnfStyle w:val="000000000000" w:firstRow="0" w:lastRow="0" w:firstColumn="0" w:lastColumn="0" w:oddVBand="0" w:evenVBand="0" w:oddHBand="0" w:evenHBand="0" w:firstRowFirstColumn="0" w:firstRowLastColumn="0" w:lastRowFirstColumn="0" w:lastRowLastColumn="0"/>
            </w:pPr>
            <w:r>
              <w:rPr>
                <w:rFonts w:cs="Calibri"/>
                <w:color w:val="000000"/>
              </w:rPr>
              <w:t>Nitschke and Stengel, 2016</w:t>
            </w:r>
          </w:p>
        </w:tc>
      </w:tr>
      <w:tr w:rsidR="009B73BE" w14:paraId="52439ABE"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D9D9D9" w:themeFill="background1" w:themeFillShade="D9"/>
          </w:tcPr>
          <w:p w14:paraId="7A7E4573" w14:textId="1C5FC427" w:rsidR="0035746E" w:rsidRDefault="0035746E" w:rsidP="0035746E">
            <w:r>
              <w:t>Dulse</w:t>
            </w:r>
          </w:p>
        </w:tc>
        <w:tc>
          <w:tcPr>
            <w:tcW w:w="2608" w:type="dxa"/>
            <w:shd w:val="clear" w:color="auto" w:fill="D9D9D9" w:themeFill="background1" w:themeFillShade="D9"/>
          </w:tcPr>
          <w:p w14:paraId="593B4BA1" w14:textId="3DDB83C1" w:rsidR="0035746E" w:rsidRDefault="00C45D3A" w:rsidP="0035746E">
            <w:pPr>
              <w:cnfStyle w:val="000000100000" w:firstRow="0" w:lastRow="0" w:firstColumn="0" w:lastColumn="0" w:oddVBand="0" w:evenVBand="0" w:oddHBand="1" w:evenHBand="0" w:firstRowFirstColumn="0" w:firstRowLastColumn="0" w:lastRowFirstColumn="0" w:lastRowLastColumn="0"/>
            </w:pPr>
            <w:r>
              <w:rPr>
                <w:i/>
                <w:iCs/>
              </w:rPr>
              <w:t>Palmaria palmata</w:t>
            </w:r>
          </w:p>
        </w:tc>
        <w:tc>
          <w:tcPr>
            <w:tcW w:w="1890" w:type="dxa"/>
            <w:shd w:val="clear" w:color="auto" w:fill="D9D9D9" w:themeFill="background1" w:themeFillShade="D9"/>
          </w:tcPr>
          <w:p w14:paraId="52D14D42" w14:textId="3C033EEC" w:rsidR="0035746E" w:rsidRDefault="0035746E" w:rsidP="0035746E">
            <w:pPr>
              <w:cnfStyle w:val="000000100000" w:firstRow="0" w:lastRow="0" w:firstColumn="0" w:lastColumn="0" w:oddVBand="0" w:evenVBand="0" w:oddHBand="1" w:evenHBand="0" w:firstRowFirstColumn="0" w:firstRowLastColumn="0" w:lastRowFirstColumn="0" w:lastRowLastColumn="0"/>
            </w:pPr>
            <w:r>
              <w:rPr>
                <w:rFonts w:cs="Calibri"/>
                <w:color w:val="000000"/>
              </w:rPr>
              <w:t>72</w:t>
            </w:r>
            <w:r w:rsidRPr="0035746E">
              <w:rPr>
                <w:rFonts w:cs="Calibri"/>
                <w:color w:val="000000"/>
              </w:rPr>
              <w:t>–</w:t>
            </w:r>
            <w:r>
              <w:rPr>
                <w:rFonts w:cs="Calibri"/>
                <w:color w:val="000000"/>
              </w:rPr>
              <w:t>293</w:t>
            </w:r>
          </w:p>
        </w:tc>
        <w:tc>
          <w:tcPr>
            <w:tcW w:w="2880" w:type="dxa"/>
            <w:shd w:val="clear" w:color="auto" w:fill="D9D9D9" w:themeFill="background1" w:themeFillShade="D9"/>
          </w:tcPr>
          <w:p w14:paraId="428DBAC9" w14:textId="6DB5D02D" w:rsidR="0035746E" w:rsidRDefault="0035746E" w:rsidP="0035746E">
            <w:pPr>
              <w:cnfStyle w:val="000000100000" w:firstRow="0" w:lastRow="0" w:firstColumn="0" w:lastColumn="0" w:oddVBand="0" w:evenVBand="0" w:oddHBand="1" w:evenHBand="0" w:firstRowFirstColumn="0" w:firstRowLastColumn="0" w:lastRowFirstColumn="0" w:lastRowLastColumn="0"/>
            </w:pPr>
            <w:r>
              <w:rPr>
                <w:rFonts w:cs="Calibri"/>
                <w:color w:val="000000"/>
              </w:rPr>
              <w:t>Roleda et al., 2019</w:t>
            </w:r>
          </w:p>
        </w:tc>
      </w:tr>
      <w:tr w:rsidR="0035746E" w14:paraId="521491D8" w14:textId="77777777" w:rsidTr="007E4940">
        <w:tc>
          <w:tcPr>
            <w:cnfStyle w:val="001000000000" w:firstRow="0" w:lastRow="0" w:firstColumn="1" w:lastColumn="0" w:oddVBand="0" w:evenVBand="0" w:oddHBand="0" w:evenHBand="0" w:firstRowFirstColumn="0" w:firstRowLastColumn="0" w:lastRowFirstColumn="0" w:lastRowLastColumn="0"/>
            <w:tcW w:w="2337" w:type="dxa"/>
          </w:tcPr>
          <w:p w14:paraId="0694502E" w14:textId="44F0FAC9" w:rsidR="0035746E" w:rsidRDefault="0035746E" w:rsidP="0035746E">
            <w:r>
              <w:t>Dulse</w:t>
            </w:r>
          </w:p>
        </w:tc>
        <w:tc>
          <w:tcPr>
            <w:tcW w:w="2608" w:type="dxa"/>
          </w:tcPr>
          <w:p w14:paraId="02D4B06F" w14:textId="63C5D4EF" w:rsidR="0035746E" w:rsidRDefault="00C45D3A" w:rsidP="0035746E">
            <w:pPr>
              <w:cnfStyle w:val="000000000000" w:firstRow="0" w:lastRow="0" w:firstColumn="0" w:lastColumn="0" w:oddVBand="0" w:evenVBand="0" w:oddHBand="0" w:evenHBand="0" w:firstRowFirstColumn="0" w:firstRowLastColumn="0" w:lastRowFirstColumn="0" w:lastRowLastColumn="0"/>
            </w:pPr>
            <w:r>
              <w:rPr>
                <w:i/>
                <w:iCs/>
              </w:rPr>
              <w:t>Palmaria palmata</w:t>
            </w:r>
          </w:p>
        </w:tc>
        <w:tc>
          <w:tcPr>
            <w:tcW w:w="1890" w:type="dxa"/>
          </w:tcPr>
          <w:p w14:paraId="34813CE2" w14:textId="26B054DD" w:rsidR="0035746E" w:rsidRDefault="0035746E" w:rsidP="0035746E">
            <w:pPr>
              <w:cnfStyle w:val="000000000000" w:firstRow="0" w:lastRow="0" w:firstColumn="0" w:lastColumn="0" w:oddVBand="0" w:evenVBand="0" w:oddHBand="0" w:evenHBand="0" w:firstRowFirstColumn="0" w:firstRowLastColumn="0" w:lastRowFirstColumn="0" w:lastRowLastColumn="0"/>
            </w:pPr>
            <w:r>
              <w:rPr>
                <w:rFonts w:cs="Calibri"/>
                <w:color w:val="000000"/>
              </w:rPr>
              <w:t>77.3</w:t>
            </w:r>
          </w:p>
        </w:tc>
        <w:tc>
          <w:tcPr>
            <w:tcW w:w="2880" w:type="dxa"/>
          </w:tcPr>
          <w:p w14:paraId="5D098A89" w14:textId="71C6320B" w:rsidR="0035746E" w:rsidRDefault="0035746E" w:rsidP="0035746E">
            <w:pPr>
              <w:cnfStyle w:val="000000000000" w:firstRow="0" w:lastRow="0" w:firstColumn="0" w:lastColumn="0" w:oddVBand="0" w:evenVBand="0" w:oddHBand="0" w:evenHBand="0" w:firstRowFirstColumn="0" w:firstRowLastColumn="0" w:lastRowFirstColumn="0" w:lastRowLastColumn="0"/>
            </w:pPr>
            <w:r>
              <w:rPr>
                <w:rFonts w:cs="Calibri"/>
                <w:color w:val="000000"/>
              </w:rPr>
              <w:t>Romarís-Hortas et al., 2012</w:t>
            </w:r>
          </w:p>
        </w:tc>
      </w:tr>
      <w:tr w:rsidR="009B73BE" w14:paraId="2534858C"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bottom w:val="single" w:sz="8" w:space="0" w:color="0D0D0D" w:themeColor="text1" w:themeTint="F2"/>
            </w:tcBorders>
            <w:shd w:val="clear" w:color="auto" w:fill="D9D9D9" w:themeFill="background1" w:themeFillShade="D9"/>
          </w:tcPr>
          <w:p w14:paraId="7A2BF0C5" w14:textId="07B343A5" w:rsidR="0035746E" w:rsidRDefault="0035746E" w:rsidP="0035746E">
            <w:r>
              <w:t>Dulse</w:t>
            </w:r>
          </w:p>
        </w:tc>
        <w:tc>
          <w:tcPr>
            <w:tcW w:w="2608" w:type="dxa"/>
            <w:tcBorders>
              <w:bottom w:val="single" w:sz="8" w:space="0" w:color="0D0D0D" w:themeColor="text1" w:themeTint="F2"/>
            </w:tcBorders>
            <w:shd w:val="clear" w:color="auto" w:fill="D9D9D9" w:themeFill="background1" w:themeFillShade="D9"/>
          </w:tcPr>
          <w:p w14:paraId="02C0A597" w14:textId="343A98AB" w:rsidR="0035746E" w:rsidRDefault="00C45D3A" w:rsidP="0035746E">
            <w:pPr>
              <w:cnfStyle w:val="000000100000" w:firstRow="0" w:lastRow="0" w:firstColumn="0" w:lastColumn="0" w:oddVBand="0" w:evenVBand="0" w:oddHBand="1" w:evenHBand="0" w:firstRowFirstColumn="0" w:firstRowLastColumn="0" w:lastRowFirstColumn="0" w:lastRowLastColumn="0"/>
            </w:pPr>
            <w:r>
              <w:rPr>
                <w:i/>
                <w:iCs/>
              </w:rPr>
              <w:t>Palmaria palmata</w:t>
            </w:r>
          </w:p>
        </w:tc>
        <w:tc>
          <w:tcPr>
            <w:tcW w:w="1890" w:type="dxa"/>
            <w:tcBorders>
              <w:bottom w:val="single" w:sz="8" w:space="0" w:color="0D0D0D" w:themeColor="text1" w:themeTint="F2"/>
            </w:tcBorders>
            <w:shd w:val="clear" w:color="auto" w:fill="D9D9D9" w:themeFill="background1" w:themeFillShade="D9"/>
          </w:tcPr>
          <w:p w14:paraId="339D3440" w14:textId="059B7F80" w:rsidR="0035746E" w:rsidRDefault="0035746E" w:rsidP="0035746E">
            <w:pPr>
              <w:cnfStyle w:val="000000100000" w:firstRow="0" w:lastRow="0" w:firstColumn="0" w:lastColumn="0" w:oddVBand="0" w:evenVBand="0" w:oddHBand="1" w:evenHBand="0" w:firstRowFirstColumn="0" w:firstRowLastColumn="0" w:lastRowFirstColumn="0" w:lastRowLastColumn="0"/>
            </w:pPr>
            <w:r>
              <w:rPr>
                <w:rFonts w:cs="Calibri"/>
                <w:color w:val="000000"/>
              </w:rPr>
              <w:t>72</w:t>
            </w:r>
          </w:p>
        </w:tc>
        <w:tc>
          <w:tcPr>
            <w:tcW w:w="2880" w:type="dxa"/>
            <w:tcBorders>
              <w:bottom w:val="single" w:sz="8" w:space="0" w:color="0D0D0D" w:themeColor="text1" w:themeTint="F2"/>
            </w:tcBorders>
            <w:shd w:val="clear" w:color="auto" w:fill="D9D9D9" w:themeFill="background1" w:themeFillShade="D9"/>
          </w:tcPr>
          <w:p w14:paraId="30EA3D0A" w14:textId="32F60C3E" w:rsidR="0035746E" w:rsidRDefault="0035746E" w:rsidP="0035746E">
            <w:pPr>
              <w:cnfStyle w:val="000000100000" w:firstRow="0" w:lastRow="0" w:firstColumn="0" w:lastColumn="0" w:oddVBand="0" w:evenVBand="0" w:oddHBand="1" w:evenHBand="0" w:firstRowFirstColumn="0" w:firstRowLastColumn="0" w:lastRowFirstColumn="0" w:lastRowLastColumn="0"/>
            </w:pPr>
            <w:r>
              <w:rPr>
                <w:rFonts w:cs="Calibri"/>
                <w:color w:val="000000"/>
              </w:rPr>
              <w:t>Teas et al., 2004</w:t>
            </w:r>
          </w:p>
        </w:tc>
      </w:tr>
      <w:tr w:rsidR="0035746E" w14:paraId="3AF525F8" w14:textId="77777777" w:rsidTr="007E4940">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0D0D0D" w:themeColor="text1" w:themeTint="F2"/>
              <w:bottom w:val="single" w:sz="8" w:space="0" w:color="0D0D0D" w:themeColor="text1" w:themeTint="F2"/>
            </w:tcBorders>
          </w:tcPr>
          <w:p w14:paraId="6AF40853" w14:textId="78CEEE02" w:rsidR="0035746E" w:rsidRDefault="00F9694B" w:rsidP="00DD0681">
            <w:r>
              <w:rPr>
                <w:i/>
                <w:iCs/>
              </w:rPr>
              <w:t>Gelidium amansil</w:t>
            </w:r>
          </w:p>
        </w:tc>
        <w:tc>
          <w:tcPr>
            <w:tcW w:w="2608" w:type="dxa"/>
            <w:tcBorders>
              <w:top w:val="single" w:sz="8" w:space="0" w:color="0D0D0D" w:themeColor="text1" w:themeTint="F2"/>
              <w:bottom w:val="single" w:sz="8" w:space="0" w:color="0D0D0D" w:themeColor="text1" w:themeTint="F2"/>
            </w:tcBorders>
          </w:tcPr>
          <w:p w14:paraId="2EF04865" w14:textId="6AE44E5F" w:rsidR="0035746E" w:rsidRPr="0035746E" w:rsidRDefault="0035746E" w:rsidP="00DD0681">
            <w:pPr>
              <w:cnfStyle w:val="000000000000" w:firstRow="0" w:lastRow="0" w:firstColumn="0" w:lastColumn="0" w:oddVBand="0" w:evenVBand="0" w:oddHBand="0" w:evenHBand="0" w:firstRowFirstColumn="0" w:firstRowLastColumn="0" w:lastRowFirstColumn="0" w:lastRowLastColumn="0"/>
              <w:rPr>
                <w:i/>
                <w:iCs/>
              </w:rPr>
            </w:pPr>
            <w:r>
              <w:rPr>
                <w:i/>
                <w:iCs/>
              </w:rPr>
              <w:t>Gelidium amansil</w:t>
            </w:r>
          </w:p>
        </w:tc>
        <w:tc>
          <w:tcPr>
            <w:tcW w:w="1890" w:type="dxa"/>
            <w:tcBorders>
              <w:top w:val="single" w:sz="8" w:space="0" w:color="0D0D0D" w:themeColor="text1" w:themeTint="F2"/>
              <w:bottom w:val="single" w:sz="8" w:space="0" w:color="0D0D0D" w:themeColor="text1" w:themeTint="F2"/>
            </w:tcBorders>
          </w:tcPr>
          <w:p w14:paraId="5316286D" w14:textId="5FF40503" w:rsidR="0035746E" w:rsidRDefault="0035746E" w:rsidP="00DD0681">
            <w:pPr>
              <w:cnfStyle w:val="000000000000" w:firstRow="0" w:lastRow="0" w:firstColumn="0" w:lastColumn="0" w:oddVBand="0" w:evenVBand="0" w:oddHBand="0" w:evenHBand="0" w:firstRowFirstColumn="0" w:firstRowLastColumn="0" w:lastRowFirstColumn="0" w:lastRowLastColumn="0"/>
            </w:pPr>
            <w:r>
              <w:t>203.8</w:t>
            </w:r>
          </w:p>
        </w:tc>
        <w:tc>
          <w:tcPr>
            <w:tcW w:w="2880" w:type="dxa"/>
            <w:tcBorders>
              <w:top w:val="single" w:sz="8" w:space="0" w:color="0D0D0D" w:themeColor="text1" w:themeTint="F2"/>
              <w:bottom w:val="single" w:sz="8" w:space="0" w:color="0D0D0D" w:themeColor="text1" w:themeTint="F2"/>
            </w:tcBorders>
          </w:tcPr>
          <w:p w14:paraId="1419C05B" w14:textId="1A63BE17" w:rsidR="0035746E" w:rsidRDefault="0035746E" w:rsidP="00DD0681">
            <w:pPr>
              <w:cnfStyle w:val="000000000000" w:firstRow="0" w:lastRow="0" w:firstColumn="0" w:lastColumn="0" w:oddVBand="0" w:evenVBand="0" w:oddHBand="0" w:evenHBand="0" w:firstRowFirstColumn="0" w:firstRowLastColumn="0" w:lastRowFirstColumn="0" w:lastRowLastColumn="0"/>
            </w:pPr>
            <w:r>
              <w:t>Hou &amp; Yan, 1998</w:t>
            </w:r>
          </w:p>
        </w:tc>
      </w:tr>
      <w:tr w:rsidR="009B73BE" w14:paraId="37B2F752"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0D0D0D" w:themeColor="text1" w:themeTint="F2"/>
              <w:bottom w:val="single" w:sz="8" w:space="0" w:color="0D0D0D" w:themeColor="text1" w:themeTint="F2"/>
            </w:tcBorders>
            <w:shd w:val="clear" w:color="auto" w:fill="D9D9D9" w:themeFill="background1" w:themeFillShade="D9"/>
          </w:tcPr>
          <w:p w14:paraId="4B364490" w14:textId="51FC30C6" w:rsidR="0035746E" w:rsidRDefault="0035746E" w:rsidP="00DD0681">
            <w:r>
              <w:t>Irish Moss</w:t>
            </w:r>
          </w:p>
        </w:tc>
        <w:tc>
          <w:tcPr>
            <w:tcW w:w="2608" w:type="dxa"/>
            <w:tcBorders>
              <w:top w:val="single" w:sz="8" w:space="0" w:color="0D0D0D" w:themeColor="text1" w:themeTint="F2"/>
              <w:bottom w:val="single" w:sz="8" w:space="0" w:color="0D0D0D" w:themeColor="text1" w:themeTint="F2"/>
            </w:tcBorders>
            <w:shd w:val="clear" w:color="auto" w:fill="D9D9D9" w:themeFill="background1" w:themeFillShade="D9"/>
          </w:tcPr>
          <w:p w14:paraId="7BF12B70" w14:textId="623C9B8B" w:rsidR="0035746E" w:rsidRPr="0035746E" w:rsidRDefault="0035746E" w:rsidP="00DD0681">
            <w:pPr>
              <w:cnfStyle w:val="000000100000" w:firstRow="0" w:lastRow="0" w:firstColumn="0" w:lastColumn="0" w:oddVBand="0" w:evenVBand="0" w:oddHBand="1" w:evenHBand="0" w:firstRowFirstColumn="0" w:firstRowLastColumn="0" w:lastRowFirstColumn="0" w:lastRowLastColumn="0"/>
              <w:rPr>
                <w:i/>
                <w:iCs/>
              </w:rPr>
            </w:pPr>
            <w:r>
              <w:rPr>
                <w:i/>
                <w:iCs/>
              </w:rPr>
              <w:t>Chondrus crispus</w:t>
            </w:r>
          </w:p>
        </w:tc>
        <w:tc>
          <w:tcPr>
            <w:tcW w:w="1890" w:type="dxa"/>
            <w:tcBorders>
              <w:top w:val="single" w:sz="8" w:space="0" w:color="0D0D0D" w:themeColor="text1" w:themeTint="F2"/>
              <w:bottom w:val="single" w:sz="8" w:space="0" w:color="0D0D0D" w:themeColor="text1" w:themeTint="F2"/>
            </w:tcBorders>
            <w:shd w:val="clear" w:color="auto" w:fill="D9D9D9" w:themeFill="background1" w:themeFillShade="D9"/>
          </w:tcPr>
          <w:p w14:paraId="6E1C73CD" w14:textId="5AB419FA" w:rsidR="0035746E" w:rsidRDefault="0035746E" w:rsidP="00DD0681">
            <w:pPr>
              <w:cnfStyle w:val="000000100000" w:firstRow="0" w:lastRow="0" w:firstColumn="0" w:lastColumn="0" w:oddVBand="0" w:evenVBand="0" w:oddHBand="1" w:evenHBand="0" w:firstRowFirstColumn="0" w:firstRowLastColumn="0" w:lastRowFirstColumn="0" w:lastRowLastColumn="0"/>
            </w:pPr>
            <w:r>
              <w:t>56</w:t>
            </w:r>
          </w:p>
        </w:tc>
        <w:tc>
          <w:tcPr>
            <w:tcW w:w="2880" w:type="dxa"/>
            <w:tcBorders>
              <w:top w:val="single" w:sz="8" w:space="0" w:color="0D0D0D" w:themeColor="text1" w:themeTint="F2"/>
              <w:bottom w:val="single" w:sz="8" w:space="0" w:color="0D0D0D" w:themeColor="text1" w:themeTint="F2"/>
            </w:tcBorders>
            <w:shd w:val="clear" w:color="auto" w:fill="D9D9D9" w:themeFill="background1" w:themeFillShade="D9"/>
          </w:tcPr>
          <w:p w14:paraId="54937316" w14:textId="2D5BBBD8" w:rsidR="0035746E" w:rsidRDefault="0035746E" w:rsidP="00DD0681">
            <w:pPr>
              <w:cnfStyle w:val="000000100000" w:firstRow="0" w:lastRow="0" w:firstColumn="0" w:lastColumn="0" w:oddVBand="0" w:evenVBand="0" w:oddHBand="1" w:evenHBand="0" w:firstRowFirstColumn="0" w:firstRowLastColumn="0" w:lastRowFirstColumn="0" w:lastRowLastColumn="0"/>
            </w:pPr>
            <w:r>
              <w:t>Nitschke &amp; Stengel, 2015</w:t>
            </w:r>
          </w:p>
        </w:tc>
      </w:tr>
      <w:tr w:rsidR="0035746E" w14:paraId="79A03918" w14:textId="77777777" w:rsidTr="007E4940">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0D0D0D" w:themeColor="text1" w:themeTint="F2"/>
            </w:tcBorders>
          </w:tcPr>
          <w:p w14:paraId="67C6E6F1" w14:textId="30862BA4" w:rsidR="0035746E" w:rsidRDefault="0035746E" w:rsidP="00DD0681">
            <w:r>
              <w:t>Laver</w:t>
            </w:r>
          </w:p>
        </w:tc>
        <w:tc>
          <w:tcPr>
            <w:tcW w:w="2608" w:type="dxa"/>
            <w:tcBorders>
              <w:top w:val="single" w:sz="8" w:space="0" w:color="0D0D0D" w:themeColor="text1" w:themeTint="F2"/>
            </w:tcBorders>
          </w:tcPr>
          <w:p w14:paraId="5496A9CE" w14:textId="15EB4110" w:rsidR="0035746E" w:rsidRPr="0035746E" w:rsidRDefault="0035746E" w:rsidP="00DD0681">
            <w:pPr>
              <w:cnfStyle w:val="000000000000" w:firstRow="0" w:lastRow="0" w:firstColumn="0" w:lastColumn="0" w:oddVBand="0" w:evenVBand="0" w:oddHBand="0" w:evenHBand="0" w:firstRowFirstColumn="0" w:firstRowLastColumn="0" w:lastRowFirstColumn="0" w:lastRowLastColumn="0"/>
              <w:rPr>
                <w:i/>
                <w:iCs/>
              </w:rPr>
            </w:pPr>
            <w:r>
              <w:rPr>
                <w:i/>
                <w:iCs/>
              </w:rPr>
              <w:t>Porphyra umbilicalis</w:t>
            </w:r>
          </w:p>
        </w:tc>
        <w:tc>
          <w:tcPr>
            <w:tcW w:w="1890" w:type="dxa"/>
            <w:tcBorders>
              <w:top w:val="single" w:sz="8" w:space="0" w:color="0D0D0D" w:themeColor="text1" w:themeTint="F2"/>
            </w:tcBorders>
          </w:tcPr>
          <w:p w14:paraId="32FD2026" w14:textId="50C10C1D" w:rsidR="0035746E" w:rsidRDefault="0035746E" w:rsidP="00DD0681">
            <w:pPr>
              <w:cnfStyle w:val="000000000000" w:firstRow="0" w:lastRow="0" w:firstColumn="0" w:lastColumn="0" w:oddVBand="0" w:evenVBand="0" w:oddHBand="0" w:evenHBand="0" w:firstRowFirstColumn="0" w:firstRowLastColumn="0" w:lastRowFirstColumn="0" w:lastRowLastColumn="0"/>
            </w:pPr>
            <w:r>
              <w:t>46</w:t>
            </w:r>
          </w:p>
        </w:tc>
        <w:tc>
          <w:tcPr>
            <w:tcW w:w="2880" w:type="dxa"/>
            <w:tcBorders>
              <w:top w:val="single" w:sz="8" w:space="0" w:color="0D0D0D" w:themeColor="text1" w:themeTint="F2"/>
            </w:tcBorders>
          </w:tcPr>
          <w:p w14:paraId="33C72341" w14:textId="14056DD5" w:rsidR="0035746E" w:rsidRDefault="0035746E" w:rsidP="00DD0681">
            <w:pPr>
              <w:cnfStyle w:val="000000000000" w:firstRow="0" w:lastRow="0" w:firstColumn="0" w:lastColumn="0" w:oddVBand="0" w:evenVBand="0" w:oddHBand="0" w:evenHBand="0" w:firstRowFirstColumn="0" w:firstRowLastColumn="0" w:lastRowFirstColumn="0" w:lastRowLastColumn="0"/>
            </w:pPr>
            <w:r>
              <w:t>Nitschke &amp; Stengel, 2015</w:t>
            </w:r>
          </w:p>
        </w:tc>
      </w:tr>
      <w:tr w:rsidR="009B73BE" w14:paraId="60AD9A43"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bottom w:val="single" w:sz="8" w:space="0" w:color="0D0D0D" w:themeColor="text1" w:themeTint="F2"/>
            </w:tcBorders>
            <w:shd w:val="clear" w:color="auto" w:fill="D9D9D9" w:themeFill="background1" w:themeFillShade="D9"/>
          </w:tcPr>
          <w:p w14:paraId="12BB4EAC" w14:textId="67DC17DF" w:rsidR="0035746E" w:rsidRDefault="0035746E" w:rsidP="00DD0681">
            <w:r>
              <w:t>Laver</w:t>
            </w:r>
          </w:p>
        </w:tc>
        <w:tc>
          <w:tcPr>
            <w:tcW w:w="2608" w:type="dxa"/>
            <w:tcBorders>
              <w:bottom w:val="single" w:sz="8" w:space="0" w:color="0D0D0D" w:themeColor="text1" w:themeTint="F2"/>
            </w:tcBorders>
            <w:shd w:val="clear" w:color="auto" w:fill="D9D9D9" w:themeFill="background1" w:themeFillShade="D9"/>
          </w:tcPr>
          <w:p w14:paraId="36C5E730" w14:textId="56040593" w:rsidR="0035746E" w:rsidRPr="0035746E" w:rsidRDefault="0035746E" w:rsidP="00DD0681">
            <w:pPr>
              <w:cnfStyle w:val="000000100000" w:firstRow="0" w:lastRow="0" w:firstColumn="0" w:lastColumn="0" w:oddVBand="0" w:evenVBand="0" w:oddHBand="1" w:evenHBand="0" w:firstRowFirstColumn="0" w:firstRowLastColumn="0" w:lastRowFirstColumn="0" w:lastRowLastColumn="0"/>
              <w:rPr>
                <w:i/>
                <w:iCs/>
              </w:rPr>
            </w:pPr>
            <w:r>
              <w:rPr>
                <w:i/>
                <w:iCs/>
              </w:rPr>
              <w:t>Porphyra umbilicalis</w:t>
            </w:r>
          </w:p>
        </w:tc>
        <w:tc>
          <w:tcPr>
            <w:tcW w:w="1890" w:type="dxa"/>
            <w:tcBorders>
              <w:bottom w:val="single" w:sz="8" w:space="0" w:color="0D0D0D" w:themeColor="text1" w:themeTint="F2"/>
            </w:tcBorders>
            <w:shd w:val="clear" w:color="auto" w:fill="D9D9D9" w:themeFill="background1" w:themeFillShade="D9"/>
          </w:tcPr>
          <w:p w14:paraId="6142F9F2" w14:textId="0AD1445D" w:rsidR="0035746E" w:rsidRDefault="0035746E" w:rsidP="00DD0681">
            <w:pPr>
              <w:cnfStyle w:val="000000100000" w:firstRow="0" w:lastRow="0" w:firstColumn="0" w:lastColumn="0" w:oddVBand="0" w:evenVBand="0" w:oddHBand="1" w:evenHBand="0" w:firstRowFirstColumn="0" w:firstRowLastColumn="0" w:lastRowFirstColumn="0" w:lastRowLastColumn="0"/>
            </w:pPr>
            <w:r>
              <w:t>43.2</w:t>
            </w:r>
          </w:p>
        </w:tc>
        <w:tc>
          <w:tcPr>
            <w:tcW w:w="2880" w:type="dxa"/>
            <w:tcBorders>
              <w:bottom w:val="single" w:sz="8" w:space="0" w:color="0D0D0D" w:themeColor="text1" w:themeTint="F2"/>
            </w:tcBorders>
            <w:shd w:val="clear" w:color="auto" w:fill="D9D9D9" w:themeFill="background1" w:themeFillShade="D9"/>
          </w:tcPr>
          <w:p w14:paraId="617BAD20" w14:textId="4FA551EE" w:rsidR="0035746E" w:rsidRDefault="0035746E" w:rsidP="00DD0681">
            <w:pPr>
              <w:cnfStyle w:val="000000100000" w:firstRow="0" w:lastRow="0" w:firstColumn="0" w:lastColumn="0" w:oddVBand="0" w:evenVBand="0" w:oddHBand="1" w:evenHBand="0" w:firstRowFirstColumn="0" w:firstRowLastColumn="0" w:lastRowFirstColumn="0" w:lastRowLastColumn="0"/>
            </w:pPr>
            <w:r>
              <w:rPr>
                <w:rFonts w:cs="Calibri"/>
                <w:color w:val="000000"/>
              </w:rPr>
              <w:t>Romarís-Hortas et al., 2012</w:t>
            </w:r>
          </w:p>
        </w:tc>
      </w:tr>
      <w:tr w:rsidR="0035746E" w14:paraId="5EEE6376" w14:textId="77777777" w:rsidTr="007E4940">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0D0D0D" w:themeColor="text1" w:themeTint="F2"/>
            </w:tcBorders>
          </w:tcPr>
          <w:p w14:paraId="7F03DCEB" w14:textId="4A304DCB" w:rsidR="0035746E" w:rsidRDefault="0035746E" w:rsidP="00DD0681">
            <w:r>
              <w:t>Nori</w:t>
            </w:r>
          </w:p>
        </w:tc>
        <w:tc>
          <w:tcPr>
            <w:tcW w:w="2608" w:type="dxa"/>
            <w:tcBorders>
              <w:top w:val="single" w:sz="8" w:space="0" w:color="0D0D0D" w:themeColor="text1" w:themeTint="F2"/>
            </w:tcBorders>
          </w:tcPr>
          <w:p w14:paraId="523F28BE" w14:textId="2D401275" w:rsidR="0035746E" w:rsidRPr="0035746E" w:rsidRDefault="0035746E" w:rsidP="00DD0681">
            <w:pPr>
              <w:cnfStyle w:val="000000000000" w:firstRow="0" w:lastRow="0" w:firstColumn="0" w:lastColumn="0" w:oddVBand="0" w:evenVBand="0" w:oddHBand="0" w:evenHBand="0" w:firstRowFirstColumn="0" w:firstRowLastColumn="0" w:lastRowFirstColumn="0" w:lastRowLastColumn="0"/>
            </w:pPr>
            <w:r>
              <w:rPr>
                <w:i/>
                <w:iCs/>
              </w:rPr>
              <w:t>Porphyra tenera</w:t>
            </w:r>
          </w:p>
        </w:tc>
        <w:tc>
          <w:tcPr>
            <w:tcW w:w="1890" w:type="dxa"/>
            <w:tcBorders>
              <w:top w:val="single" w:sz="8" w:space="0" w:color="0D0D0D" w:themeColor="text1" w:themeTint="F2"/>
            </w:tcBorders>
          </w:tcPr>
          <w:p w14:paraId="5C0AE726" w14:textId="11C19AB9" w:rsidR="0035746E" w:rsidRDefault="0035746E" w:rsidP="00DD0681">
            <w:pPr>
              <w:cnfStyle w:val="000000000000" w:firstRow="0" w:lastRow="0" w:firstColumn="0" w:lastColumn="0" w:oddVBand="0" w:evenVBand="0" w:oddHBand="0" w:evenHBand="0" w:firstRowFirstColumn="0" w:firstRowLastColumn="0" w:lastRowFirstColumn="0" w:lastRowLastColumn="0"/>
            </w:pPr>
            <w:r>
              <w:t>4.3</w:t>
            </w:r>
            <w:r w:rsidRPr="0035746E">
              <w:rPr>
                <w:rFonts w:cs="Calibri"/>
                <w:color w:val="000000"/>
              </w:rPr>
              <w:t>–</w:t>
            </w:r>
            <w:r>
              <w:t>250</w:t>
            </w:r>
          </w:p>
        </w:tc>
        <w:tc>
          <w:tcPr>
            <w:tcW w:w="2880" w:type="dxa"/>
            <w:tcBorders>
              <w:top w:val="single" w:sz="8" w:space="0" w:color="0D0D0D" w:themeColor="text1" w:themeTint="F2"/>
            </w:tcBorders>
          </w:tcPr>
          <w:p w14:paraId="29528CC0" w14:textId="29057A33" w:rsidR="0035746E" w:rsidRDefault="0035746E" w:rsidP="00DD0681">
            <w:pPr>
              <w:cnfStyle w:val="000000000000" w:firstRow="0" w:lastRow="0" w:firstColumn="0" w:lastColumn="0" w:oddVBand="0" w:evenVBand="0" w:oddHBand="0" w:evenHBand="0" w:firstRowFirstColumn="0" w:firstRowLastColumn="0" w:lastRowFirstColumn="0" w:lastRowLastColumn="0"/>
            </w:pPr>
            <w:r>
              <w:t>Lee et al., 1994</w:t>
            </w:r>
          </w:p>
        </w:tc>
      </w:tr>
      <w:tr w:rsidR="009B73BE" w14:paraId="182F85D1"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D9D9D9" w:themeFill="background1" w:themeFillShade="D9"/>
          </w:tcPr>
          <w:p w14:paraId="7A6A8B2B" w14:textId="150C22E9" w:rsidR="0035746E" w:rsidRDefault="0035746E" w:rsidP="00DD0681">
            <w:r>
              <w:t>Nori</w:t>
            </w:r>
          </w:p>
        </w:tc>
        <w:tc>
          <w:tcPr>
            <w:tcW w:w="2608" w:type="dxa"/>
            <w:shd w:val="clear" w:color="auto" w:fill="D9D9D9" w:themeFill="background1" w:themeFillShade="D9"/>
          </w:tcPr>
          <w:p w14:paraId="6469E0A3" w14:textId="0E10D80A" w:rsidR="0035746E" w:rsidRDefault="0035746E" w:rsidP="00DD0681">
            <w:pPr>
              <w:cnfStyle w:val="000000100000" w:firstRow="0" w:lastRow="0" w:firstColumn="0" w:lastColumn="0" w:oddVBand="0" w:evenVBand="0" w:oddHBand="1" w:evenHBand="0" w:firstRowFirstColumn="0" w:firstRowLastColumn="0" w:lastRowFirstColumn="0" w:lastRowLastColumn="0"/>
            </w:pPr>
            <w:r>
              <w:rPr>
                <w:i/>
                <w:iCs/>
              </w:rPr>
              <w:t>Porphyra tenera</w:t>
            </w:r>
          </w:p>
        </w:tc>
        <w:tc>
          <w:tcPr>
            <w:tcW w:w="1890" w:type="dxa"/>
            <w:shd w:val="clear" w:color="auto" w:fill="D9D9D9" w:themeFill="background1" w:themeFillShade="D9"/>
          </w:tcPr>
          <w:p w14:paraId="4CDBBC55" w14:textId="73BEF75B" w:rsidR="0035746E" w:rsidRDefault="000A342B" w:rsidP="00DD0681">
            <w:pPr>
              <w:cnfStyle w:val="000000100000" w:firstRow="0" w:lastRow="0" w:firstColumn="0" w:lastColumn="0" w:oddVBand="0" w:evenVBand="0" w:oddHBand="1" w:evenHBand="0" w:firstRowFirstColumn="0" w:firstRowLastColumn="0" w:lastRowFirstColumn="0" w:lastRowLastColumn="0"/>
            </w:pPr>
            <w:r>
              <w:t>16</w:t>
            </w:r>
          </w:p>
        </w:tc>
        <w:tc>
          <w:tcPr>
            <w:tcW w:w="2880" w:type="dxa"/>
            <w:shd w:val="clear" w:color="auto" w:fill="D9D9D9" w:themeFill="background1" w:themeFillShade="D9"/>
          </w:tcPr>
          <w:p w14:paraId="24D4F108" w14:textId="48B67A02" w:rsidR="0035746E" w:rsidRDefault="0035746E" w:rsidP="00DD0681">
            <w:pPr>
              <w:cnfStyle w:val="000000100000" w:firstRow="0" w:lastRow="0" w:firstColumn="0" w:lastColumn="0" w:oddVBand="0" w:evenVBand="0" w:oddHBand="1" w:evenHBand="0" w:firstRowFirstColumn="0" w:firstRowLastColumn="0" w:lastRowFirstColumn="0" w:lastRowLastColumn="0"/>
            </w:pPr>
            <w:r>
              <w:t>Teas et al., 2004</w:t>
            </w:r>
          </w:p>
        </w:tc>
      </w:tr>
      <w:tr w:rsidR="0035746E" w14:paraId="4383B9EA" w14:textId="77777777" w:rsidTr="007E4940">
        <w:tc>
          <w:tcPr>
            <w:cnfStyle w:val="001000000000" w:firstRow="0" w:lastRow="0" w:firstColumn="1" w:lastColumn="0" w:oddVBand="0" w:evenVBand="0" w:oddHBand="0" w:evenHBand="0" w:firstRowFirstColumn="0" w:firstRowLastColumn="0" w:lastRowFirstColumn="0" w:lastRowLastColumn="0"/>
            <w:tcW w:w="2337" w:type="dxa"/>
          </w:tcPr>
          <w:p w14:paraId="15848261" w14:textId="5B5B2FFB" w:rsidR="0035746E" w:rsidRDefault="0035746E" w:rsidP="00DD0681">
            <w:r>
              <w:t>Nori</w:t>
            </w:r>
          </w:p>
        </w:tc>
        <w:tc>
          <w:tcPr>
            <w:tcW w:w="2608" w:type="dxa"/>
          </w:tcPr>
          <w:p w14:paraId="178A901E" w14:textId="373CC0B0" w:rsidR="0035746E" w:rsidRDefault="0035746E" w:rsidP="00DD0681">
            <w:pPr>
              <w:cnfStyle w:val="000000000000" w:firstRow="0" w:lastRow="0" w:firstColumn="0" w:lastColumn="0" w:oddVBand="0" w:evenVBand="0" w:oddHBand="0" w:evenHBand="0" w:firstRowFirstColumn="0" w:firstRowLastColumn="0" w:lastRowFirstColumn="0" w:lastRowLastColumn="0"/>
            </w:pPr>
            <w:r>
              <w:rPr>
                <w:i/>
                <w:iCs/>
              </w:rPr>
              <w:t>Porphyra tenera</w:t>
            </w:r>
          </w:p>
        </w:tc>
        <w:tc>
          <w:tcPr>
            <w:tcW w:w="1890" w:type="dxa"/>
          </w:tcPr>
          <w:p w14:paraId="39C79050" w14:textId="703A6D97" w:rsidR="0035746E" w:rsidRDefault="000A342B" w:rsidP="00DD0681">
            <w:pPr>
              <w:cnfStyle w:val="000000000000" w:firstRow="0" w:lastRow="0" w:firstColumn="0" w:lastColumn="0" w:oddVBand="0" w:evenVBand="0" w:oddHBand="0" w:evenHBand="0" w:firstRowFirstColumn="0" w:firstRowLastColumn="0" w:lastRowFirstColumn="0" w:lastRowLastColumn="0"/>
            </w:pPr>
            <w:r>
              <w:t>17</w:t>
            </w:r>
            <w:r w:rsidRPr="0035746E">
              <w:rPr>
                <w:rFonts w:cs="Calibri"/>
                <w:color w:val="000000"/>
              </w:rPr>
              <w:t>–</w:t>
            </w:r>
            <w:r>
              <w:rPr>
                <w:rFonts w:cs="Calibri"/>
                <w:color w:val="000000"/>
              </w:rPr>
              <w:t>185</w:t>
            </w:r>
          </w:p>
        </w:tc>
        <w:tc>
          <w:tcPr>
            <w:tcW w:w="2880" w:type="dxa"/>
          </w:tcPr>
          <w:p w14:paraId="37F8167E" w14:textId="5A095AE3" w:rsidR="0035746E" w:rsidRDefault="0035746E" w:rsidP="00DD0681">
            <w:pPr>
              <w:cnfStyle w:val="000000000000" w:firstRow="0" w:lastRow="0" w:firstColumn="0" w:lastColumn="0" w:oddVBand="0" w:evenVBand="0" w:oddHBand="0" w:evenHBand="0" w:firstRowFirstColumn="0" w:firstRowLastColumn="0" w:lastRowFirstColumn="0" w:lastRowLastColumn="0"/>
            </w:pPr>
            <w:r>
              <w:t>Van Netten et al., 2000</w:t>
            </w:r>
          </w:p>
        </w:tc>
      </w:tr>
      <w:tr w:rsidR="009B73BE" w14:paraId="41ED230E"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D9D9D9" w:themeFill="background1" w:themeFillShade="D9"/>
          </w:tcPr>
          <w:p w14:paraId="2F800D31" w14:textId="1A19BFA8" w:rsidR="0035746E" w:rsidRDefault="0035746E" w:rsidP="00DD0681">
            <w:r>
              <w:t>Nori</w:t>
            </w:r>
          </w:p>
        </w:tc>
        <w:tc>
          <w:tcPr>
            <w:tcW w:w="2608" w:type="dxa"/>
            <w:shd w:val="clear" w:color="auto" w:fill="D9D9D9" w:themeFill="background1" w:themeFillShade="D9"/>
          </w:tcPr>
          <w:p w14:paraId="5E86D9B4" w14:textId="0F5283EE" w:rsidR="0035746E" w:rsidRDefault="0035746E" w:rsidP="00DD0681">
            <w:pPr>
              <w:cnfStyle w:val="000000100000" w:firstRow="0" w:lastRow="0" w:firstColumn="0" w:lastColumn="0" w:oddVBand="0" w:evenVBand="0" w:oddHBand="1" w:evenHBand="0" w:firstRowFirstColumn="0" w:firstRowLastColumn="0" w:lastRowFirstColumn="0" w:lastRowLastColumn="0"/>
            </w:pPr>
            <w:r>
              <w:rPr>
                <w:i/>
                <w:iCs/>
              </w:rPr>
              <w:t xml:space="preserve">Porphyra </w:t>
            </w:r>
            <w:r>
              <w:t>species</w:t>
            </w:r>
          </w:p>
        </w:tc>
        <w:tc>
          <w:tcPr>
            <w:tcW w:w="1890" w:type="dxa"/>
            <w:shd w:val="clear" w:color="auto" w:fill="D9D9D9" w:themeFill="background1" w:themeFillShade="D9"/>
          </w:tcPr>
          <w:p w14:paraId="765AC47A" w14:textId="632915AF" w:rsidR="0035746E" w:rsidRDefault="000A342B" w:rsidP="00DD0681">
            <w:pPr>
              <w:cnfStyle w:val="000000100000" w:firstRow="0" w:lastRow="0" w:firstColumn="0" w:lastColumn="0" w:oddVBand="0" w:evenVBand="0" w:oddHBand="1" w:evenHBand="0" w:firstRowFirstColumn="0" w:firstRowLastColumn="0" w:lastRowFirstColumn="0" w:lastRowLastColumn="0"/>
            </w:pPr>
            <w:r>
              <w:t>19</w:t>
            </w:r>
            <w:r w:rsidRPr="0035746E">
              <w:rPr>
                <w:rFonts w:cs="Calibri"/>
                <w:color w:val="000000"/>
              </w:rPr>
              <w:t>–</w:t>
            </w:r>
            <w:r>
              <w:rPr>
                <w:rFonts w:cs="Calibri"/>
                <w:color w:val="000000"/>
              </w:rPr>
              <w:t>24</w:t>
            </w:r>
          </w:p>
        </w:tc>
        <w:tc>
          <w:tcPr>
            <w:tcW w:w="2880" w:type="dxa"/>
            <w:shd w:val="clear" w:color="auto" w:fill="D9D9D9" w:themeFill="background1" w:themeFillShade="D9"/>
          </w:tcPr>
          <w:p w14:paraId="1330605A" w14:textId="2297E345" w:rsidR="0035746E" w:rsidRDefault="000A342B" w:rsidP="00DD0681">
            <w:pPr>
              <w:cnfStyle w:val="000000100000" w:firstRow="0" w:lastRow="0" w:firstColumn="0" w:lastColumn="0" w:oddVBand="0" w:evenVBand="0" w:oddHBand="1" w:evenHBand="0" w:firstRowFirstColumn="0" w:firstRowLastColumn="0" w:lastRowFirstColumn="0" w:lastRowLastColumn="0"/>
            </w:pPr>
            <w:r>
              <w:t>Aakre et al., 2021</w:t>
            </w:r>
          </w:p>
        </w:tc>
      </w:tr>
      <w:tr w:rsidR="0035746E" w14:paraId="6C461A3C" w14:textId="77777777" w:rsidTr="007E4940">
        <w:tc>
          <w:tcPr>
            <w:cnfStyle w:val="001000000000" w:firstRow="0" w:lastRow="0" w:firstColumn="1" w:lastColumn="0" w:oddVBand="0" w:evenVBand="0" w:oddHBand="0" w:evenHBand="0" w:firstRowFirstColumn="0" w:firstRowLastColumn="0" w:lastRowFirstColumn="0" w:lastRowLastColumn="0"/>
            <w:tcW w:w="2337" w:type="dxa"/>
          </w:tcPr>
          <w:p w14:paraId="41669911" w14:textId="60518C63" w:rsidR="0035746E" w:rsidRDefault="0035746E" w:rsidP="00DD0681">
            <w:r>
              <w:t>Nori</w:t>
            </w:r>
          </w:p>
        </w:tc>
        <w:tc>
          <w:tcPr>
            <w:tcW w:w="2608" w:type="dxa"/>
          </w:tcPr>
          <w:p w14:paraId="180AF7DF" w14:textId="109DC31A" w:rsidR="0035746E" w:rsidRDefault="0035746E" w:rsidP="00DD0681">
            <w:pPr>
              <w:cnfStyle w:val="000000000000" w:firstRow="0" w:lastRow="0" w:firstColumn="0" w:lastColumn="0" w:oddVBand="0" w:evenVBand="0" w:oddHBand="0" w:evenHBand="0" w:firstRowFirstColumn="0" w:firstRowLastColumn="0" w:lastRowFirstColumn="0" w:lastRowLastColumn="0"/>
            </w:pPr>
            <w:r>
              <w:rPr>
                <w:i/>
                <w:iCs/>
              </w:rPr>
              <w:t xml:space="preserve">Porphyra </w:t>
            </w:r>
            <w:r>
              <w:t>species</w:t>
            </w:r>
          </w:p>
        </w:tc>
        <w:tc>
          <w:tcPr>
            <w:tcW w:w="1890" w:type="dxa"/>
          </w:tcPr>
          <w:p w14:paraId="77D3DF8E" w14:textId="6A151709" w:rsidR="0035746E" w:rsidRDefault="000A342B" w:rsidP="00DD0681">
            <w:pPr>
              <w:cnfStyle w:val="000000000000" w:firstRow="0" w:lastRow="0" w:firstColumn="0" w:lastColumn="0" w:oddVBand="0" w:evenVBand="0" w:oddHBand="0" w:evenHBand="0" w:firstRowFirstColumn="0" w:firstRowLastColumn="0" w:lastRowFirstColumn="0" w:lastRowLastColumn="0"/>
            </w:pPr>
            <w:r>
              <w:t>35.8</w:t>
            </w:r>
          </w:p>
        </w:tc>
        <w:tc>
          <w:tcPr>
            <w:tcW w:w="2880" w:type="dxa"/>
          </w:tcPr>
          <w:p w14:paraId="1634379C" w14:textId="1988F97D" w:rsidR="0035746E" w:rsidRDefault="000A342B" w:rsidP="00DD0681">
            <w:pPr>
              <w:cnfStyle w:val="000000000000" w:firstRow="0" w:lastRow="0" w:firstColumn="0" w:lastColumn="0" w:oddVBand="0" w:evenVBand="0" w:oddHBand="0" w:evenHBand="0" w:firstRowFirstColumn="0" w:firstRowLastColumn="0" w:lastRowFirstColumn="0" w:lastRowLastColumn="0"/>
            </w:pPr>
            <w:r>
              <w:t>Hou &amp; Yan, 1998</w:t>
            </w:r>
          </w:p>
        </w:tc>
      </w:tr>
      <w:tr w:rsidR="009B73BE" w14:paraId="60E331BE"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D9D9D9" w:themeFill="background1" w:themeFillShade="D9"/>
          </w:tcPr>
          <w:p w14:paraId="58696356" w14:textId="3383897B" w:rsidR="0035746E" w:rsidRDefault="0035746E" w:rsidP="00DD0681">
            <w:r>
              <w:t>Nori</w:t>
            </w:r>
          </w:p>
        </w:tc>
        <w:tc>
          <w:tcPr>
            <w:tcW w:w="2608" w:type="dxa"/>
            <w:shd w:val="clear" w:color="auto" w:fill="D9D9D9" w:themeFill="background1" w:themeFillShade="D9"/>
          </w:tcPr>
          <w:p w14:paraId="5E14B7AD" w14:textId="2BA9152A" w:rsidR="0035746E" w:rsidRDefault="0035746E" w:rsidP="00DD0681">
            <w:pPr>
              <w:cnfStyle w:val="000000100000" w:firstRow="0" w:lastRow="0" w:firstColumn="0" w:lastColumn="0" w:oddVBand="0" w:evenVBand="0" w:oddHBand="1" w:evenHBand="0" w:firstRowFirstColumn="0" w:firstRowLastColumn="0" w:lastRowFirstColumn="0" w:lastRowLastColumn="0"/>
            </w:pPr>
            <w:r>
              <w:rPr>
                <w:i/>
                <w:iCs/>
              </w:rPr>
              <w:t xml:space="preserve">Porphyra </w:t>
            </w:r>
            <w:r>
              <w:t>species</w:t>
            </w:r>
          </w:p>
        </w:tc>
        <w:tc>
          <w:tcPr>
            <w:tcW w:w="1890" w:type="dxa"/>
            <w:shd w:val="clear" w:color="auto" w:fill="D9D9D9" w:themeFill="background1" w:themeFillShade="D9"/>
          </w:tcPr>
          <w:p w14:paraId="5BD75517" w14:textId="7294145D" w:rsidR="0035746E" w:rsidRDefault="000A342B" w:rsidP="00DD0681">
            <w:pPr>
              <w:cnfStyle w:val="000000100000" w:firstRow="0" w:lastRow="0" w:firstColumn="0" w:lastColumn="0" w:oddVBand="0" w:evenVBand="0" w:oddHBand="1" w:evenHBand="0" w:firstRowFirstColumn="0" w:firstRowLastColumn="0" w:lastRowFirstColumn="0" w:lastRowLastColumn="0"/>
            </w:pPr>
            <w:r>
              <w:t>42.8</w:t>
            </w:r>
          </w:p>
        </w:tc>
        <w:tc>
          <w:tcPr>
            <w:tcW w:w="2880" w:type="dxa"/>
            <w:shd w:val="clear" w:color="auto" w:fill="D9D9D9" w:themeFill="background1" w:themeFillShade="D9"/>
          </w:tcPr>
          <w:p w14:paraId="6EE84D1D" w14:textId="73D1D70F" w:rsidR="0035746E" w:rsidRDefault="000A342B" w:rsidP="00DD0681">
            <w:pPr>
              <w:cnfStyle w:val="000000100000" w:firstRow="0" w:lastRow="0" w:firstColumn="0" w:lastColumn="0" w:oddVBand="0" w:evenVBand="0" w:oddHBand="1" w:evenHBand="0" w:firstRowFirstColumn="0" w:firstRowLastColumn="0" w:lastRowFirstColumn="0" w:lastRowLastColumn="0"/>
            </w:pPr>
            <w:r>
              <w:t>Watanabe et al., 1999</w:t>
            </w:r>
          </w:p>
        </w:tc>
      </w:tr>
      <w:tr w:rsidR="0035746E" w14:paraId="48BCB3CC" w14:textId="77777777" w:rsidTr="007E4940">
        <w:tc>
          <w:tcPr>
            <w:cnfStyle w:val="001000000000" w:firstRow="0" w:lastRow="0" w:firstColumn="1" w:lastColumn="0" w:oddVBand="0" w:evenVBand="0" w:oddHBand="0" w:evenHBand="0" w:firstRowFirstColumn="0" w:firstRowLastColumn="0" w:lastRowFirstColumn="0" w:lastRowLastColumn="0"/>
            <w:tcW w:w="2337" w:type="dxa"/>
          </w:tcPr>
          <w:p w14:paraId="06F8288F" w14:textId="583E1384" w:rsidR="0035746E" w:rsidRDefault="0035746E" w:rsidP="00DD0681">
            <w:r>
              <w:t>Nori</w:t>
            </w:r>
          </w:p>
        </w:tc>
        <w:tc>
          <w:tcPr>
            <w:tcW w:w="2608" w:type="dxa"/>
          </w:tcPr>
          <w:p w14:paraId="7938A3F4" w14:textId="6ED08A43" w:rsidR="0035746E" w:rsidRPr="0035746E" w:rsidRDefault="0035746E" w:rsidP="00DD0681">
            <w:pPr>
              <w:cnfStyle w:val="000000000000" w:firstRow="0" w:lastRow="0" w:firstColumn="0" w:lastColumn="0" w:oddVBand="0" w:evenVBand="0" w:oddHBand="0" w:evenHBand="0" w:firstRowFirstColumn="0" w:firstRowLastColumn="0" w:lastRowFirstColumn="0" w:lastRowLastColumn="0"/>
            </w:pPr>
            <w:r>
              <w:rPr>
                <w:i/>
                <w:iCs/>
              </w:rPr>
              <w:t xml:space="preserve">Porphyra </w:t>
            </w:r>
            <w:r>
              <w:t>species</w:t>
            </w:r>
          </w:p>
        </w:tc>
        <w:tc>
          <w:tcPr>
            <w:tcW w:w="1890" w:type="dxa"/>
          </w:tcPr>
          <w:p w14:paraId="0CF6B5B7" w14:textId="559E235A" w:rsidR="0035746E" w:rsidRDefault="000A342B" w:rsidP="00DD0681">
            <w:pPr>
              <w:cnfStyle w:val="000000000000" w:firstRow="0" w:lastRow="0" w:firstColumn="0" w:lastColumn="0" w:oddVBand="0" w:evenVBand="0" w:oddHBand="0" w:evenHBand="0" w:firstRowFirstColumn="0" w:firstRowLastColumn="0" w:lastRowFirstColumn="0" w:lastRowLastColumn="0"/>
            </w:pPr>
            <w:r>
              <w:t>29.3</w:t>
            </w:r>
            <w:r w:rsidRPr="0035746E">
              <w:rPr>
                <w:rFonts w:cs="Calibri"/>
                <w:color w:val="000000"/>
              </w:rPr>
              <w:t>–</w:t>
            </w:r>
            <w:r>
              <w:rPr>
                <w:rFonts w:cs="Calibri"/>
                <w:color w:val="000000"/>
              </w:rPr>
              <w:t>45.8</w:t>
            </w:r>
          </w:p>
        </w:tc>
        <w:tc>
          <w:tcPr>
            <w:tcW w:w="2880" w:type="dxa"/>
          </w:tcPr>
          <w:p w14:paraId="6FA5DA83" w14:textId="3837230D" w:rsidR="0035746E" w:rsidRDefault="000A342B" w:rsidP="00DD0681">
            <w:pPr>
              <w:cnfStyle w:val="000000000000" w:firstRow="0" w:lastRow="0" w:firstColumn="0" w:lastColumn="0" w:oddVBand="0" w:evenVBand="0" w:oddHBand="0" w:evenHBand="0" w:firstRowFirstColumn="0" w:firstRowLastColumn="0" w:lastRowFirstColumn="0" w:lastRowLastColumn="0"/>
            </w:pPr>
            <w:r>
              <w:t>Yeh et al., 2014</w:t>
            </w:r>
          </w:p>
        </w:tc>
      </w:tr>
    </w:tbl>
    <w:p w14:paraId="31B3DD56" w14:textId="77777777" w:rsidR="0050645C" w:rsidRDefault="0050645C" w:rsidP="00C54E07">
      <w:pPr>
        <w:pStyle w:val="Caption"/>
        <w:rPr>
          <w:b/>
          <w:bCs/>
        </w:rPr>
      </w:pPr>
    </w:p>
    <w:p w14:paraId="748956F6" w14:textId="77777777" w:rsidR="0050645C" w:rsidRDefault="0050645C">
      <w:pPr>
        <w:rPr>
          <w:b/>
          <w:bCs/>
          <w:i/>
          <w:iCs/>
          <w:color w:val="0E2841" w:themeColor="text2"/>
          <w:szCs w:val="18"/>
        </w:rPr>
      </w:pPr>
      <w:r>
        <w:rPr>
          <w:b/>
          <w:bCs/>
        </w:rPr>
        <w:br w:type="page"/>
      </w:r>
    </w:p>
    <w:p w14:paraId="1AA22DF8" w14:textId="448568EB" w:rsidR="00150A77" w:rsidRPr="00150A77" w:rsidRDefault="00045395" w:rsidP="00C54E07">
      <w:pPr>
        <w:pStyle w:val="Caption"/>
      </w:pPr>
      <w:r w:rsidRPr="00045395">
        <w:rPr>
          <w:b/>
          <w:bCs/>
        </w:rPr>
        <w:lastRenderedPageBreak/>
        <w:t>Table D-</w:t>
      </w:r>
      <w:r w:rsidRPr="00045395">
        <w:rPr>
          <w:b/>
          <w:bCs/>
        </w:rPr>
        <w:fldChar w:fldCharType="begin"/>
      </w:r>
      <w:r w:rsidRPr="00045395">
        <w:rPr>
          <w:b/>
          <w:bCs/>
        </w:rPr>
        <w:instrText xml:space="preserve"> SEQ Table_D- \* ARABIC </w:instrText>
      </w:r>
      <w:r w:rsidRPr="00045395">
        <w:rPr>
          <w:b/>
          <w:bCs/>
        </w:rPr>
        <w:fldChar w:fldCharType="separate"/>
      </w:r>
      <w:r w:rsidR="00A042AD">
        <w:rPr>
          <w:b/>
          <w:bCs/>
          <w:noProof/>
        </w:rPr>
        <w:t>4</w:t>
      </w:r>
      <w:r w:rsidRPr="00045395">
        <w:rPr>
          <w:b/>
          <w:bCs/>
        </w:rPr>
        <w:fldChar w:fldCharType="end"/>
      </w:r>
      <w:r w:rsidRPr="00045395">
        <w:rPr>
          <w:b/>
          <w:bCs/>
        </w:rPr>
        <w:t>:</w:t>
      </w:r>
      <w:r>
        <w:t xml:space="preserve"> </w:t>
      </w:r>
      <w:r w:rsidRPr="00141B7F">
        <w:t xml:space="preserve">Iodine concentrations measured in various green seaweed species. </w:t>
      </w:r>
      <w:r w:rsidR="00985B0E">
        <w:t>“</w:t>
      </w:r>
      <w:r w:rsidRPr="00985B0E">
        <w:rPr>
          <w:b/>
          <w:bCs/>
        </w:rPr>
        <w:t>DW</w:t>
      </w:r>
      <w:r w:rsidR="00985B0E">
        <w:t>” stands for</w:t>
      </w:r>
      <w:r w:rsidRPr="00141B7F">
        <w:t xml:space="preserve"> Dry Weight. Concentrations measured and reported as mg/kg DW were converted to µg/g DW.</w:t>
      </w:r>
    </w:p>
    <w:tbl>
      <w:tblPr>
        <w:tblStyle w:val="GridTable4"/>
        <w:tblW w:w="9715" w:type="dxa"/>
        <w:tbl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insideH w:val="single" w:sz="6" w:space="0" w:color="0D0D0D" w:themeColor="text1" w:themeTint="F2"/>
          <w:insideV w:val="single" w:sz="6" w:space="0" w:color="0D0D0D" w:themeColor="text1" w:themeTint="F2"/>
        </w:tblBorders>
        <w:tblCellMar>
          <w:top w:w="29" w:type="dxa"/>
          <w:bottom w:w="29" w:type="dxa"/>
        </w:tblCellMar>
        <w:tblLook w:val="04A0" w:firstRow="1" w:lastRow="0" w:firstColumn="1" w:lastColumn="0" w:noHBand="0" w:noVBand="1"/>
      </w:tblPr>
      <w:tblGrid>
        <w:gridCol w:w="2335"/>
        <w:gridCol w:w="2520"/>
        <w:gridCol w:w="1890"/>
        <w:gridCol w:w="2970"/>
      </w:tblGrid>
      <w:tr w:rsidR="000A342B" w14:paraId="3EBB20D2" w14:textId="77777777" w:rsidTr="007E4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none" w:sz="0" w:space="0" w:color="auto"/>
              <w:left w:val="none" w:sz="0" w:space="0" w:color="auto"/>
              <w:bottom w:val="single" w:sz="8" w:space="0" w:color="0D0D0D" w:themeColor="text1" w:themeTint="F2"/>
              <w:right w:val="none" w:sz="0" w:space="0" w:color="auto"/>
            </w:tcBorders>
            <w:shd w:val="clear" w:color="auto" w:fill="687D59"/>
            <w:vAlign w:val="center"/>
          </w:tcPr>
          <w:p w14:paraId="36B9E65B" w14:textId="6D70E6E9" w:rsidR="000A342B" w:rsidRPr="00F9694B" w:rsidRDefault="000A342B" w:rsidP="00F9694B">
            <w:r w:rsidRPr="00F9694B">
              <w:t>Common</w:t>
            </w:r>
            <w:r w:rsidR="00F9694B">
              <w:t>/Scientific</w:t>
            </w:r>
            <w:r w:rsidRPr="00F9694B">
              <w:t xml:space="preserve"> Name</w:t>
            </w:r>
          </w:p>
        </w:tc>
        <w:tc>
          <w:tcPr>
            <w:tcW w:w="2520" w:type="dxa"/>
            <w:tcBorders>
              <w:top w:val="none" w:sz="0" w:space="0" w:color="auto"/>
              <w:left w:val="none" w:sz="0" w:space="0" w:color="auto"/>
              <w:bottom w:val="single" w:sz="8" w:space="0" w:color="0D0D0D" w:themeColor="text1" w:themeTint="F2"/>
              <w:right w:val="none" w:sz="0" w:space="0" w:color="auto"/>
            </w:tcBorders>
            <w:shd w:val="clear" w:color="auto" w:fill="687D59"/>
            <w:vAlign w:val="center"/>
          </w:tcPr>
          <w:p w14:paraId="14C70701" w14:textId="31C52EE4" w:rsidR="000A342B" w:rsidRPr="00F9694B" w:rsidRDefault="000A342B" w:rsidP="00F9694B">
            <w:pPr>
              <w:cnfStyle w:val="100000000000" w:firstRow="1" w:lastRow="0" w:firstColumn="0" w:lastColumn="0" w:oddVBand="0" w:evenVBand="0" w:oddHBand="0" w:evenHBand="0" w:firstRowFirstColumn="0" w:firstRowLastColumn="0" w:lastRowFirstColumn="0" w:lastRowLastColumn="0"/>
            </w:pPr>
            <w:r w:rsidRPr="00F9694B">
              <w:t>Scientific Name</w:t>
            </w:r>
          </w:p>
        </w:tc>
        <w:tc>
          <w:tcPr>
            <w:tcW w:w="1890" w:type="dxa"/>
            <w:tcBorders>
              <w:top w:val="none" w:sz="0" w:space="0" w:color="auto"/>
              <w:left w:val="none" w:sz="0" w:space="0" w:color="auto"/>
              <w:bottom w:val="single" w:sz="8" w:space="0" w:color="0D0D0D" w:themeColor="text1" w:themeTint="F2"/>
              <w:right w:val="none" w:sz="0" w:space="0" w:color="auto"/>
            </w:tcBorders>
            <w:shd w:val="clear" w:color="auto" w:fill="687D59"/>
            <w:vAlign w:val="center"/>
          </w:tcPr>
          <w:p w14:paraId="32647D6B" w14:textId="74A4B186" w:rsidR="000A342B" w:rsidRPr="00F9694B" w:rsidRDefault="000A342B" w:rsidP="00F9694B">
            <w:pPr>
              <w:cnfStyle w:val="100000000000" w:firstRow="1" w:lastRow="0" w:firstColumn="0" w:lastColumn="0" w:oddVBand="0" w:evenVBand="0" w:oddHBand="0" w:evenHBand="0" w:firstRowFirstColumn="0" w:firstRowLastColumn="0" w:lastRowFirstColumn="0" w:lastRowLastColumn="0"/>
            </w:pPr>
            <w:r w:rsidRPr="00F9694B">
              <w:t>Iodine Concentration (µg/g DW)</w:t>
            </w:r>
          </w:p>
        </w:tc>
        <w:tc>
          <w:tcPr>
            <w:tcW w:w="2970" w:type="dxa"/>
            <w:tcBorders>
              <w:top w:val="none" w:sz="0" w:space="0" w:color="auto"/>
              <w:left w:val="none" w:sz="0" w:space="0" w:color="auto"/>
              <w:bottom w:val="single" w:sz="8" w:space="0" w:color="0D0D0D" w:themeColor="text1" w:themeTint="F2"/>
              <w:right w:val="none" w:sz="0" w:space="0" w:color="auto"/>
            </w:tcBorders>
            <w:shd w:val="clear" w:color="auto" w:fill="687D59"/>
            <w:vAlign w:val="center"/>
          </w:tcPr>
          <w:p w14:paraId="542C335C" w14:textId="6D3B5391" w:rsidR="000A342B" w:rsidRPr="00F9694B" w:rsidRDefault="000A342B" w:rsidP="00F9694B">
            <w:pPr>
              <w:cnfStyle w:val="100000000000" w:firstRow="1" w:lastRow="0" w:firstColumn="0" w:lastColumn="0" w:oddVBand="0" w:evenVBand="0" w:oddHBand="0" w:evenHBand="0" w:firstRowFirstColumn="0" w:firstRowLastColumn="0" w:lastRowFirstColumn="0" w:lastRowLastColumn="0"/>
            </w:pPr>
            <w:r w:rsidRPr="00F9694B">
              <w:t>Reference</w:t>
            </w:r>
          </w:p>
        </w:tc>
      </w:tr>
      <w:tr w:rsidR="000B3003" w14:paraId="7DE05AD1"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bottom w:val="single" w:sz="8" w:space="0" w:color="0D0D0D" w:themeColor="text1" w:themeTint="F2"/>
            </w:tcBorders>
            <w:shd w:val="clear" w:color="auto" w:fill="D9D9D9" w:themeFill="background1" w:themeFillShade="D9"/>
          </w:tcPr>
          <w:p w14:paraId="2BE6EE4F" w14:textId="4DAA8460" w:rsidR="00F9694B" w:rsidRDefault="00F9694B" w:rsidP="00F9694B">
            <w:r>
              <w:rPr>
                <w:i/>
                <w:iCs/>
              </w:rPr>
              <w:t xml:space="preserve">Cladophora </w:t>
            </w:r>
            <w:r>
              <w:t>species</w:t>
            </w:r>
          </w:p>
        </w:tc>
        <w:tc>
          <w:tcPr>
            <w:tcW w:w="2520" w:type="dxa"/>
            <w:tcBorders>
              <w:top w:val="single" w:sz="8" w:space="0" w:color="0D0D0D" w:themeColor="text1" w:themeTint="F2"/>
              <w:bottom w:val="single" w:sz="8" w:space="0" w:color="0D0D0D" w:themeColor="text1" w:themeTint="F2"/>
            </w:tcBorders>
            <w:shd w:val="clear" w:color="auto" w:fill="D9D9D9" w:themeFill="background1" w:themeFillShade="D9"/>
          </w:tcPr>
          <w:p w14:paraId="55511441" w14:textId="7B7B7CA7" w:rsidR="00F9694B" w:rsidRPr="000A342B" w:rsidRDefault="00F9694B" w:rsidP="00F9694B">
            <w:pPr>
              <w:cnfStyle w:val="000000100000" w:firstRow="0" w:lastRow="0" w:firstColumn="0" w:lastColumn="0" w:oddVBand="0" w:evenVBand="0" w:oddHBand="1" w:evenHBand="0" w:firstRowFirstColumn="0" w:firstRowLastColumn="0" w:lastRowFirstColumn="0" w:lastRowLastColumn="0"/>
            </w:pPr>
            <w:r>
              <w:rPr>
                <w:i/>
                <w:iCs/>
              </w:rPr>
              <w:t xml:space="preserve">Cladophora </w:t>
            </w:r>
            <w:r>
              <w:t>species</w:t>
            </w:r>
          </w:p>
        </w:tc>
        <w:tc>
          <w:tcPr>
            <w:tcW w:w="1890" w:type="dxa"/>
            <w:tcBorders>
              <w:top w:val="single" w:sz="8" w:space="0" w:color="0D0D0D" w:themeColor="text1" w:themeTint="F2"/>
              <w:bottom w:val="single" w:sz="8" w:space="0" w:color="0D0D0D" w:themeColor="text1" w:themeTint="F2"/>
            </w:tcBorders>
            <w:shd w:val="clear" w:color="auto" w:fill="D9D9D9" w:themeFill="background1" w:themeFillShade="D9"/>
          </w:tcPr>
          <w:p w14:paraId="2282ED5D" w14:textId="2AC8C76C" w:rsidR="00F9694B" w:rsidRDefault="00F9694B" w:rsidP="00F9694B">
            <w:pPr>
              <w:cnfStyle w:val="000000100000" w:firstRow="0" w:lastRow="0" w:firstColumn="0" w:lastColumn="0" w:oddVBand="0" w:evenVBand="0" w:oddHBand="1" w:evenHBand="0" w:firstRowFirstColumn="0" w:firstRowLastColumn="0" w:lastRowFirstColumn="0" w:lastRowLastColumn="0"/>
            </w:pPr>
            <w:r>
              <w:t>140.27</w:t>
            </w:r>
          </w:p>
        </w:tc>
        <w:tc>
          <w:tcPr>
            <w:tcW w:w="2970" w:type="dxa"/>
            <w:tcBorders>
              <w:top w:val="single" w:sz="8" w:space="0" w:color="0D0D0D" w:themeColor="text1" w:themeTint="F2"/>
              <w:bottom w:val="single" w:sz="8" w:space="0" w:color="0D0D0D" w:themeColor="text1" w:themeTint="F2"/>
            </w:tcBorders>
            <w:shd w:val="clear" w:color="auto" w:fill="D9D9D9" w:themeFill="background1" w:themeFillShade="D9"/>
          </w:tcPr>
          <w:p w14:paraId="13D8C3E8" w14:textId="4C2B0826" w:rsidR="00F9694B" w:rsidRDefault="00F9694B" w:rsidP="00F9694B">
            <w:pPr>
              <w:cnfStyle w:val="000000100000" w:firstRow="0" w:lastRow="0" w:firstColumn="0" w:lastColumn="0" w:oddVBand="0" w:evenVBand="0" w:oddHBand="1" w:evenHBand="0" w:firstRowFirstColumn="0" w:firstRowLastColumn="0" w:lastRowFirstColumn="0" w:lastRowLastColumn="0"/>
            </w:pPr>
            <w:r w:rsidRPr="000A342B">
              <w:t>Sá Monteiro et al., 2019</w:t>
            </w:r>
          </w:p>
        </w:tc>
      </w:tr>
      <w:tr w:rsidR="00F9694B" w14:paraId="7553BABE"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tcBorders>
          </w:tcPr>
          <w:p w14:paraId="23090554" w14:textId="21A53536" w:rsidR="00F9694B" w:rsidRDefault="00F9694B" w:rsidP="00F9694B">
            <w:r>
              <w:rPr>
                <w:i/>
                <w:iCs/>
              </w:rPr>
              <w:t>Enteromorpha intestinalis (Ulva intestinalis)</w:t>
            </w:r>
          </w:p>
        </w:tc>
        <w:tc>
          <w:tcPr>
            <w:tcW w:w="2520" w:type="dxa"/>
            <w:tcBorders>
              <w:top w:val="single" w:sz="8" w:space="0" w:color="0D0D0D" w:themeColor="text1" w:themeTint="F2"/>
            </w:tcBorders>
          </w:tcPr>
          <w:p w14:paraId="2C1E35AB" w14:textId="1257097F" w:rsidR="00F9694B" w:rsidRPr="000A342B" w:rsidRDefault="00F9694B" w:rsidP="00F9694B">
            <w:pPr>
              <w:cnfStyle w:val="000000000000" w:firstRow="0" w:lastRow="0" w:firstColumn="0" w:lastColumn="0" w:oddVBand="0" w:evenVBand="0" w:oddHBand="0" w:evenHBand="0" w:firstRowFirstColumn="0" w:firstRowLastColumn="0" w:lastRowFirstColumn="0" w:lastRowLastColumn="0"/>
              <w:rPr>
                <w:i/>
                <w:iCs/>
              </w:rPr>
            </w:pPr>
            <w:r>
              <w:rPr>
                <w:i/>
                <w:iCs/>
              </w:rPr>
              <w:t>Enteromorpha intestinalis (Ulva intestinalis)</w:t>
            </w:r>
          </w:p>
        </w:tc>
        <w:tc>
          <w:tcPr>
            <w:tcW w:w="1890" w:type="dxa"/>
            <w:tcBorders>
              <w:top w:val="single" w:sz="8" w:space="0" w:color="0D0D0D" w:themeColor="text1" w:themeTint="F2"/>
            </w:tcBorders>
          </w:tcPr>
          <w:p w14:paraId="1DFDA5E8" w14:textId="4304F645" w:rsidR="00F9694B" w:rsidRDefault="00F9694B" w:rsidP="00F9694B">
            <w:pPr>
              <w:cnfStyle w:val="000000000000" w:firstRow="0" w:lastRow="0" w:firstColumn="0" w:lastColumn="0" w:oddVBand="0" w:evenVBand="0" w:oddHBand="0" w:evenHBand="0" w:firstRowFirstColumn="0" w:firstRowLastColumn="0" w:lastRowFirstColumn="0" w:lastRowLastColumn="0"/>
            </w:pPr>
            <w:r>
              <w:t>114.8</w:t>
            </w:r>
          </w:p>
        </w:tc>
        <w:tc>
          <w:tcPr>
            <w:tcW w:w="2970" w:type="dxa"/>
            <w:tcBorders>
              <w:top w:val="single" w:sz="8" w:space="0" w:color="0D0D0D" w:themeColor="text1" w:themeTint="F2"/>
            </w:tcBorders>
          </w:tcPr>
          <w:p w14:paraId="26D28562" w14:textId="4FE226BD" w:rsidR="00F9694B" w:rsidRDefault="00F9694B" w:rsidP="00F9694B">
            <w:pPr>
              <w:cnfStyle w:val="000000000000" w:firstRow="0" w:lastRow="0" w:firstColumn="0" w:lastColumn="0" w:oddVBand="0" w:evenVBand="0" w:oddHBand="0" w:evenHBand="0" w:firstRowFirstColumn="0" w:firstRowLastColumn="0" w:lastRowFirstColumn="0" w:lastRowLastColumn="0"/>
            </w:pPr>
            <w:r>
              <w:t>Hou &amp; Yan, 1998</w:t>
            </w:r>
          </w:p>
        </w:tc>
      </w:tr>
      <w:tr w:rsidR="000B3003" w14:paraId="7886BB37"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bottom w:val="single" w:sz="8" w:space="0" w:color="0D0D0D" w:themeColor="text1" w:themeTint="F2"/>
            </w:tcBorders>
            <w:shd w:val="clear" w:color="auto" w:fill="D9D9D9" w:themeFill="background1" w:themeFillShade="D9"/>
          </w:tcPr>
          <w:p w14:paraId="10481FD5" w14:textId="59F72664" w:rsidR="00F9694B" w:rsidRDefault="00F9694B" w:rsidP="00F9694B">
            <w:r>
              <w:rPr>
                <w:i/>
                <w:iCs/>
              </w:rPr>
              <w:t xml:space="preserve">Enteromorpha </w:t>
            </w:r>
            <w:r>
              <w:t>species</w:t>
            </w:r>
          </w:p>
        </w:tc>
        <w:tc>
          <w:tcPr>
            <w:tcW w:w="2520" w:type="dxa"/>
            <w:tcBorders>
              <w:bottom w:val="single" w:sz="8" w:space="0" w:color="0D0D0D" w:themeColor="text1" w:themeTint="F2"/>
            </w:tcBorders>
            <w:shd w:val="clear" w:color="auto" w:fill="D9D9D9" w:themeFill="background1" w:themeFillShade="D9"/>
          </w:tcPr>
          <w:p w14:paraId="39F9D56B" w14:textId="68C18D51" w:rsidR="00F9694B" w:rsidRPr="000A342B" w:rsidRDefault="00F9694B" w:rsidP="00F9694B">
            <w:pPr>
              <w:cnfStyle w:val="000000100000" w:firstRow="0" w:lastRow="0" w:firstColumn="0" w:lastColumn="0" w:oddVBand="0" w:evenVBand="0" w:oddHBand="1" w:evenHBand="0" w:firstRowFirstColumn="0" w:firstRowLastColumn="0" w:lastRowFirstColumn="0" w:lastRowLastColumn="0"/>
            </w:pPr>
            <w:r>
              <w:rPr>
                <w:i/>
                <w:iCs/>
              </w:rPr>
              <w:t xml:space="preserve">Enteromorpha </w:t>
            </w:r>
            <w:r>
              <w:t>species</w:t>
            </w:r>
          </w:p>
        </w:tc>
        <w:tc>
          <w:tcPr>
            <w:tcW w:w="1890" w:type="dxa"/>
            <w:tcBorders>
              <w:bottom w:val="single" w:sz="8" w:space="0" w:color="0D0D0D" w:themeColor="text1" w:themeTint="F2"/>
            </w:tcBorders>
            <w:shd w:val="clear" w:color="auto" w:fill="D9D9D9" w:themeFill="background1" w:themeFillShade="D9"/>
          </w:tcPr>
          <w:p w14:paraId="407D35B3" w14:textId="311BA877" w:rsidR="00F9694B" w:rsidRDefault="00F9694B" w:rsidP="00F9694B">
            <w:pPr>
              <w:cnfStyle w:val="000000100000" w:firstRow="0" w:lastRow="0" w:firstColumn="0" w:lastColumn="0" w:oddVBand="0" w:evenVBand="0" w:oddHBand="1" w:evenHBand="0" w:firstRowFirstColumn="0" w:firstRowLastColumn="0" w:lastRowFirstColumn="0" w:lastRowLastColumn="0"/>
            </w:pPr>
            <w:r>
              <w:t>63.5</w:t>
            </w:r>
          </w:p>
        </w:tc>
        <w:tc>
          <w:tcPr>
            <w:tcW w:w="2970" w:type="dxa"/>
            <w:tcBorders>
              <w:bottom w:val="single" w:sz="8" w:space="0" w:color="0D0D0D" w:themeColor="text1" w:themeTint="F2"/>
            </w:tcBorders>
            <w:shd w:val="clear" w:color="auto" w:fill="D9D9D9" w:themeFill="background1" w:themeFillShade="D9"/>
          </w:tcPr>
          <w:p w14:paraId="1E81E6FA" w14:textId="78D5F19F" w:rsidR="00F9694B" w:rsidRDefault="00F9694B" w:rsidP="00F9694B">
            <w:pPr>
              <w:cnfStyle w:val="000000100000" w:firstRow="0" w:lastRow="0" w:firstColumn="0" w:lastColumn="0" w:oddVBand="0" w:evenVBand="0" w:oddHBand="1" w:evenHBand="0" w:firstRowFirstColumn="0" w:firstRowLastColumn="0" w:lastRowFirstColumn="0" w:lastRowLastColumn="0"/>
            </w:pPr>
            <w:r>
              <w:t>Watanabe et al., 1999</w:t>
            </w:r>
          </w:p>
        </w:tc>
      </w:tr>
      <w:tr w:rsidR="00F9694B" w14:paraId="40EEEEFF"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bottom w:val="single" w:sz="8" w:space="0" w:color="0D0D0D" w:themeColor="text1" w:themeTint="F2"/>
            </w:tcBorders>
          </w:tcPr>
          <w:p w14:paraId="076559C6" w14:textId="7988B8FE" w:rsidR="00F9694B" w:rsidRDefault="00F9694B" w:rsidP="00F9694B">
            <w:r>
              <w:rPr>
                <w:i/>
                <w:iCs/>
              </w:rPr>
              <w:t>Monostroma fragile</w:t>
            </w:r>
          </w:p>
        </w:tc>
        <w:tc>
          <w:tcPr>
            <w:tcW w:w="2520" w:type="dxa"/>
            <w:tcBorders>
              <w:top w:val="single" w:sz="8" w:space="0" w:color="0D0D0D" w:themeColor="text1" w:themeTint="F2"/>
              <w:bottom w:val="single" w:sz="8" w:space="0" w:color="0D0D0D" w:themeColor="text1" w:themeTint="F2"/>
            </w:tcBorders>
          </w:tcPr>
          <w:p w14:paraId="5631B36E" w14:textId="03AC3633" w:rsidR="00F9694B" w:rsidRDefault="00F9694B" w:rsidP="00F9694B">
            <w:pPr>
              <w:cnfStyle w:val="000000000000" w:firstRow="0" w:lastRow="0" w:firstColumn="0" w:lastColumn="0" w:oddVBand="0" w:evenVBand="0" w:oddHBand="0" w:evenHBand="0" w:firstRowFirstColumn="0" w:firstRowLastColumn="0" w:lastRowFirstColumn="0" w:lastRowLastColumn="0"/>
              <w:rPr>
                <w:i/>
                <w:iCs/>
              </w:rPr>
            </w:pPr>
            <w:r>
              <w:rPr>
                <w:i/>
                <w:iCs/>
              </w:rPr>
              <w:t>Monostroma fragile</w:t>
            </w:r>
          </w:p>
        </w:tc>
        <w:tc>
          <w:tcPr>
            <w:tcW w:w="1890" w:type="dxa"/>
            <w:tcBorders>
              <w:top w:val="single" w:sz="8" w:space="0" w:color="0D0D0D" w:themeColor="text1" w:themeTint="F2"/>
              <w:bottom w:val="single" w:sz="8" w:space="0" w:color="0D0D0D" w:themeColor="text1" w:themeTint="F2"/>
            </w:tcBorders>
          </w:tcPr>
          <w:p w14:paraId="4BBD6D22" w14:textId="64D30290" w:rsidR="00F9694B" w:rsidRDefault="00F9694B" w:rsidP="00F9694B">
            <w:pPr>
              <w:cnfStyle w:val="000000000000" w:firstRow="0" w:lastRow="0" w:firstColumn="0" w:lastColumn="0" w:oddVBand="0" w:evenVBand="0" w:oddHBand="0" w:evenHBand="0" w:firstRowFirstColumn="0" w:firstRowLastColumn="0" w:lastRowFirstColumn="0" w:lastRowLastColumn="0"/>
            </w:pPr>
            <w:r>
              <w:t>63.6</w:t>
            </w:r>
          </w:p>
        </w:tc>
        <w:tc>
          <w:tcPr>
            <w:tcW w:w="2970" w:type="dxa"/>
            <w:tcBorders>
              <w:top w:val="single" w:sz="8" w:space="0" w:color="0D0D0D" w:themeColor="text1" w:themeTint="F2"/>
              <w:bottom w:val="single" w:sz="8" w:space="0" w:color="0D0D0D" w:themeColor="text1" w:themeTint="F2"/>
            </w:tcBorders>
          </w:tcPr>
          <w:p w14:paraId="3D1099F4" w14:textId="3F71DD46" w:rsidR="00F9694B" w:rsidRDefault="00F9694B" w:rsidP="00F9694B">
            <w:pPr>
              <w:cnfStyle w:val="000000000000" w:firstRow="0" w:lastRow="0" w:firstColumn="0" w:lastColumn="0" w:oddVBand="0" w:evenVBand="0" w:oddHBand="0" w:evenHBand="0" w:firstRowFirstColumn="0" w:firstRowLastColumn="0" w:lastRowFirstColumn="0" w:lastRowLastColumn="0"/>
            </w:pPr>
            <w:r>
              <w:t>Hou &amp; Yan, 1998</w:t>
            </w:r>
          </w:p>
        </w:tc>
      </w:tr>
      <w:tr w:rsidR="009B73BE" w14:paraId="1C89EE66"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tcBorders>
            <w:shd w:val="clear" w:color="auto" w:fill="D9D9D9" w:themeFill="background1" w:themeFillShade="D9"/>
          </w:tcPr>
          <w:p w14:paraId="2830096E" w14:textId="46491553" w:rsidR="000A342B" w:rsidRDefault="000A342B" w:rsidP="00DD0681">
            <w:r>
              <w:t>Dead Man’s Fingers</w:t>
            </w:r>
          </w:p>
        </w:tc>
        <w:tc>
          <w:tcPr>
            <w:tcW w:w="2520" w:type="dxa"/>
            <w:tcBorders>
              <w:top w:val="single" w:sz="8" w:space="0" w:color="0D0D0D" w:themeColor="text1" w:themeTint="F2"/>
            </w:tcBorders>
            <w:shd w:val="clear" w:color="auto" w:fill="D9D9D9" w:themeFill="background1" w:themeFillShade="D9"/>
          </w:tcPr>
          <w:p w14:paraId="55E684EB" w14:textId="6FA8619E" w:rsidR="000A342B" w:rsidRPr="000A342B" w:rsidRDefault="000A342B" w:rsidP="00DD0681">
            <w:pPr>
              <w:cnfStyle w:val="000000100000" w:firstRow="0" w:lastRow="0" w:firstColumn="0" w:lastColumn="0" w:oddVBand="0" w:evenVBand="0" w:oddHBand="1" w:evenHBand="0" w:firstRowFirstColumn="0" w:firstRowLastColumn="0" w:lastRowFirstColumn="0" w:lastRowLastColumn="0"/>
              <w:rPr>
                <w:i/>
                <w:iCs/>
              </w:rPr>
            </w:pPr>
            <w:r>
              <w:rPr>
                <w:i/>
                <w:iCs/>
              </w:rPr>
              <w:t>Codium fragile</w:t>
            </w:r>
          </w:p>
        </w:tc>
        <w:tc>
          <w:tcPr>
            <w:tcW w:w="1890" w:type="dxa"/>
            <w:tcBorders>
              <w:top w:val="single" w:sz="8" w:space="0" w:color="0D0D0D" w:themeColor="text1" w:themeTint="F2"/>
            </w:tcBorders>
            <w:shd w:val="clear" w:color="auto" w:fill="D9D9D9" w:themeFill="background1" w:themeFillShade="D9"/>
          </w:tcPr>
          <w:p w14:paraId="078621E9" w14:textId="069589CF" w:rsidR="000A342B" w:rsidRDefault="000A342B" w:rsidP="00DD0681">
            <w:pPr>
              <w:cnfStyle w:val="000000100000" w:firstRow="0" w:lastRow="0" w:firstColumn="0" w:lastColumn="0" w:oddVBand="0" w:evenVBand="0" w:oddHBand="1" w:evenHBand="0" w:firstRowFirstColumn="0" w:firstRowLastColumn="0" w:lastRowFirstColumn="0" w:lastRowLastColumn="0"/>
            </w:pPr>
            <w:r>
              <w:t>154</w:t>
            </w:r>
          </w:p>
        </w:tc>
        <w:tc>
          <w:tcPr>
            <w:tcW w:w="2970" w:type="dxa"/>
            <w:tcBorders>
              <w:top w:val="single" w:sz="8" w:space="0" w:color="0D0D0D" w:themeColor="text1" w:themeTint="F2"/>
            </w:tcBorders>
            <w:shd w:val="clear" w:color="auto" w:fill="D9D9D9" w:themeFill="background1" w:themeFillShade="D9"/>
          </w:tcPr>
          <w:p w14:paraId="3FCFA8C2" w14:textId="46341687" w:rsidR="000A342B" w:rsidRDefault="000A342B" w:rsidP="00DD0681">
            <w:pPr>
              <w:cnfStyle w:val="000000100000" w:firstRow="0" w:lastRow="0" w:firstColumn="0" w:lastColumn="0" w:oddVBand="0" w:evenVBand="0" w:oddHBand="1" w:evenHBand="0" w:firstRowFirstColumn="0" w:firstRowLastColumn="0" w:lastRowFirstColumn="0" w:lastRowLastColumn="0"/>
            </w:pPr>
            <w:r>
              <w:t>Hou &amp; Yan, 1998</w:t>
            </w:r>
          </w:p>
        </w:tc>
      </w:tr>
      <w:tr w:rsidR="000A342B" w14:paraId="3D8DAE09" w14:textId="77777777" w:rsidTr="007E4940">
        <w:tc>
          <w:tcPr>
            <w:cnfStyle w:val="001000000000" w:firstRow="0" w:lastRow="0" w:firstColumn="1" w:lastColumn="0" w:oddVBand="0" w:evenVBand="0" w:oddHBand="0" w:evenHBand="0" w:firstRowFirstColumn="0" w:firstRowLastColumn="0" w:lastRowFirstColumn="0" w:lastRowLastColumn="0"/>
            <w:tcW w:w="2335" w:type="dxa"/>
            <w:tcBorders>
              <w:bottom w:val="single" w:sz="8" w:space="0" w:color="0D0D0D" w:themeColor="text1" w:themeTint="F2"/>
            </w:tcBorders>
          </w:tcPr>
          <w:p w14:paraId="728B8350" w14:textId="1DBB5FA5" w:rsidR="000A342B" w:rsidRDefault="000A342B" w:rsidP="00DD0681">
            <w:r>
              <w:t>Dean Man’s Fingers</w:t>
            </w:r>
          </w:p>
        </w:tc>
        <w:tc>
          <w:tcPr>
            <w:tcW w:w="2520" w:type="dxa"/>
            <w:tcBorders>
              <w:bottom w:val="single" w:sz="8" w:space="0" w:color="0D0D0D" w:themeColor="text1" w:themeTint="F2"/>
            </w:tcBorders>
          </w:tcPr>
          <w:p w14:paraId="6D39801B" w14:textId="5921E285" w:rsidR="000A342B" w:rsidRPr="000A342B" w:rsidRDefault="000A342B" w:rsidP="00DD0681">
            <w:pPr>
              <w:cnfStyle w:val="000000000000" w:firstRow="0" w:lastRow="0" w:firstColumn="0" w:lastColumn="0" w:oddVBand="0" w:evenVBand="0" w:oddHBand="0" w:evenHBand="0" w:firstRowFirstColumn="0" w:firstRowLastColumn="0" w:lastRowFirstColumn="0" w:lastRowLastColumn="0"/>
              <w:rPr>
                <w:i/>
                <w:iCs/>
              </w:rPr>
            </w:pPr>
            <w:r>
              <w:rPr>
                <w:i/>
                <w:iCs/>
              </w:rPr>
              <w:t>Codium fragile</w:t>
            </w:r>
          </w:p>
        </w:tc>
        <w:tc>
          <w:tcPr>
            <w:tcW w:w="1890" w:type="dxa"/>
            <w:tcBorders>
              <w:bottom w:val="single" w:sz="8" w:space="0" w:color="0D0D0D" w:themeColor="text1" w:themeTint="F2"/>
            </w:tcBorders>
          </w:tcPr>
          <w:p w14:paraId="51F48950" w14:textId="40F17B7E" w:rsidR="000A342B" w:rsidRDefault="000A342B" w:rsidP="00DD0681">
            <w:pPr>
              <w:cnfStyle w:val="000000000000" w:firstRow="0" w:lastRow="0" w:firstColumn="0" w:lastColumn="0" w:oddVBand="0" w:evenVBand="0" w:oddHBand="0" w:evenHBand="0" w:firstRowFirstColumn="0" w:firstRowLastColumn="0" w:lastRowFirstColumn="0" w:lastRowLastColumn="0"/>
            </w:pPr>
            <w:r>
              <w:t>41</w:t>
            </w:r>
          </w:p>
        </w:tc>
        <w:tc>
          <w:tcPr>
            <w:tcW w:w="2970" w:type="dxa"/>
            <w:tcBorders>
              <w:bottom w:val="single" w:sz="8" w:space="0" w:color="0D0D0D" w:themeColor="text1" w:themeTint="F2"/>
            </w:tcBorders>
          </w:tcPr>
          <w:p w14:paraId="2D44A57E" w14:textId="64FC8826" w:rsidR="000A342B" w:rsidRDefault="000A342B" w:rsidP="00DD0681">
            <w:pPr>
              <w:cnfStyle w:val="000000000000" w:firstRow="0" w:lastRow="0" w:firstColumn="0" w:lastColumn="0" w:oddVBand="0" w:evenVBand="0" w:oddHBand="0" w:evenHBand="0" w:firstRowFirstColumn="0" w:firstRowLastColumn="0" w:lastRowFirstColumn="0" w:lastRowLastColumn="0"/>
            </w:pPr>
            <w:r>
              <w:t>Nitschke &amp; Stengel, 2015</w:t>
            </w:r>
          </w:p>
        </w:tc>
      </w:tr>
      <w:tr w:rsidR="009B73BE" w14:paraId="73950592"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single" w:sz="8" w:space="0" w:color="0D0D0D" w:themeColor="text1" w:themeTint="F2"/>
            </w:tcBorders>
            <w:shd w:val="clear" w:color="auto" w:fill="D9D9D9" w:themeFill="background1" w:themeFillShade="D9"/>
          </w:tcPr>
          <w:p w14:paraId="7F5A723F" w14:textId="0B7AFA39" w:rsidR="000A342B" w:rsidRDefault="000A342B" w:rsidP="00DD0681">
            <w:r>
              <w:t>Sea Lettuce</w:t>
            </w:r>
          </w:p>
        </w:tc>
        <w:tc>
          <w:tcPr>
            <w:tcW w:w="2520" w:type="dxa"/>
            <w:tcBorders>
              <w:top w:val="single" w:sz="8" w:space="0" w:color="0D0D0D" w:themeColor="text1" w:themeTint="F2"/>
            </w:tcBorders>
            <w:shd w:val="clear" w:color="auto" w:fill="D9D9D9" w:themeFill="background1" w:themeFillShade="D9"/>
          </w:tcPr>
          <w:p w14:paraId="4BDDD911" w14:textId="274AE6B8" w:rsidR="000A342B" w:rsidRPr="000A342B" w:rsidRDefault="000A342B" w:rsidP="00DD0681">
            <w:pPr>
              <w:cnfStyle w:val="000000100000" w:firstRow="0" w:lastRow="0" w:firstColumn="0" w:lastColumn="0" w:oddVBand="0" w:evenVBand="0" w:oddHBand="1" w:evenHBand="0" w:firstRowFirstColumn="0" w:firstRowLastColumn="0" w:lastRowFirstColumn="0" w:lastRowLastColumn="0"/>
              <w:rPr>
                <w:i/>
                <w:iCs/>
              </w:rPr>
            </w:pPr>
            <w:r>
              <w:rPr>
                <w:i/>
                <w:iCs/>
              </w:rPr>
              <w:t>Ulva intestinalis</w:t>
            </w:r>
          </w:p>
        </w:tc>
        <w:tc>
          <w:tcPr>
            <w:tcW w:w="1890" w:type="dxa"/>
            <w:tcBorders>
              <w:top w:val="single" w:sz="8" w:space="0" w:color="0D0D0D" w:themeColor="text1" w:themeTint="F2"/>
            </w:tcBorders>
            <w:shd w:val="clear" w:color="auto" w:fill="D9D9D9" w:themeFill="background1" w:themeFillShade="D9"/>
          </w:tcPr>
          <w:p w14:paraId="18DD3686" w14:textId="2A5687E8" w:rsidR="000A342B" w:rsidRDefault="000A342B" w:rsidP="00DD0681">
            <w:pPr>
              <w:cnfStyle w:val="000000100000" w:firstRow="0" w:lastRow="0" w:firstColumn="0" w:lastColumn="0" w:oddVBand="0" w:evenVBand="0" w:oddHBand="1" w:evenHBand="0" w:firstRowFirstColumn="0" w:firstRowLastColumn="0" w:lastRowFirstColumn="0" w:lastRowLastColumn="0"/>
            </w:pPr>
            <w:r>
              <w:t>79</w:t>
            </w:r>
          </w:p>
        </w:tc>
        <w:tc>
          <w:tcPr>
            <w:tcW w:w="2970" w:type="dxa"/>
            <w:tcBorders>
              <w:top w:val="single" w:sz="8" w:space="0" w:color="0D0D0D" w:themeColor="text1" w:themeTint="F2"/>
            </w:tcBorders>
            <w:shd w:val="clear" w:color="auto" w:fill="D9D9D9" w:themeFill="background1" w:themeFillShade="D9"/>
          </w:tcPr>
          <w:p w14:paraId="798161E2" w14:textId="78EA2A19" w:rsidR="000A342B" w:rsidRDefault="000A342B" w:rsidP="00DD0681">
            <w:pPr>
              <w:cnfStyle w:val="000000100000" w:firstRow="0" w:lastRow="0" w:firstColumn="0" w:lastColumn="0" w:oddVBand="0" w:evenVBand="0" w:oddHBand="1" w:evenHBand="0" w:firstRowFirstColumn="0" w:firstRowLastColumn="0" w:lastRowFirstColumn="0" w:lastRowLastColumn="0"/>
            </w:pPr>
            <w:r>
              <w:t>Nitschke &amp; Stengel, 2015</w:t>
            </w:r>
          </w:p>
        </w:tc>
      </w:tr>
      <w:tr w:rsidR="000A342B" w14:paraId="152D0E16" w14:textId="77777777" w:rsidTr="007E4940">
        <w:tc>
          <w:tcPr>
            <w:cnfStyle w:val="001000000000" w:firstRow="0" w:lastRow="0" w:firstColumn="1" w:lastColumn="0" w:oddVBand="0" w:evenVBand="0" w:oddHBand="0" w:evenHBand="0" w:firstRowFirstColumn="0" w:firstRowLastColumn="0" w:lastRowFirstColumn="0" w:lastRowLastColumn="0"/>
            <w:tcW w:w="2335" w:type="dxa"/>
          </w:tcPr>
          <w:p w14:paraId="77D09111" w14:textId="6F3F0B4B" w:rsidR="000A342B" w:rsidRDefault="000A342B" w:rsidP="00DD0681">
            <w:r>
              <w:t>Sea Lettuce</w:t>
            </w:r>
          </w:p>
        </w:tc>
        <w:tc>
          <w:tcPr>
            <w:tcW w:w="2520" w:type="dxa"/>
          </w:tcPr>
          <w:p w14:paraId="175A224E" w14:textId="29E16861" w:rsidR="000A342B" w:rsidRPr="000A342B" w:rsidRDefault="000A342B" w:rsidP="00DD0681">
            <w:pPr>
              <w:cnfStyle w:val="000000000000" w:firstRow="0" w:lastRow="0" w:firstColumn="0" w:lastColumn="0" w:oddVBand="0" w:evenVBand="0" w:oddHBand="0" w:evenHBand="0" w:firstRowFirstColumn="0" w:firstRowLastColumn="0" w:lastRowFirstColumn="0" w:lastRowLastColumn="0"/>
              <w:rPr>
                <w:i/>
                <w:iCs/>
              </w:rPr>
            </w:pPr>
            <w:r>
              <w:rPr>
                <w:i/>
                <w:iCs/>
              </w:rPr>
              <w:t>Ulva intestinalis</w:t>
            </w:r>
          </w:p>
        </w:tc>
        <w:tc>
          <w:tcPr>
            <w:tcW w:w="1890" w:type="dxa"/>
          </w:tcPr>
          <w:p w14:paraId="77E2B7D0" w14:textId="68E75FFE" w:rsidR="000A342B" w:rsidRDefault="000A342B" w:rsidP="00DD0681">
            <w:pPr>
              <w:cnfStyle w:val="000000000000" w:firstRow="0" w:lastRow="0" w:firstColumn="0" w:lastColumn="0" w:oddVBand="0" w:evenVBand="0" w:oddHBand="0" w:evenHBand="0" w:firstRowFirstColumn="0" w:firstRowLastColumn="0" w:lastRowFirstColumn="0" w:lastRowLastColumn="0"/>
            </w:pPr>
            <w:r>
              <w:t>92</w:t>
            </w:r>
          </w:p>
        </w:tc>
        <w:tc>
          <w:tcPr>
            <w:tcW w:w="2970" w:type="dxa"/>
          </w:tcPr>
          <w:p w14:paraId="4FB2B094" w14:textId="1A9DB379" w:rsidR="000A342B" w:rsidRDefault="000A342B" w:rsidP="00DD0681">
            <w:pPr>
              <w:cnfStyle w:val="000000000000" w:firstRow="0" w:lastRow="0" w:firstColumn="0" w:lastColumn="0" w:oddVBand="0" w:evenVBand="0" w:oddHBand="0" w:evenHBand="0" w:firstRowFirstColumn="0" w:firstRowLastColumn="0" w:lastRowFirstColumn="0" w:lastRowLastColumn="0"/>
            </w:pPr>
            <w:r>
              <w:t>Nitschke &amp; Stengel, 2016</w:t>
            </w:r>
          </w:p>
        </w:tc>
      </w:tr>
      <w:tr w:rsidR="009B73BE" w14:paraId="13A8A224"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tcPr>
          <w:p w14:paraId="6A49D552" w14:textId="60A13E6C" w:rsidR="000A342B" w:rsidRDefault="000A342B" w:rsidP="00DD0681">
            <w:r>
              <w:t>Sea Lettuce</w:t>
            </w:r>
          </w:p>
        </w:tc>
        <w:tc>
          <w:tcPr>
            <w:tcW w:w="2520" w:type="dxa"/>
            <w:shd w:val="clear" w:color="auto" w:fill="D9D9D9" w:themeFill="background1" w:themeFillShade="D9"/>
          </w:tcPr>
          <w:p w14:paraId="2D89A4EC" w14:textId="5D89D620" w:rsidR="000A342B" w:rsidRPr="000A342B" w:rsidRDefault="000A342B" w:rsidP="00DD0681">
            <w:pPr>
              <w:cnfStyle w:val="000000100000" w:firstRow="0" w:lastRow="0" w:firstColumn="0" w:lastColumn="0" w:oddVBand="0" w:evenVBand="0" w:oddHBand="1" w:evenHBand="0" w:firstRowFirstColumn="0" w:firstRowLastColumn="0" w:lastRowFirstColumn="0" w:lastRowLastColumn="0"/>
              <w:rPr>
                <w:i/>
                <w:iCs/>
              </w:rPr>
            </w:pPr>
            <w:r>
              <w:rPr>
                <w:i/>
                <w:iCs/>
              </w:rPr>
              <w:t>Ulva lactuca</w:t>
            </w:r>
          </w:p>
        </w:tc>
        <w:tc>
          <w:tcPr>
            <w:tcW w:w="1890" w:type="dxa"/>
            <w:shd w:val="clear" w:color="auto" w:fill="D9D9D9" w:themeFill="background1" w:themeFillShade="D9"/>
          </w:tcPr>
          <w:p w14:paraId="1488CE6C" w14:textId="322E2C7D" w:rsidR="000A342B" w:rsidRDefault="000A342B" w:rsidP="00DD0681">
            <w:pPr>
              <w:cnfStyle w:val="000000100000" w:firstRow="0" w:lastRow="0" w:firstColumn="0" w:lastColumn="0" w:oddVBand="0" w:evenVBand="0" w:oddHBand="1" w:evenHBand="0" w:firstRowFirstColumn="0" w:firstRowLastColumn="0" w:lastRowFirstColumn="0" w:lastRowLastColumn="0"/>
            </w:pPr>
            <w:r>
              <w:t>53.8</w:t>
            </w:r>
          </w:p>
        </w:tc>
        <w:tc>
          <w:tcPr>
            <w:tcW w:w="2970" w:type="dxa"/>
            <w:shd w:val="clear" w:color="auto" w:fill="D9D9D9" w:themeFill="background1" w:themeFillShade="D9"/>
          </w:tcPr>
          <w:p w14:paraId="5F63D329" w14:textId="1732EE52" w:rsidR="000A342B" w:rsidRDefault="000A342B" w:rsidP="00DD0681">
            <w:pPr>
              <w:cnfStyle w:val="000000100000" w:firstRow="0" w:lastRow="0" w:firstColumn="0" w:lastColumn="0" w:oddVBand="0" w:evenVBand="0" w:oddHBand="1" w:evenHBand="0" w:firstRowFirstColumn="0" w:firstRowLastColumn="0" w:lastRowFirstColumn="0" w:lastRowLastColumn="0"/>
            </w:pPr>
            <w:r>
              <w:t>Hou &amp; Yan, 1998</w:t>
            </w:r>
          </w:p>
        </w:tc>
      </w:tr>
      <w:tr w:rsidR="000A342B" w14:paraId="38CEE88B" w14:textId="77777777" w:rsidTr="007E4940">
        <w:tc>
          <w:tcPr>
            <w:cnfStyle w:val="001000000000" w:firstRow="0" w:lastRow="0" w:firstColumn="1" w:lastColumn="0" w:oddVBand="0" w:evenVBand="0" w:oddHBand="0" w:evenHBand="0" w:firstRowFirstColumn="0" w:firstRowLastColumn="0" w:lastRowFirstColumn="0" w:lastRowLastColumn="0"/>
            <w:tcW w:w="2335" w:type="dxa"/>
          </w:tcPr>
          <w:p w14:paraId="4760F52D" w14:textId="24E4AA0D" w:rsidR="000A342B" w:rsidRDefault="000A342B" w:rsidP="00DD0681">
            <w:r>
              <w:t>Sea Lettuce</w:t>
            </w:r>
          </w:p>
        </w:tc>
        <w:tc>
          <w:tcPr>
            <w:tcW w:w="2520" w:type="dxa"/>
          </w:tcPr>
          <w:p w14:paraId="6DAA9EBB" w14:textId="4C989680" w:rsidR="000A342B" w:rsidRPr="000A342B" w:rsidRDefault="000A342B" w:rsidP="00DD0681">
            <w:pPr>
              <w:cnfStyle w:val="000000000000" w:firstRow="0" w:lastRow="0" w:firstColumn="0" w:lastColumn="0" w:oddVBand="0" w:evenVBand="0" w:oddHBand="0" w:evenHBand="0" w:firstRowFirstColumn="0" w:firstRowLastColumn="0" w:lastRowFirstColumn="0" w:lastRowLastColumn="0"/>
              <w:rPr>
                <w:i/>
                <w:iCs/>
              </w:rPr>
            </w:pPr>
            <w:r>
              <w:rPr>
                <w:i/>
                <w:iCs/>
              </w:rPr>
              <w:t>Ulva lactuca</w:t>
            </w:r>
          </w:p>
        </w:tc>
        <w:tc>
          <w:tcPr>
            <w:tcW w:w="1890" w:type="dxa"/>
          </w:tcPr>
          <w:p w14:paraId="45984E8A" w14:textId="75FFBAB4" w:rsidR="000A342B" w:rsidRDefault="000A342B" w:rsidP="00DD0681">
            <w:pPr>
              <w:cnfStyle w:val="000000000000" w:firstRow="0" w:lastRow="0" w:firstColumn="0" w:lastColumn="0" w:oddVBand="0" w:evenVBand="0" w:oddHBand="0" w:evenHBand="0" w:firstRowFirstColumn="0" w:firstRowLastColumn="0" w:lastRowFirstColumn="0" w:lastRowLastColumn="0"/>
            </w:pPr>
            <w:r>
              <w:t>63</w:t>
            </w:r>
          </w:p>
        </w:tc>
        <w:tc>
          <w:tcPr>
            <w:tcW w:w="2970" w:type="dxa"/>
          </w:tcPr>
          <w:p w14:paraId="7F09DF78" w14:textId="7BAD115C" w:rsidR="000A342B" w:rsidRDefault="000A342B" w:rsidP="00DD0681">
            <w:pPr>
              <w:cnfStyle w:val="000000000000" w:firstRow="0" w:lastRow="0" w:firstColumn="0" w:lastColumn="0" w:oddVBand="0" w:evenVBand="0" w:oddHBand="0" w:evenHBand="0" w:firstRowFirstColumn="0" w:firstRowLastColumn="0" w:lastRowFirstColumn="0" w:lastRowLastColumn="0"/>
            </w:pPr>
            <w:r>
              <w:t>Nitschke &amp; Stengel, 2015</w:t>
            </w:r>
          </w:p>
        </w:tc>
      </w:tr>
      <w:tr w:rsidR="009B73BE" w14:paraId="5A6D4132"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tcPr>
          <w:p w14:paraId="5DEE8B2B" w14:textId="735C6F04" w:rsidR="000A342B" w:rsidRDefault="000A342B" w:rsidP="00DD0681">
            <w:r>
              <w:t>Sea Lettuce</w:t>
            </w:r>
          </w:p>
        </w:tc>
        <w:tc>
          <w:tcPr>
            <w:tcW w:w="2520" w:type="dxa"/>
            <w:shd w:val="clear" w:color="auto" w:fill="D9D9D9" w:themeFill="background1" w:themeFillShade="D9"/>
          </w:tcPr>
          <w:p w14:paraId="235DE297" w14:textId="1D8B322E" w:rsidR="000A342B" w:rsidRPr="000A342B" w:rsidRDefault="000A342B" w:rsidP="00DD0681">
            <w:pPr>
              <w:cnfStyle w:val="000000100000" w:firstRow="0" w:lastRow="0" w:firstColumn="0" w:lastColumn="0" w:oddVBand="0" w:evenVBand="0" w:oddHBand="1" w:evenHBand="0" w:firstRowFirstColumn="0" w:firstRowLastColumn="0" w:lastRowFirstColumn="0" w:lastRowLastColumn="0"/>
              <w:rPr>
                <w:i/>
                <w:iCs/>
              </w:rPr>
            </w:pPr>
            <w:r>
              <w:rPr>
                <w:i/>
                <w:iCs/>
              </w:rPr>
              <w:t>Ulva lactuca</w:t>
            </w:r>
          </w:p>
        </w:tc>
        <w:tc>
          <w:tcPr>
            <w:tcW w:w="1890" w:type="dxa"/>
            <w:shd w:val="clear" w:color="auto" w:fill="D9D9D9" w:themeFill="background1" w:themeFillShade="D9"/>
          </w:tcPr>
          <w:p w14:paraId="63CA78E5" w14:textId="43DF02FB" w:rsidR="000A342B" w:rsidRDefault="000A342B" w:rsidP="00DD0681">
            <w:pPr>
              <w:cnfStyle w:val="000000100000" w:firstRow="0" w:lastRow="0" w:firstColumn="0" w:lastColumn="0" w:oddVBand="0" w:evenVBand="0" w:oddHBand="1" w:evenHBand="0" w:firstRowFirstColumn="0" w:firstRowLastColumn="0" w:lastRowFirstColumn="0" w:lastRowLastColumn="0"/>
            </w:pPr>
            <w:r>
              <w:t>17.2</w:t>
            </w:r>
            <w:r w:rsidRPr="0035746E">
              <w:rPr>
                <w:rFonts w:cs="Calibri"/>
                <w:color w:val="000000"/>
              </w:rPr>
              <w:t>–</w:t>
            </w:r>
            <w:r>
              <w:t>20.8</w:t>
            </w:r>
          </w:p>
        </w:tc>
        <w:tc>
          <w:tcPr>
            <w:tcW w:w="2970" w:type="dxa"/>
            <w:shd w:val="clear" w:color="auto" w:fill="D9D9D9" w:themeFill="background1" w:themeFillShade="D9"/>
          </w:tcPr>
          <w:p w14:paraId="698CD250" w14:textId="1D0A8384" w:rsidR="000A342B" w:rsidRDefault="000A342B" w:rsidP="00DD0681">
            <w:pPr>
              <w:cnfStyle w:val="000000100000" w:firstRow="0" w:lastRow="0" w:firstColumn="0" w:lastColumn="0" w:oddVBand="0" w:evenVBand="0" w:oddHBand="1" w:evenHBand="0" w:firstRowFirstColumn="0" w:firstRowLastColumn="0" w:lastRowFirstColumn="0" w:lastRowLastColumn="0"/>
            </w:pPr>
            <w:r w:rsidRPr="000A342B">
              <w:t>Sá Monteiro et al., 2019</w:t>
            </w:r>
          </w:p>
        </w:tc>
      </w:tr>
      <w:tr w:rsidR="000A342B" w14:paraId="14659AED" w14:textId="77777777" w:rsidTr="007E4940">
        <w:tc>
          <w:tcPr>
            <w:cnfStyle w:val="001000000000" w:firstRow="0" w:lastRow="0" w:firstColumn="1" w:lastColumn="0" w:oddVBand="0" w:evenVBand="0" w:oddHBand="0" w:evenHBand="0" w:firstRowFirstColumn="0" w:firstRowLastColumn="0" w:lastRowFirstColumn="0" w:lastRowLastColumn="0"/>
            <w:tcW w:w="2335" w:type="dxa"/>
          </w:tcPr>
          <w:p w14:paraId="70EFDABB" w14:textId="4F198506" w:rsidR="000A342B" w:rsidRDefault="00207A8C" w:rsidP="00DD0681">
            <w:r>
              <w:t>Sea Lettuce</w:t>
            </w:r>
          </w:p>
        </w:tc>
        <w:tc>
          <w:tcPr>
            <w:tcW w:w="2520" w:type="dxa"/>
          </w:tcPr>
          <w:p w14:paraId="3CA73045" w14:textId="6918F3BC" w:rsidR="000A342B" w:rsidRDefault="00207A8C" w:rsidP="00DD0681">
            <w:pPr>
              <w:cnfStyle w:val="000000000000" w:firstRow="0" w:lastRow="0" w:firstColumn="0" w:lastColumn="0" w:oddVBand="0" w:evenVBand="0" w:oddHBand="0" w:evenHBand="0" w:firstRowFirstColumn="0" w:firstRowLastColumn="0" w:lastRowFirstColumn="0" w:lastRowLastColumn="0"/>
              <w:rPr>
                <w:i/>
                <w:iCs/>
              </w:rPr>
            </w:pPr>
            <w:r>
              <w:rPr>
                <w:i/>
                <w:iCs/>
              </w:rPr>
              <w:t>Ulva pertusa</w:t>
            </w:r>
          </w:p>
        </w:tc>
        <w:tc>
          <w:tcPr>
            <w:tcW w:w="1890" w:type="dxa"/>
          </w:tcPr>
          <w:p w14:paraId="74F3961D" w14:textId="06EE62BD" w:rsidR="000A342B" w:rsidRDefault="00207A8C" w:rsidP="00DD0681">
            <w:pPr>
              <w:cnfStyle w:val="000000000000" w:firstRow="0" w:lastRow="0" w:firstColumn="0" w:lastColumn="0" w:oddVBand="0" w:evenVBand="0" w:oddHBand="0" w:evenHBand="0" w:firstRowFirstColumn="0" w:firstRowLastColumn="0" w:lastRowFirstColumn="0" w:lastRowLastColumn="0"/>
            </w:pPr>
            <w:r>
              <w:t>12.9</w:t>
            </w:r>
            <w:r w:rsidRPr="0035746E">
              <w:rPr>
                <w:rFonts w:cs="Calibri"/>
                <w:color w:val="000000"/>
              </w:rPr>
              <w:t>–</w:t>
            </w:r>
            <w:r>
              <w:rPr>
                <w:rFonts w:cs="Calibri"/>
                <w:color w:val="000000"/>
              </w:rPr>
              <w:t>33.2</w:t>
            </w:r>
          </w:p>
        </w:tc>
        <w:tc>
          <w:tcPr>
            <w:tcW w:w="2970" w:type="dxa"/>
          </w:tcPr>
          <w:p w14:paraId="3FD2C894" w14:textId="76A562AB" w:rsidR="000A342B" w:rsidRPr="000A342B" w:rsidRDefault="00207A8C" w:rsidP="00DD0681">
            <w:pPr>
              <w:cnfStyle w:val="000000000000" w:firstRow="0" w:lastRow="0" w:firstColumn="0" w:lastColumn="0" w:oddVBand="0" w:evenVBand="0" w:oddHBand="0" w:evenHBand="0" w:firstRowFirstColumn="0" w:firstRowLastColumn="0" w:lastRowFirstColumn="0" w:lastRowLastColumn="0"/>
            </w:pPr>
            <w:r>
              <w:t>Hou &amp; Yan, 1998</w:t>
            </w:r>
          </w:p>
        </w:tc>
      </w:tr>
      <w:tr w:rsidR="009B73BE" w14:paraId="20B9B38A" w14:textId="77777777" w:rsidTr="007E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9D9D9" w:themeFill="background1" w:themeFillShade="D9"/>
          </w:tcPr>
          <w:p w14:paraId="2C6AF7DA" w14:textId="3C1BD26E" w:rsidR="000A342B" w:rsidRDefault="000A342B" w:rsidP="00DD0681">
            <w:r>
              <w:t>Sea Lettuce</w:t>
            </w:r>
          </w:p>
        </w:tc>
        <w:tc>
          <w:tcPr>
            <w:tcW w:w="2520" w:type="dxa"/>
            <w:shd w:val="clear" w:color="auto" w:fill="D9D9D9" w:themeFill="background1" w:themeFillShade="D9"/>
          </w:tcPr>
          <w:p w14:paraId="1EB33420" w14:textId="7A64E3B8" w:rsidR="000A342B" w:rsidRPr="000A342B" w:rsidRDefault="000A342B" w:rsidP="00DD0681">
            <w:pPr>
              <w:cnfStyle w:val="000000100000" w:firstRow="0" w:lastRow="0" w:firstColumn="0" w:lastColumn="0" w:oddVBand="0" w:evenVBand="0" w:oddHBand="1" w:evenHBand="0" w:firstRowFirstColumn="0" w:firstRowLastColumn="0" w:lastRowFirstColumn="0" w:lastRowLastColumn="0"/>
              <w:rPr>
                <w:i/>
                <w:iCs/>
              </w:rPr>
            </w:pPr>
            <w:r>
              <w:rPr>
                <w:i/>
                <w:iCs/>
              </w:rPr>
              <w:t>Ulva rigida</w:t>
            </w:r>
          </w:p>
        </w:tc>
        <w:tc>
          <w:tcPr>
            <w:tcW w:w="1890" w:type="dxa"/>
            <w:shd w:val="clear" w:color="auto" w:fill="D9D9D9" w:themeFill="background1" w:themeFillShade="D9"/>
          </w:tcPr>
          <w:p w14:paraId="5BE35F81" w14:textId="15C4108E" w:rsidR="000A342B" w:rsidRDefault="000A342B" w:rsidP="00DD0681">
            <w:pPr>
              <w:cnfStyle w:val="000000100000" w:firstRow="0" w:lastRow="0" w:firstColumn="0" w:lastColumn="0" w:oddVBand="0" w:evenVBand="0" w:oddHBand="1" w:evenHBand="0" w:firstRowFirstColumn="0" w:firstRowLastColumn="0" w:lastRowFirstColumn="0" w:lastRowLastColumn="0"/>
            </w:pPr>
            <w:r>
              <w:t>65.6</w:t>
            </w:r>
          </w:p>
        </w:tc>
        <w:tc>
          <w:tcPr>
            <w:tcW w:w="2970" w:type="dxa"/>
            <w:shd w:val="clear" w:color="auto" w:fill="D9D9D9" w:themeFill="background1" w:themeFillShade="D9"/>
          </w:tcPr>
          <w:p w14:paraId="3CD3B453" w14:textId="52FC766E" w:rsidR="000A342B" w:rsidRDefault="000A342B" w:rsidP="00DD0681">
            <w:pPr>
              <w:cnfStyle w:val="000000100000" w:firstRow="0" w:lastRow="0" w:firstColumn="0" w:lastColumn="0" w:oddVBand="0" w:evenVBand="0" w:oddHBand="1" w:evenHBand="0" w:firstRowFirstColumn="0" w:firstRowLastColumn="0" w:lastRowFirstColumn="0" w:lastRowLastColumn="0"/>
            </w:pPr>
            <w:r w:rsidRPr="000A342B">
              <w:t>Romarís-Hortas et al., 2012</w:t>
            </w:r>
          </w:p>
        </w:tc>
      </w:tr>
    </w:tbl>
    <w:p w14:paraId="1F30875F" w14:textId="77777777" w:rsidR="000A342B" w:rsidRPr="000A342B" w:rsidRDefault="000A342B" w:rsidP="00DD0681"/>
    <w:p w14:paraId="39D340FE" w14:textId="77777777" w:rsidR="002B4698" w:rsidRDefault="002B4698" w:rsidP="00DD0681">
      <w:pPr>
        <w:sectPr w:rsidR="002B4698" w:rsidSect="005003BC">
          <w:pgSz w:w="12240" w:h="15840"/>
          <w:pgMar w:top="1440" w:right="1440" w:bottom="1440" w:left="1440" w:header="720" w:footer="720" w:gutter="0"/>
          <w:pgNumType w:start="1" w:chapStyle="6"/>
          <w:cols w:space="720"/>
          <w:docGrid w:linePitch="360"/>
        </w:sectPr>
      </w:pPr>
    </w:p>
    <w:p w14:paraId="119F6252" w14:textId="6FDC865A" w:rsidR="0035746E" w:rsidRDefault="002B4698" w:rsidP="002B4698">
      <w:pPr>
        <w:pStyle w:val="Heading7"/>
      </w:pPr>
      <w:r w:rsidRPr="002B4698">
        <w:lastRenderedPageBreak/>
        <w:t>References</w:t>
      </w:r>
    </w:p>
    <w:p w14:paraId="73CC3F5A" w14:textId="77777777" w:rsidR="002B4698" w:rsidRDefault="002B4698" w:rsidP="002B4698">
      <w:pPr>
        <w:rPr>
          <w:rFonts w:ascii="Times New Roman" w:hAnsi="Times New Roman"/>
        </w:rPr>
      </w:pPr>
      <w:r>
        <w:t xml:space="preserve">Aakre, I., Solli, D. D., Markhus, M. W., Mæhre, H. K., Dahl, L., Henjum, S., Alexander, J., Korneliussen, P. A., Madsen, L., &amp; Kjellevold, M. (2021). Commercially available kelp and seaweed products – valuable iodine source or risk of excess intake? Food and Nutrition Research, 65(February 2021), 1–17. </w:t>
      </w:r>
      <w:hyperlink r:id="rId208" w:history="1">
        <w:r>
          <w:rPr>
            <w:rStyle w:val="Hyperlink"/>
            <w:rFonts w:cs="Calibri"/>
            <w:color w:val="1155CC"/>
          </w:rPr>
          <w:t>https://doi.org/10.29219/FNR.V65.7584</w:t>
        </w:r>
      </w:hyperlink>
    </w:p>
    <w:p w14:paraId="7DA7649D" w14:textId="77777777" w:rsidR="002B4698" w:rsidRDefault="002B4698" w:rsidP="002B4698">
      <w:r>
        <w:t xml:space="preserve">Dawczynski, C., Schäfer, U., Leiterer, M., &amp; Jahreis, G. (2007). Nutritional and toxicological importance of macro, trace, and ultra-trace elements in algae food products. Journal of Agricultural and Food Chemistry, 55(25), 10470–10475. </w:t>
      </w:r>
      <w:hyperlink r:id="rId209" w:history="1">
        <w:r>
          <w:rPr>
            <w:rStyle w:val="Hyperlink"/>
            <w:rFonts w:cs="Calibri"/>
            <w:color w:val="1155CC"/>
          </w:rPr>
          <w:t>https://doi.org/10.1021/jf0721500</w:t>
        </w:r>
      </w:hyperlink>
    </w:p>
    <w:p w14:paraId="19CBE43B" w14:textId="77777777" w:rsidR="002B4698" w:rsidRDefault="002B4698" w:rsidP="002B4698">
      <w:r>
        <w:t xml:space="preserve">Hou, X., &amp; Yan, X. (1998). Study on the concentration and seasonal variation of inorganic elements in 35 species of marine algae. Science of the Total Environment, 222(3), 141–156. </w:t>
      </w:r>
      <w:hyperlink r:id="rId210" w:history="1">
        <w:r>
          <w:rPr>
            <w:rStyle w:val="Hyperlink"/>
            <w:rFonts w:cs="Calibri"/>
            <w:color w:val="1155CC"/>
          </w:rPr>
          <w:t>https://doi.org/10.1016/S0048-9697(98)00299-X</w:t>
        </w:r>
      </w:hyperlink>
    </w:p>
    <w:p w14:paraId="3DFF7563" w14:textId="77777777" w:rsidR="002B4698" w:rsidRDefault="002B4698" w:rsidP="002B4698">
      <w:r>
        <w:t>Institute of Medicine, Food and Nutrition Board. Dietary Reference Intakes for Vitamin A, Vitamin K, Arsenic, Boron, Chromium, Copper, Iodine, Iron, Manganese, Molybdenum, Nickel, Silicon, Vanadium, and Zincexternal link disclaimer. Washington, DC: National Academy Press, 2001.</w:t>
      </w:r>
    </w:p>
    <w:p w14:paraId="0C473B86" w14:textId="77777777" w:rsidR="002B4698" w:rsidRDefault="002B4698" w:rsidP="002B4698">
      <w:r>
        <w:t>Leung, A. M., &amp; Braverman, L. E. (2014). Consequences of excess iodine. Nature Reviews Endocrinology, 10, 136–142. doi:10.1038/nrendo.2013.251 </w:t>
      </w:r>
    </w:p>
    <w:p w14:paraId="23C32E04" w14:textId="77777777" w:rsidR="002B4698" w:rsidRDefault="002B4698" w:rsidP="002B4698">
      <w:r>
        <w:t>Lüning, K., &amp; Mortensen, L. (2015). European aquaculture of sugar kelp (</w:t>
      </w:r>
      <w:r>
        <w:rPr>
          <w:i/>
          <w:iCs/>
        </w:rPr>
        <w:t>Saccharina latissima</w:t>
      </w:r>
      <w:r>
        <w:t xml:space="preserve">) for food industries: Iodine content and epiphytic animals as major problems. Botanica Marina, 58(6), 449–455. </w:t>
      </w:r>
      <w:hyperlink r:id="rId211" w:history="1">
        <w:r>
          <w:rPr>
            <w:rStyle w:val="Hyperlink"/>
            <w:rFonts w:cs="Calibri"/>
            <w:color w:val="1155CC"/>
          </w:rPr>
          <w:t>https://doi.org/10.1515/bot-2015-0036</w:t>
        </w:r>
      </w:hyperlink>
    </w:p>
    <w:p w14:paraId="11C91AFC" w14:textId="77777777" w:rsidR="002B4698" w:rsidRDefault="002B4698" w:rsidP="002B4698">
      <w:r>
        <w:t xml:space="preserve">Sá Monteiro, M., Sloth, J., Holdt, S., &amp; Hansen, M. (2019). Analysis and Risk Assessment of Seaweed. EFSA Journal, 17(S2). </w:t>
      </w:r>
      <w:hyperlink r:id="rId212" w:history="1">
        <w:r>
          <w:rPr>
            <w:rStyle w:val="Hyperlink"/>
            <w:rFonts w:cs="Calibri"/>
            <w:color w:val="1155CC"/>
          </w:rPr>
          <w:t>https://doi.org/10.2903/j.efsa.2019.e170915</w:t>
        </w:r>
      </w:hyperlink>
    </w:p>
    <w:p w14:paraId="6B1CEC9E" w14:textId="77777777" w:rsidR="002B4698" w:rsidRDefault="002B4698" w:rsidP="002B4698">
      <w:r>
        <w:t xml:space="preserve">Sá Monteiro, M., Sloth, J., Holdt, S., &amp; Hansen, M. (2019). Analysis and Risk Assessment of Seaweed. EFSA Journal, 17(S2). </w:t>
      </w:r>
      <w:hyperlink r:id="rId213" w:history="1">
        <w:r>
          <w:rPr>
            <w:rStyle w:val="Hyperlink"/>
            <w:rFonts w:cs="Calibri"/>
            <w:color w:val="1155CC"/>
          </w:rPr>
          <w:t>https://doi.org/10.2903/j.efsa.2019.e170915</w:t>
        </w:r>
      </w:hyperlink>
    </w:p>
    <w:p w14:paraId="4FAE56A5" w14:textId="77777777" w:rsidR="002B4698" w:rsidRDefault="002B4698" w:rsidP="002B4698">
      <w:r>
        <w:t xml:space="preserve">Mouritsen, O. G., Dawczynski, C., Duelund, L., Jahreis, G., Vetter, W., &amp; Schröder, M. (2013). On the human consumption of the red seaweed dulse (Palmaria palmata (L.) Weber &amp; Mohr). Journal of Applied Phycology, 25(6), 1777–1791. </w:t>
      </w:r>
      <w:hyperlink r:id="rId214" w:history="1">
        <w:r>
          <w:rPr>
            <w:rStyle w:val="Hyperlink"/>
            <w:rFonts w:cs="Calibri"/>
            <w:color w:val="1155CC"/>
          </w:rPr>
          <w:t>https://doi.org/10.1007/s10811-013-0014-7</w:t>
        </w:r>
      </w:hyperlink>
    </w:p>
    <w:p w14:paraId="6E3ECB7C" w14:textId="77777777" w:rsidR="002B4698" w:rsidRDefault="002B4698" w:rsidP="002B4698">
      <w:r>
        <w:t xml:space="preserve">Nitschke, U., &amp; Stengel, D. B. (2016). Quantification of iodine loss in edible Irish seaweeds during processing. Journal of Applied Phycology, 28(6), 3527–3533. </w:t>
      </w:r>
      <w:hyperlink r:id="rId215" w:history="1">
        <w:r>
          <w:rPr>
            <w:rStyle w:val="Hyperlink"/>
            <w:rFonts w:cs="Calibri"/>
            <w:color w:val="1155CC"/>
          </w:rPr>
          <w:t>https://doi.org/10.1007/s10811-016-0868-6</w:t>
        </w:r>
      </w:hyperlink>
    </w:p>
    <w:p w14:paraId="7A114230" w14:textId="77777777" w:rsidR="002B4698" w:rsidRDefault="002B4698" w:rsidP="002B4698">
      <w:r>
        <w:t xml:space="preserve">Nitschke, U., &amp; Stengel, D. B. (2015). A new HPLC method for the detection of iodine applied to natural samples of edible seaweeds and commercial seaweed food products. Food Chemistry, 172, 326–334. </w:t>
      </w:r>
      <w:hyperlink r:id="rId216" w:history="1">
        <w:r>
          <w:rPr>
            <w:rStyle w:val="Hyperlink"/>
            <w:rFonts w:cs="Calibri"/>
            <w:color w:val="1155CC"/>
          </w:rPr>
          <w:t>https://doi.org/10.1016/j.foodchem.2014.09.030</w:t>
        </w:r>
      </w:hyperlink>
    </w:p>
    <w:p w14:paraId="03252C3E" w14:textId="77777777" w:rsidR="002B4698" w:rsidRDefault="002B4698" w:rsidP="002B4698">
      <w:r>
        <w:lastRenderedPageBreak/>
        <w:t xml:space="preserve">Roleda, M. Y., Skjermo, J., Marfaing, H., Jónsdóttir, R., Rebours, C., Gietl, A., Stengel, D. B., &amp; Nitschke, U. (2018). Iodine content in bulk biomass of wild-harvested and cultivated edible seaweeds: Inherent variations determine species-specific daily allowable consumption. Food Chemistry, 254(February), 333–339. </w:t>
      </w:r>
      <w:hyperlink r:id="rId217" w:history="1">
        <w:r>
          <w:rPr>
            <w:rStyle w:val="Hyperlink"/>
            <w:rFonts w:cs="Calibri"/>
            <w:color w:val="1155CC"/>
          </w:rPr>
          <w:t>https://doi.org/10.1016/j.foodchem.2018.02.024</w:t>
        </w:r>
      </w:hyperlink>
    </w:p>
    <w:p w14:paraId="441F034A" w14:textId="77777777" w:rsidR="002B4698" w:rsidRDefault="002B4698" w:rsidP="002B4698">
      <w:r>
        <w:t xml:space="preserve">Romarís-Hortas, V., Bermejo-Barrera, P., Moreda-Piñeiro, J., &amp; Moreda-Piñeiro, A. (2012). Speciation of the bio-available iodine and bromine forms in edible seaweed by high performance liquid chromatography hyphenated with inductively coupled plasma-mass spectrometry. Analytica Chimica Acta, 745, 24–32. </w:t>
      </w:r>
      <w:hyperlink r:id="rId218" w:history="1">
        <w:r>
          <w:rPr>
            <w:rStyle w:val="Hyperlink"/>
            <w:rFonts w:cs="Calibri"/>
            <w:color w:val="1155CC"/>
          </w:rPr>
          <w:t>https://doi.org/10.1016/j.aca.2012.07.035</w:t>
        </w:r>
      </w:hyperlink>
    </w:p>
    <w:p w14:paraId="74CE13A3" w14:textId="77777777" w:rsidR="002B4698" w:rsidRDefault="002B4698" w:rsidP="002B4698">
      <w:r>
        <w:t xml:space="preserve">Sharma, S., Neves, L., Funderud, J., Mydland, L. T., Øverland, M., &amp; Horn, S. J. (2018). Seasonal and depth variations in the chemical composition of cultivated Saccharina latissima. Algal Research, 32(November 2017), 107–112. </w:t>
      </w:r>
      <w:hyperlink r:id="rId219" w:history="1">
        <w:r>
          <w:rPr>
            <w:rStyle w:val="Hyperlink"/>
            <w:rFonts w:cs="Calibri"/>
            <w:color w:val="1155CC"/>
          </w:rPr>
          <w:t>https://doi.org/10.1016/j.algal.2018.03.012</w:t>
        </w:r>
      </w:hyperlink>
    </w:p>
    <w:p w14:paraId="20D43852" w14:textId="77777777" w:rsidR="002B4698" w:rsidRDefault="002B4698" w:rsidP="002B4698">
      <w:r>
        <w:t>Stévant, P., Marfaing, H., Duinker, A., Fleurence, J., Rustad, T., Sandbakken, I., &amp; Chapman, A. (2018). Biomass soaking treatments to reduce potentially undesirable compounds in the edible seaweeds sugar kelp (</w:t>
      </w:r>
      <w:r>
        <w:rPr>
          <w:i/>
          <w:iCs/>
        </w:rPr>
        <w:t>Saccharina latissima</w:t>
      </w:r>
      <w:r>
        <w:t>) and winged kelp (</w:t>
      </w:r>
      <w:r>
        <w:rPr>
          <w:i/>
          <w:iCs/>
        </w:rPr>
        <w:t>Alaria esculenta</w:t>
      </w:r>
      <w:r>
        <w:t xml:space="preserve">) and health risk estimation for human consumption. Journal of Applied Phycology, 30(3), 2047–2060. </w:t>
      </w:r>
      <w:hyperlink r:id="rId220" w:history="1">
        <w:r>
          <w:rPr>
            <w:rStyle w:val="Hyperlink"/>
            <w:rFonts w:cs="Calibri"/>
            <w:color w:val="1155CC"/>
          </w:rPr>
          <w:t>https://doi.org/10.1007/s10811-017-1343-8</w:t>
        </w:r>
      </w:hyperlink>
    </w:p>
    <w:p w14:paraId="08816F0B" w14:textId="77777777" w:rsidR="002B4698" w:rsidRDefault="002B4698" w:rsidP="002B4698">
      <w:r>
        <w:t xml:space="preserve">Sun, N., Tan, B., Sun, B., Zhang, J., Li, C., &amp; Yang, W. (2022). Evaluation of protein digestibility and iodine bioavailability in raw and cooked Sargassum fusiforme (harvey) setchell using in vitro methods. British Food Journal, 124(9), 2722–2739. </w:t>
      </w:r>
      <w:hyperlink r:id="rId221" w:history="1">
        <w:r>
          <w:rPr>
            <w:rStyle w:val="Hyperlink"/>
            <w:rFonts w:cs="Calibri"/>
            <w:color w:val="1155CC"/>
          </w:rPr>
          <w:t>https://doi.org/10.1108/BFJ-02-2021-0191</w:t>
        </w:r>
      </w:hyperlink>
    </w:p>
    <w:p w14:paraId="688DB6E2" w14:textId="77777777" w:rsidR="002B4698" w:rsidRDefault="002B4698" w:rsidP="002B4698">
      <w:r>
        <w:t xml:space="preserve">Teas, J., Pino, S., Critchley, A., &amp; Braverman, L. E. (2004). Variability of iodine content in common commercially available edible seaweeds. Thyroid, 14(10), 836–841. </w:t>
      </w:r>
      <w:hyperlink r:id="rId222" w:history="1">
        <w:r>
          <w:rPr>
            <w:rStyle w:val="Hyperlink"/>
            <w:rFonts w:cs="Calibri"/>
            <w:color w:val="1155CC"/>
          </w:rPr>
          <w:t>https://doi.org/10.1089/thy.2004.14.836</w:t>
        </w:r>
      </w:hyperlink>
    </w:p>
    <w:p w14:paraId="1FADFDA8" w14:textId="77777777" w:rsidR="002B4698" w:rsidRPr="000B1F22" w:rsidRDefault="002B4698" w:rsidP="002B4698">
      <w:pPr>
        <w:rPr>
          <w:lang w:val="es-ES"/>
        </w:rPr>
      </w:pPr>
      <w:r>
        <w:t xml:space="preserve">Van Netten, C., Hoption Cann, S. A., Morley, D. R., &amp; Van Netten, J. P. (2000). Elemental and radioactive analysis of commercially available seaweed. Science of the Total Environment, 255(1–3), 169–175. </w:t>
      </w:r>
      <w:hyperlink r:id="rId223" w:history="1">
        <w:r w:rsidRPr="000B1F22">
          <w:rPr>
            <w:rStyle w:val="Hyperlink"/>
            <w:rFonts w:cs="Calibri"/>
            <w:color w:val="1155CC"/>
            <w:lang w:val="es-ES"/>
          </w:rPr>
          <w:t>https://doi.org/10.1016/S0048-9697(00)00467-8</w:t>
        </w:r>
      </w:hyperlink>
    </w:p>
    <w:p w14:paraId="646DBEE4" w14:textId="0D9EE82E" w:rsidR="0035746E" w:rsidRDefault="002B4698" w:rsidP="00DD0681">
      <w:r w:rsidRPr="000B1F22">
        <w:rPr>
          <w:lang w:val="es-ES"/>
        </w:rPr>
        <w:t xml:space="preserve">Watanabe, F., Takenaka, S., Katsura, H., Masumder, S. A. M. Z. H., Abe, K., Tamura, Y., &amp; Nakano, Y. (1999). </w:t>
      </w:r>
      <w:r>
        <w:t xml:space="preserve">Dried green and purple lavers (Nori) contain substantial amounts of biologically active vitamin B12 but less of dietary iodine relative to other edible seaweeds. Journal of Agricultural and Food Chemistry, 47(6), 2341–2343. </w:t>
      </w:r>
      <w:hyperlink r:id="rId224" w:history="1">
        <w:r>
          <w:rPr>
            <w:rStyle w:val="Hyperlink"/>
            <w:rFonts w:cs="Calibri"/>
            <w:color w:val="1155CC"/>
          </w:rPr>
          <w:t>https://doi.org/10.1021/jf981065c</w:t>
        </w:r>
      </w:hyperlink>
    </w:p>
    <w:p w14:paraId="1B48257F" w14:textId="77777777" w:rsidR="002B4698" w:rsidRDefault="002B4698" w:rsidP="00DD0681"/>
    <w:p w14:paraId="67D5D323" w14:textId="5020A751" w:rsidR="002B4698" w:rsidRDefault="002B4698" w:rsidP="00DD0681">
      <w:pPr>
        <w:sectPr w:rsidR="002B4698" w:rsidSect="002B4698">
          <w:pgSz w:w="12240" w:h="15840"/>
          <w:pgMar w:top="1440" w:right="1440" w:bottom="1440" w:left="1440" w:header="720" w:footer="720" w:gutter="0"/>
          <w:pgNumType w:chapStyle="6"/>
          <w:cols w:space="720"/>
          <w:docGrid w:linePitch="360"/>
        </w:sectPr>
      </w:pPr>
    </w:p>
    <w:p w14:paraId="2A144CDF" w14:textId="3A0AF84B" w:rsidR="00DD0681" w:rsidRDefault="009D4A35" w:rsidP="00AA56A6">
      <w:pPr>
        <w:pStyle w:val="Heading6"/>
      </w:pPr>
      <w:bookmarkStart w:id="289" w:name="_Toc208503353"/>
      <w:bookmarkStart w:id="290" w:name="_Toc210042870"/>
      <w:r>
        <w:lastRenderedPageBreak/>
        <w:t>Foodborne Outbreaks</w:t>
      </w:r>
      <w:bookmarkEnd w:id="289"/>
      <w:bookmarkEnd w:id="290"/>
    </w:p>
    <w:p w14:paraId="300BDAD2" w14:textId="77777777" w:rsidR="009D4A35" w:rsidRPr="000B3003" w:rsidRDefault="009D4A35" w:rsidP="00691E23">
      <w:pPr>
        <w:pStyle w:val="Heading7"/>
      </w:pPr>
      <w:bookmarkStart w:id="291" w:name="_Toc208503354"/>
      <w:r w:rsidRPr="000B3003">
        <w:t>Introduction to Foodborne Outbreaks</w:t>
      </w:r>
      <w:bookmarkEnd w:id="291"/>
    </w:p>
    <w:p w14:paraId="51D66E19" w14:textId="721E3090" w:rsidR="009D4A35" w:rsidRDefault="009D4A35" w:rsidP="00616EDB">
      <w:pPr>
        <w:spacing w:before="240"/>
      </w:pPr>
      <w:r>
        <w:t xml:space="preserve">Bacterial </w:t>
      </w:r>
      <w:hyperlink w:anchor="_Pathogens" w:tooltip="Microorganisms that cause disease." w:history="1">
        <w:r w:rsidRPr="0051253B">
          <w:rPr>
            <w:rStyle w:val="Hyperlink"/>
          </w:rPr>
          <w:t>pathogens</w:t>
        </w:r>
      </w:hyperlink>
      <w:r>
        <w:t xml:space="preserve"> are rarely found in foods that are grown, handled, and processed under sanitary conditions—even in foods that are commonly considered “high risk.” The most recent Global Food Security Index ranked the United States third out of 113 countries for food quality and safety (Economist Impact, 2022). Still, the CDC estimates that about 9 million cases of foodborne illness occur in the U.S. each year (CDC, 2024b).</w:t>
      </w:r>
    </w:p>
    <w:p w14:paraId="2A4A9DAF" w14:textId="77777777" w:rsidR="009D4A35" w:rsidRDefault="009D4A35" w:rsidP="009D4A35">
      <w:r>
        <w:t>Public health officials report disease outbreaks to the CDC through the National Outbreak Reporting System (NORS). In 2023, NORS recorded 9,521 reported foodborne illnesses (CDC, 2025)—far fewer than the millions the CDC estimates. This gap is due to several factors that lead to underreporting of foodborne disease.</w:t>
      </w:r>
    </w:p>
    <w:p w14:paraId="0B900BEF" w14:textId="6816EE29" w:rsidR="009D4A35" w:rsidRDefault="009D4A35" w:rsidP="009D4A35">
      <w:r>
        <w:t xml:space="preserve">The leading infectious pathogens in the U.S. are norovirus and </w:t>
      </w:r>
      <w:r w:rsidRPr="009D4A35">
        <w:rPr>
          <w:i/>
          <w:iCs/>
        </w:rPr>
        <w:t>Salmonella</w:t>
      </w:r>
      <w:r>
        <w:t xml:space="preserve"> (CDC, 2024b). Consumers who are sickened by these pathogens typically experience vomiting, diarrhea, chills, and other symptoms. Most cases resolve without medical treatment within a few days, so many sick individuals never see a doctor for their symptoms. Even among those who do, about 30% of patients never provide a clinical sample such as stool for laboratory testing (Scallan Walter et al., 2025). In other cases, clinical samples are never tested, or tests fail to identify the disease-causing agent (e.g., due to problems with method sensitivity, and/or analyst error). All of these scenarios are considered cases of </w:t>
      </w:r>
      <w:r w:rsidRPr="009D4A35">
        <w:rPr>
          <w:b/>
          <w:bCs/>
        </w:rPr>
        <w:t>underdiagnosis</w:t>
      </w:r>
      <w:r>
        <w:t xml:space="preserve">, and the extent of underdiagnosis differs depending on the pathogen. For example, </w:t>
      </w:r>
      <w:r w:rsidRPr="009D4A35">
        <w:rPr>
          <w:i/>
          <w:iCs/>
        </w:rPr>
        <w:t>Salmonella</w:t>
      </w:r>
      <w:r>
        <w:t xml:space="preserve"> </w:t>
      </w:r>
      <w:r w:rsidRPr="009D4A35">
        <w:rPr>
          <w:i/>
          <w:iCs/>
        </w:rPr>
        <w:t>illnesses</w:t>
      </w:r>
      <w:r>
        <w:t xml:space="preserve"> are estimated to be 14.7 times higher than what is reported through NORS (Scallan Walter et al., 2025).</w:t>
      </w:r>
    </w:p>
    <w:p w14:paraId="30267CA2" w14:textId="52BB8CA3" w:rsidR="009D4A35" w:rsidRDefault="009D4A35" w:rsidP="009D4A35">
      <w:r w:rsidRPr="00424E00">
        <w:rPr>
          <w:b/>
          <w:bCs/>
        </w:rPr>
        <w:t>Underreporting</w:t>
      </w:r>
      <w:r>
        <w:t xml:space="preserve"> occurs when laboratories fail to report test results to the appropriate public health agency. To address this, the CDC runs the Foodborne Diseases Active Surveillance Network (FoodNet), part of the CDC’s Emerging Infections Program. FoodNet works with state health departments, the FDA and the USDA to gather data directly from clinical laboratories on pathogens such as: </w:t>
      </w:r>
      <w:r w:rsidRPr="00424E00">
        <w:rPr>
          <w:i/>
          <w:iCs/>
        </w:rPr>
        <w:t>Campylobacter</w:t>
      </w:r>
      <w:r>
        <w:t xml:space="preserve">, </w:t>
      </w:r>
      <w:r w:rsidRPr="00424E00">
        <w:rPr>
          <w:i/>
          <w:iCs/>
        </w:rPr>
        <w:t>Cyclospora</w:t>
      </w:r>
      <w:r>
        <w:t xml:space="preserve">, </w:t>
      </w:r>
      <w:r w:rsidRPr="00424E00">
        <w:rPr>
          <w:i/>
          <w:iCs/>
        </w:rPr>
        <w:t>Listeria</w:t>
      </w:r>
      <w:r>
        <w:t xml:space="preserve">, </w:t>
      </w:r>
      <w:r w:rsidRPr="00424E00">
        <w:rPr>
          <w:i/>
          <w:iCs/>
        </w:rPr>
        <w:t>Salmonella</w:t>
      </w:r>
      <w:r>
        <w:t xml:space="preserve">, </w:t>
      </w:r>
      <w:r w:rsidRPr="00424E00">
        <w:rPr>
          <w:i/>
          <w:iCs/>
        </w:rPr>
        <w:t>Shigella</w:t>
      </w:r>
      <w:r>
        <w:t xml:space="preserve">, </w:t>
      </w:r>
      <w:r w:rsidRPr="00424E00">
        <w:rPr>
          <w:i/>
          <w:iCs/>
        </w:rPr>
        <w:t>Vibrio</w:t>
      </w:r>
      <w:r>
        <w:t xml:space="preserve">, </w:t>
      </w:r>
      <w:r w:rsidRPr="00424E00">
        <w:rPr>
          <w:i/>
          <w:iCs/>
        </w:rPr>
        <w:t>Yersinia</w:t>
      </w:r>
      <w:r>
        <w:t xml:space="preserve"> and shigatoxigenic </w:t>
      </w:r>
      <w:r w:rsidRPr="00424E00">
        <w:rPr>
          <w:i/>
          <w:iCs/>
        </w:rPr>
        <w:t>E.</w:t>
      </w:r>
      <w:r>
        <w:t xml:space="preserve"> </w:t>
      </w:r>
      <w:r w:rsidRPr="00424E00">
        <w:rPr>
          <w:i/>
          <w:iCs/>
        </w:rPr>
        <w:t>coli</w:t>
      </w:r>
      <w:r>
        <w:t xml:space="preserve"> (CDC, 2024a). While underreporting is low for these pathogens, it can be significantly higher for others. For instance, illnesses caused by </w:t>
      </w:r>
      <w:r w:rsidRPr="00424E00">
        <w:rPr>
          <w:i/>
          <w:iCs/>
        </w:rPr>
        <w:t>Clostridium</w:t>
      </w:r>
      <w:r>
        <w:t xml:space="preserve"> </w:t>
      </w:r>
      <w:r w:rsidRPr="00424E00">
        <w:rPr>
          <w:i/>
          <w:iCs/>
        </w:rPr>
        <w:t>perfringens</w:t>
      </w:r>
      <w:r>
        <w:t xml:space="preserve"> are estimated to be underreported 64-fold (Scallan Walter et al., 2025).</w:t>
      </w:r>
    </w:p>
    <w:p w14:paraId="4F881E27" w14:textId="77777777" w:rsidR="009D4A35" w:rsidRDefault="009D4A35" w:rsidP="009D4A35">
      <w:r>
        <w:t xml:space="preserve">Even when a pathogen is correctly diagnosed—which depends on the ill person seeking medical care, providing a sample, having that sample tested, and the results reported—additional steps are required to link the illness back to the contaminated food. Despite these efforts, in about 36% of outbreaks the specific food (‘food vehicle’) is never identified (White et al., 2022). Reasons include inaccurate reporting by consumers about what foods were eaten, challenges in identifying a single common food item during investigations, incomplete traceability records </w:t>
      </w:r>
      <w:r>
        <w:lastRenderedPageBreak/>
        <w:t>maintained by vendors or manufacturers, and the inability to test leftover products from suspected batches once they have expired.</w:t>
      </w:r>
    </w:p>
    <w:p w14:paraId="33F9AD10" w14:textId="77777777" w:rsidR="009D4A35" w:rsidRDefault="009D4A35" w:rsidP="009D4A35">
      <w:r>
        <w:t>Taken together, these and various other factors mean that most foodborne illnesses in the United States are never linked to an outbreak. Nonetheless, outbreaks can still happen. This is why food safety best practices emphasize lowering risk as much as possible, even when the overall likelihood is relatively low.</w:t>
      </w:r>
    </w:p>
    <w:p w14:paraId="0C711210" w14:textId="77777777" w:rsidR="009D4A35" w:rsidRPr="00691E23" w:rsidRDefault="009D4A35" w:rsidP="00691E23">
      <w:pPr>
        <w:pStyle w:val="Heading7"/>
      </w:pPr>
      <w:bookmarkStart w:id="292" w:name="_Toc208503355"/>
      <w:r w:rsidRPr="00691E23">
        <w:t>Measuring Microorganisms in Food</w:t>
      </w:r>
      <w:bookmarkEnd w:id="292"/>
    </w:p>
    <w:p w14:paraId="68CE9BB8" w14:textId="5DEC4E40" w:rsidR="009D4A35" w:rsidRDefault="009D4A35" w:rsidP="00616EDB">
      <w:pPr>
        <w:spacing w:before="240"/>
      </w:pPr>
      <w:r>
        <w:t>The levels of pathogens commonly present in foods contaminated during production are usually low enough that they are difficult to measure using standard microbiological methods. Bacteria are typically measured in Colony Forming Units (CFU) per gram of food, which indicates the number of viable microbial cells or clumps of cells. For spoilage organisms, 6</w:t>
      </w:r>
      <w:r w:rsidR="00424E00" w:rsidRPr="00424E00">
        <w:t>–</w:t>
      </w:r>
      <w:r>
        <w:t>7 log CFU/g (1</w:t>
      </w:r>
      <w:r w:rsidR="00424E00" w:rsidRPr="00424E00">
        <w:t>–</w:t>
      </w:r>
      <w:r>
        <w:t>10 million cells per gram) is typically considered spoiled.</w:t>
      </w:r>
    </w:p>
    <w:p w14:paraId="5938CC9E" w14:textId="5E33F39A" w:rsidR="009D4A35" w:rsidRDefault="009D4A35" w:rsidP="009D4A35">
      <w:r>
        <w:t>Because naturally contaminated foods often have very low pathogen levels, food microbiology research</w:t>
      </w:r>
      <w:r w:rsidRPr="00985B0E">
        <w:rPr>
          <w:color w:val="000000" w:themeColor="text1"/>
        </w:rPr>
        <w:t xml:space="preserve"> </w:t>
      </w:r>
      <w:r w:rsidRPr="00985B0E">
        <w:rPr>
          <w:i/>
          <w:iCs/>
          <w:color w:val="000000" w:themeColor="text1"/>
        </w:rPr>
        <w:t xml:space="preserve">usually </w:t>
      </w:r>
      <w:r>
        <w:t>takes one of two approaches:</w:t>
      </w:r>
    </w:p>
    <w:p w14:paraId="730E9D04" w14:textId="77777777" w:rsidR="009D4A35" w:rsidRPr="000B3003" w:rsidRDefault="009D4A35" w:rsidP="00691E23">
      <w:pPr>
        <w:pStyle w:val="Heading8"/>
      </w:pPr>
      <w:bookmarkStart w:id="293" w:name="_Toc208503356"/>
      <w:r w:rsidRPr="000B3003">
        <w:t>Approach 1: Using “Indicator” Populations</w:t>
      </w:r>
      <w:bookmarkEnd w:id="293"/>
    </w:p>
    <w:p w14:paraId="12AA9792" w14:textId="3A168F08" w:rsidR="009D4A35" w:rsidRDefault="009D4A35" w:rsidP="00616EDB">
      <w:pPr>
        <w:spacing w:before="240"/>
        <w:contextualSpacing/>
      </w:pPr>
      <w:r>
        <w:t>Indicators are groups of microorganisms that signal contamination or poor sanitary conditions. They are more common and usually present in higher numbers than pathogens. While high levels of indicator microorganisms do not necessarily mean the food is unsafe, they can be indicative of pathogen presence and may prompt further testing or stricter sanitation. Expected levels of these groups of organisms vary depending on the specific food and how far into the shelf life (how close to spoiling) a food is. Commonly assessed indicators include:</w:t>
      </w:r>
    </w:p>
    <w:p w14:paraId="35856BEB" w14:textId="426E40D9" w:rsidR="009D4A35" w:rsidRDefault="009D4A35" w:rsidP="00846B8F">
      <w:pPr>
        <w:pStyle w:val="ListParagraph"/>
        <w:numPr>
          <w:ilvl w:val="0"/>
          <w:numId w:val="119"/>
        </w:numPr>
        <w:spacing w:before="240"/>
      </w:pPr>
      <w:r w:rsidRPr="00424E00">
        <w:rPr>
          <w:b/>
          <w:bCs/>
        </w:rPr>
        <w:t>Aerobic</w:t>
      </w:r>
      <w:r>
        <w:t xml:space="preserve"> </w:t>
      </w:r>
      <w:r w:rsidR="00C45D3A">
        <w:rPr>
          <w:b/>
          <w:bCs/>
        </w:rPr>
        <w:t>M</w:t>
      </w:r>
      <w:r w:rsidRPr="00424E00">
        <w:rPr>
          <w:b/>
          <w:bCs/>
        </w:rPr>
        <w:t>esophiles</w:t>
      </w:r>
      <w:r>
        <w:t xml:space="preserve">: </w:t>
      </w:r>
      <w:r w:rsidR="00C45D3A">
        <w:t>B</w:t>
      </w:r>
      <w:r>
        <w:t>acteria that grow in the presence of oxygen and at temperatures including ambient (~70°F</w:t>
      </w:r>
      <w:r w:rsidR="00424E00">
        <w:t>/21.1°C</w:t>
      </w:r>
      <w:r>
        <w:t>) and body temperature (~98.6°F</w:t>
      </w:r>
      <w:r w:rsidR="00424E00">
        <w:t>/ 37</w:t>
      </w:r>
      <w:r w:rsidR="00424E00" w:rsidRPr="00424E00">
        <w:t>°</w:t>
      </w:r>
      <w:r w:rsidR="00424E00">
        <w:t>C</w:t>
      </w:r>
      <w:r>
        <w:t>). Sometimes called “total bacterial count” or similar terminology.</w:t>
      </w:r>
    </w:p>
    <w:p w14:paraId="5A89F2D5" w14:textId="77777777" w:rsidR="009D4A35" w:rsidRDefault="009D4A35" w:rsidP="00846B8F">
      <w:pPr>
        <w:pStyle w:val="ListParagraph"/>
        <w:numPr>
          <w:ilvl w:val="0"/>
          <w:numId w:val="119"/>
        </w:numPr>
      </w:pPr>
      <w:r w:rsidRPr="00424E00">
        <w:rPr>
          <w:b/>
          <w:bCs/>
        </w:rPr>
        <w:t>Psychrotrophs</w:t>
      </w:r>
      <w:r>
        <w:t xml:space="preserve">: Includes bacteria that can grow at refrigeration temperatures (at or below 40°F/4.4°C) and often spoil refrigerated foods; </w:t>
      </w:r>
      <w:r w:rsidRPr="00424E00">
        <w:rPr>
          <w:i/>
          <w:iCs/>
        </w:rPr>
        <w:t>Listeria monocytogenes</w:t>
      </w:r>
      <w:r>
        <w:t xml:space="preserve"> is an example of a psychrotrophic pathogen.</w:t>
      </w:r>
    </w:p>
    <w:p w14:paraId="7935B4C2" w14:textId="2CEB2833" w:rsidR="009D4A35" w:rsidRDefault="009D4A35" w:rsidP="00846B8F">
      <w:pPr>
        <w:pStyle w:val="ListParagraph"/>
        <w:numPr>
          <w:ilvl w:val="0"/>
          <w:numId w:val="119"/>
        </w:numPr>
      </w:pPr>
      <w:r w:rsidRPr="00424E00">
        <w:rPr>
          <w:b/>
          <w:bCs/>
        </w:rPr>
        <w:t>Coliforms:</w:t>
      </w:r>
      <w:r w:rsidRPr="00424E00">
        <w:t xml:space="preserve"> </w:t>
      </w:r>
      <w:r>
        <w:t xml:space="preserve">A group of bacteria with characteristics similar to (and includes) </w:t>
      </w:r>
      <w:r w:rsidRPr="00424E00">
        <w:rPr>
          <w:i/>
          <w:iCs/>
        </w:rPr>
        <w:t>E. coli</w:t>
      </w:r>
      <w:r>
        <w:t xml:space="preserve"> which are found widely in the environment and used to measure sanitary conditions during processing.</w:t>
      </w:r>
    </w:p>
    <w:p w14:paraId="1C647F73" w14:textId="6C1B359D" w:rsidR="009D4A35" w:rsidRDefault="009D4A35" w:rsidP="00846B8F">
      <w:pPr>
        <w:pStyle w:val="ListParagraph"/>
        <w:numPr>
          <w:ilvl w:val="0"/>
          <w:numId w:val="119"/>
        </w:numPr>
      </w:pPr>
      <w:r w:rsidRPr="00424E00">
        <w:rPr>
          <w:b/>
          <w:bCs/>
        </w:rPr>
        <w:t>Fecal</w:t>
      </w:r>
      <w:r>
        <w:t xml:space="preserve"> </w:t>
      </w:r>
      <w:r w:rsidR="00C45D3A">
        <w:rPr>
          <w:b/>
          <w:bCs/>
        </w:rPr>
        <w:t>C</w:t>
      </w:r>
      <w:r w:rsidRPr="00424E00">
        <w:rPr>
          <w:b/>
          <w:bCs/>
        </w:rPr>
        <w:t>oliforms:</w:t>
      </w:r>
      <w:r>
        <w:t xml:space="preserve"> A subset of coliforms that usually originate in the intestines of mammals. These are used as an indication of potential fecal contamination.</w:t>
      </w:r>
    </w:p>
    <w:p w14:paraId="567A13C0" w14:textId="77777777" w:rsidR="009D4A35" w:rsidRDefault="009D4A35" w:rsidP="00846B8F">
      <w:pPr>
        <w:pStyle w:val="ListParagraph"/>
        <w:numPr>
          <w:ilvl w:val="0"/>
          <w:numId w:val="119"/>
        </w:numPr>
      </w:pPr>
      <w:r w:rsidRPr="00424E00">
        <w:rPr>
          <w:b/>
          <w:bCs/>
        </w:rPr>
        <w:t xml:space="preserve">Generic </w:t>
      </w:r>
      <w:r w:rsidRPr="00424E00">
        <w:rPr>
          <w:b/>
          <w:bCs/>
          <w:i/>
          <w:iCs/>
        </w:rPr>
        <w:t>E. coli</w:t>
      </w:r>
      <w:r w:rsidRPr="00424E00">
        <w:rPr>
          <w:b/>
          <w:bCs/>
        </w:rPr>
        <w:t>:</w:t>
      </w:r>
      <w:r>
        <w:t xml:space="preserve"> Counts all </w:t>
      </w:r>
      <w:r w:rsidRPr="00424E00">
        <w:rPr>
          <w:i/>
          <w:iCs/>
        </w:rPr>
        <w:t>E. coli</w:t>
      </w:r>
      <w:r>
        <w:t>, both harmless and pathogenic.</w:t>
      </w:r>
    </w:p>
    <w:p w14:paraId="245496B3" w14:textId="6852C981" w:rsidR="009D4A35" w:rsidRDefault="009D4A35" w:rsidP="00846B8F">
      <w:pPr>
        <w:pStyle w:val="ListParagraph"/>
        <w:numPr>
          <w:ilvl w:val="0"/>
          <w:numId w:val="119"/>
        </w:numPr>
      </w:pPr>
      <w:r w:rsidRPr="00424E00">
        <w:rPr>
          <w:b/>
          <w:bCs/>
        </w:rPr>
        <w:lastRenderedPageBreak/>
        <w:t>Fungi (yeasts and molds):</w:t>
      </w:r>
      <w:r>
        <w:t xml:space="preserve"> </w:t>
      </w:r>
      <w:r w:rsidR="00424E00">
        <w:t>A</w:t>
      </w:r>
      <w:r>
        <w:t xml:space="preserve"> total count including yeasts and molds, commonly used to indicate the quality of foods with intermediate or low moisture which do not support the growth of bacteria.</w:t>
      </w:r>
    </w:p>
    <w:p w14:paraId="5C2624B9" w14:textId="705DDF88" w:rsidR="009D4A35" w:rsidRDefault="009D4A35" w:rsidP="00691E23">
      <w:pPr>
        <w:pStyle w:val="Heading8"/>
      </w:pPr>
      <w:bookmarkStart w:id="294" w:name="_Toc208503357"/>
      <w:r>
        <w:t>Approach 2: Inoculation of Food Samples with Bacterial Pathogen Cultures</w:t>
      </w:r>
      <w:bookmarkEnd w:id="294"/>
    </w:p>
    <w:p w14:paraId="3E5BA2ED" w14:textId="6F42AC87" w:rsidR="009D4A35" w:rsidRDefault="009D4A35" w:rsidP="00616EDB">
      <w:pPr>
        <w:spacing w:before="240"/>
      </w:pPr>
      <w:r>
        <w:t>Inoculation (or “challenge”) studies test how pathogens behave in specific foods under various conditions, such as storage and processing. Researchers deliberately add higher levels of bacteria than would normally occur in a “naturally contaminated” food. This is intentional as bacterial death (or decrease in number of cells) often follows predictable patterns. Studying higher populations allows researchers to model the rate at which bacteria will grow or die over time, meaning that the percentage of the cells expected to die is the same whether you start with 10 million or 10.</w:t>
      </w:r>
    </w:p>
    <w:p w14:paraId="5C863025" w14:textId="0A1553F6" w:rsidR="009D4A35" w:rsidRDefault="009D4A35" w:rsidP="009D4A35">
      <w:r>
        <w:t>These studies help determine whether food safety processes are effective. For example, most lethality processes aim for at least a 5-log CFU/g reduction in pathogens (USFDA, 2024).</w:t>
      </w:r>
    </w:p>
    <w:p w14:paraId="22F1D150" w14:textId="77777777" w:rsidR="009D4A35" w:rsidRPr="000B3003" w:rsidRDefault="009D4A35" w:rsidP="000B3003">
      <w:pPr>
        <w:rPr>
          <w:b/>
          <w:bCs/>
          <w:i/>
          <w:iCs/>
        </w:rPr>
      </w:pPr>
      <w:r w:rsidRPr="000B3003">
        <w:rPr>
          <w:b/>
          <w:bCs/>
          <w:i/>
          <w:iCs/>
        </w:rPr>
        <w:t>Case Study: Salmonella in Almonds</w:t>
      </w:r>
    </w:p>
    <w:p w14:paraId="31F7A3AF" w14:textId="6BE19EAB" w:rsidR="009D4A35" w:rsidRDefault="009D4A35" w:rsidP="00616EDB">
      <w:pPr>
        <w:spacing w:before="240"/>
      </w:pPr>
      <w:r>
        <w:t>Almonds were linked to salmonellosis outbreaks in 2000–2001 (Isaacs et al., 2005) and 2003–2004 (CDC, 2004). Later studies of thousands of almonds conducted over the course of several years found Salmonella on only 0.87–1.6% of samples (Bansal et al., 2010; Danyluk et al., 2007), at levels ranging from 1.2 to 15.5 cells per 100g of almonds. Still, models estimated a 78% chance of at least one U.S. case of salmonellosis resulting from almonds per year (Danyluk et al., 2006).</w:t>
      </w:r>
    </w:p>
    <w:p w14:paraId="044F3E34" w14:textId="00BFBEEF" w:rsidR="009D4A35" w:rsidRDefault="009D4A35" w:rsidP="009D4A35">
      <w:r>
        <w:t xml:space="preserve">In response, the California Almond Marketing Order (USDA AMS, 2007) required implementing a process that achieves at least a 4-log (99.99%) reduction of </w:t>
      </w:r>
      <w:r w:rsidRPr="00424E00">
        <w:rPr>
          <w:i/>
          <w:iCs/>
        </w:rPr>
        <w:t>Salmonella</w:t>
      </w:r>
      <w:r>
        <w:t xml:space="preserve"> on natural almonds grown in California and sold in North America. The Almond Board of California subsequently established detailed validation guidelines to help handlers meet this requirement (Almond Board of California, 2024).</w:t>
      </w:r>
    </w:p>
    <w:p w14:paraId="73A3019B" w14:textId="77777777" w:rsidR="007276F6" w:rsidRDefault="009D4A35" w:rsidP="009D4A35">
      <w:pPr>
        <w:sectPr w:rsidR="007276F6" w:rsidSect="005003BC">
          <w:pgSz w:w="12240" w:h="15840"/>
          <w:pgMar w:top="1440" w:right="1440" w:bottom="1440" w:left="1440" w:header="720" w:footer="720" w:gutter="0"/>
          <w:pgNumType w:start="1" w:chapStyle="6"/>
          <w:cols w:space="720"/>
          <w:docGrid w:linePitch="360"/>
        </w:sectPr>
      </w:pPr>
      <w:r>
        <w:t xml:space="preserve">Even though natural contamination levels may be less than one </w:t>
      </w:r>
      <w:r w:rsidRPr="00424E00">
        <w:rPr>
          <w:i/>
          <w:iCs/>
        </w:rPr>
        <w:t>Salmonella</w:t>
      </w:r>
      <w:r>
        <w:t xml:space="preserve"> cell per gram, challenge studies require starting levels of more than 7 log CFU/g (10 million cells/gram) (Almond Board of California Technical Expert Review Panel, 2014). This ensures reliable modeling of pathogen survival and reduction.</w:t>
      </w:r>
      <w:r w:rsidR="000B3003">
        <w:t xml:space="preserve"> </w:t>
      </w:r>
    </w:p>
    <w:p w14:paraId="01774F41" w14:textId="240453AB" w:rsidR="007276F6" w:rsidRPr="007276F6" w:rsidRDefault="007276F6" w:rsidP="007276F6">
      <w:pPr>
        <w:pStyle w:val="Heading7"/>
        <w:spacing w:after="240"/>
      </w:pPr>
      <w:r w:rsidRPr="007276F6">
        <w:lastRenderedPageBreak/>
        <w:t>References</w:t>
      </w:r>
    </w:p>
    <w:p w14:paraId="2E1BF509" w14:textId="2033E224" w:rsidR="007276F6" w:rsidRPr="007276F6" w:rsidRDefault="007276F6" w:rsidP="007276F6">
      <w:r w:rsidRPr="007276F6">
        <w:t xml:space="preserve">Almond Board of California. (2024). Validation Guidelines. </w:t>
      </w:r>
      <w:hyperlink r:id="rId225" w:history="1">
        <w:r w:rsidRPr="007276F6">
          <w:rPr>
            <w:rStyle w:val="Hyperlink"/>
          </w:rPr>
          <w:t>https://www.almonds.com/tools-and-resources/food-safety-and-quality/pasteurization/validation-guidelines</w:t>
        </w:r>
      </w:hyperlink>
    </w:p>
    <w:p w14:paraId="0194366F" w14:textId="77777777" w:rsidR="007276F6" w:rsidRPr="007276F6" w:rsidRDefault="007276F6" w:rsidP="007276F6">
      <w:r w:rsidRPr="007276F6">
        <w:t xml:space="preserve">Almond Board of California Technical Expert Review Panel. (2014). Guidelines for using </w:t>
      </w:r>
      <w:r w:rsidRPr="007276F6">
        <w:rPr>
          <w:i/>
          <w:iCs/>
        </w:rPr>
        <w:t xml:space="preserve">Enterococcus faecium </w:t>
      </w:r>
      <w:r w:rsidRPr="007276F6">
        <w:t>NRRL B-2354 as a surrogate microorganism in almond process validation. https://www.almonds.com/sites/default/files/2020-05/guidelines_for_using_enterococcus_faecium_nrrl_b-2354_as_a_surrogate_microorganism_in_almond_process_validation.pdf</w:t>
      </w:r>
    </w:p>
    <w:p w14:paraId="2DF903D6" w14:textId="77777777" w:rsidR="007276F6" w:rsidRPr="007276F6" w:rsidRDefault="007276F6" w:rsidP="007276F6">
      <w:r w:rsidRPr="007276F6">
        <w:t xml:space="preserve">Bansal, A., Jones, T. M., Abd, S. J., Danyluk, M. D., &amp; Harris, L. J. (2010). Most-probable-number determination of salmonella levels in naturally contaminated raw almonds using two sample preparation methods. </w:t>
      </w:r>
      <w:r w:rsidRPr="007276F6">
        <w:rPr>
          <w:i/>
          <w:iCs/>
        </w:rPr>
        <w:t>Journal of Food Protection, 73</w:t>
      </w:r>
      <w:r w:rsidRPr="007276F6">
        <w:t>(11), 1986-1992.</w:t>
      </w:r>
    </w:p>
    <w:p w14:paraId="4514F578" w14:textId="77777777" w:rsidR="007276F6" w:rsidRPr="007276F6" w:rsidRDefault="007276F6" w:rsidP="007276F6">
      <w:r w:rsidRPr="007276F6">
        <w:t xml:space="preserve">CDC. (2004). Outbreak of </w:t>
      </w:r>
      <w:r w:rsidRPr="007276F6">
        <w:rPr>
          <w:i/>
          <w:iCs/>
        </w:rPr>
        <w:t xml:space="preserve">Salmonlla </w:t>
      </w:r>
      <w:r w:rsidRPr="007276F6">
        <w:t xml:space="preserve">serotype Enteritidis infections associated with raw almonds – United States and Canada, 2003-2004. </w:t>
      </w:r>
      <w:r w:rsidRPr="007276F6">
        <w:rPr>
          <w:i/>
          <w:iCs/>
        </w:rPr>
        <w:t xml:space="preserve">MMWR, 53, </w:t>
      </w:r>
      <w:r w:rsidRPr="007276F6">
        <w:t>484-487.</w:t>
      </w:r>
    </w:p>
    <w:p w14:paraId="5019E1EF" w14:textId="77777777" w:rsidR="007276F6" w:rsidRPr="007276F6" w:rsidRDefault="007276F6" w:rsidP="007276F6">
      <w:r w:rsidRPr="007276F6">
        <w:t>CDC. (2024a). Foodborne Diseases Active Surveillance Network. About FoodNet. https://www.cdc.gov/foodnet/about/index.html</w:t>
      </w:r>
    </w:p>
    <w:p w14:paraId="0BFD6E2F" w14:textId="77777777" w:rsidR="007276F6" w:rsidRPr="007276F6" w:rsidRDefault="007276F6" w:rsidP="007276F6">
      <w:r w:rsidRPr="007276F6">
        <w:t xml:space="preserve">CDC. (2024b). Foodborne illness source attribution estimates – United States, 2022. </w:t>
      </w:r>
      <w:hyperlink r:id="rId226" w:history="1">
        <w:r w:rsidRPr="007276F6">
          <w:rPr>
            <w:rStyle w:val="Hyperlink"/>
          </w:rPr>
          <w:t>https://www.cdc.gov/ifsac/php/data-research/annual-report-2022.html</w:t>
        </w:r>
      </w:hyperlink>
    </w:p>
    <w:p w14:paraId="1478CB2E" w14:textId="77777777" w:rsidR="007276F6" w:rsidRPr="007276F6" w:rsidRDefault="007276F6" w:rsidP="007276F6">
      <w:r w:rsidRPr="007276F6">
        <w:t>CDC. (2025). National Center for Emerging and Zoonotic Infectious Diseases, BEAM Dashboard, National Outbreak Reporting System (NORS). https://www.cdc.gov/ncezid/dfwed/BEAM-dashboard.html</w:t>
      </w:r>
    </w:p>
    <w:p w14:paraId="79176FD6" w14:textId="77777777" w:rsidR="007276F6" w:rsidRPr="007276F6" w:rsidRDefault="007276F6" w:rsidP="007276F6">
      <w:r w:rsidRPr="007276F6">
        <w:t xml:space="preserve">Danyluk, M. D., Harris, L. J., &amp; Schaffner, D. W. (2006). Monet Carlo simulations assessing the risk of salmonellosis from consumption of almonds. </w:t>
      </w:r>
      <w:r w:rsidRPr="007276F6">
        <w:rPr>
          <w:i/>
          <w:iCs/>
        </w:rPr>
        <w:t>Journal of Food Protection, 69</w:t>
      </w:r>
      <w:r w:rsidRPr="007276F6">
        <w:t>(7), 1594-1599.</w:t>
      </w:r>
    </w:p>
    <w:p w14:paraId="132A5390" w14:textId="77777777" w:rsidR="007276F6" w:rsidRPr="007276F6" w:rsidRDefault="007276F6" w:rsidP="007276F6">
      <w:r w:rsidRPr="007276F6">
        <w:t xml:space="preserve">Danyluk, M. D., Jones, T. M., Abd, S. J., Schlitt-Dittrich, F., Jacobs, M., &amp; Harris, L. J. (2007). Prevalence and amounts of </w:t>
      </w:r>
      <w:r w:rsidRPr="007276F6">
        <w:rPr>
          <w:i/>
          <w:iCs/>
        </w:rPr>
        <w:t xml:space="preserve">Salmonella </w:t>
      </w:r>
      <w:r w:rsidRPr="007276F6">
        <w:t xml:space="preserve">found on raw California almonds. </w:t>
      </w:r>
      <w:r w:rsidRPr="007276F6">
        <w:rPr>
          <w:i/>
          <w:iCs/>
        </w:rPr>
        <w:t>Journal of Food Protection, 70</w:t>
      </w:r>
      <w:r w:rsidRPr="007276F6">
        <w:t>(4), 820-827.</w:t>
      </w:r>
    </w:p>
    <w:p w14:paraId="59D487AA" w14:textId="77777777" w:rsidR="007276F6" w:rsidRPr="007276F6" w:rsidRDefault="007276F6" w:rsidP="007276F6">
      <w:r w:rsidRPr="007276F6">
        <w:t>Economist Impact. (2022). Global Food Security Index 2022. https://impact.economist.com/sustainability/project/food-security-index/</w:t>
      </w:r>
    </w:p>
    <w:p w14:paraId="4965621E" w14:textId="77777777" w:rsidR="007276F6" w:rsidRPr="007276F6" w:rsidRDefault="007276F6" w:rsidP="007276F6">
      <w:r w:rsidRPr="007276F6">
        <w:t xml:space="preserve">USFDA. (2024, May 30). </w:t>
      </w:r>
      <w:r w:rsidRPr="007276F6">
        <w:rPr>
          <w:i/>
          <w:iCs/>
        </w:rPr>
        <w:t>Draft guidance for industry: Hazard analysis and risk-based preventive controls for human food</w:t>
      </w:r>
      <w:r w:rsidRPr="007276F6">
        <w:t>. https://www.fda.gov/regulatory-information/search-fda-guidance-documents/draft-guidance-industry-hazard-analysis-and-risk-based-preventive-controls-human-food</w:t>
      </w:r>
    </w:p>
    <w:p w14:paraId="5171FF2D" w14:textId="77777777" w:rsidR="007276F6" w:rsidRPr="007276F6" w:rsidRDefault="007276F6" w:rsidP="007276F6">
      <w:r w:rsidRPr="007276F6">
        <w:lastRenderedPageBreak/>
        <w:t xml:space="preserve">Isaacs, S., Aramini, J., Ceibin, B., Farrar, J. A., Ahmed, R., Middleton, D., Chandran, A. U., Harris, L. J., Howes, M., Chan, E., Pichette, A. S., Campbell, K., Gupta, A., Lior, L. Y., Pearce, M., Clark, C., Rodgers, F., Jamieson, F., Brophy, I., &amp; Ellis, A. (2005). An international outbreak of salmonellosis associated with raw almonds contaminated with a rare phage type of </w:t>
      </w:r>
      <w:r w:rsidRPr="007276F6">
        <w:rPr>
          <w:i/>
          <w:iCs/>
        </w:rPr>
        <w:t xml:space="preserve">Salmonella </w:t>
      </w:r>
      <w:r w:rsidRPr="007276F6">
        <w:t xml:space="preserve">Enteritidis. </w:t>
      </w:r>
      <w:r w:rsidRPr="007276F6">
        <w:rPr>
          <w:i/>
          <w:iCs/>
        </w:rPr>
        <w:t xml:space="preserve">Journal of Food Protection, 68, </w:t>
      </w:r>
      <w:r w:rsidRPr="007276F6">
        <w:t>191-198.</w:t>
      </w:r>
    </w:p>
    <w:p w14:paraId="1D5738DE" w14:textId="72D5D774" w:rsidR="007276F6" w:rsidRPr="007276F6" w:rsidRDefault="007276F6" w:rsidP="007276F6">
      <w:r w:rsidRPr="007276F6">
        <w:t xml:space="preserve">Scallan Walter, E. J., Cui, Z., Tierney, R., Griffin, P. M., Hoekstra, R. M., Payne, D. C., Rose, E. B., Devine, C., Namwase, A. S., Mirza, S. A., Kambhampati, A. K., Straily, A.,  Bruce, B. B. (2025). Foodborne Illness Acquired in the United States – Major Pathogens, 2019. </w:t>
      </w:r>
      <w:r w:rsidRPr="007276F6">
        <w:rPr>
          <w:i/>
          <w:iCs/>
        </w:rPr>
        <w:t>Emerging Infectious Diseases, 31</w:t>
      </w:r>
      <w:r w:rsidRPr="007276F6">
        <w:t>(4), 669-677.</w:t>
      </w:r>
    </w:p>
    <w:p w14:paraId="362D561F" w14:textId="77777777" w:rsidR="007276F6" w:rsidRPr="007276F6" w:rsidRDefault="007276F6" w:rsidP="007276F6">
      <w:r w:rsidRPr="007276F6">
        <w:t xml:space="preserve">USDA, AMS. (2007). Almonds grown in California; outgoing quality control requirements; A Rule by the Agricultural Marketing Service on 03/30/2007. Published Document 07-1557 (72 FR 15021). Available: </w:t>
      </w:r>
      <w:hyperlink r:id="rId227" w:anchor=":~:text=While%20the%20TERP%20will%20not,a%20vacancy%20on%20the%20panel" w:history="1">
        <w:r w:rsidRPr="007276F6">
          <w:rPr>
            <w:rStyle w:val="Hyperlink"/>
          </w:rPr>
          <w:t>https://www.federalregister.gov/documents/2007/03/30/07-1557/almonds-grown-in-california-outgoing-quality-control-requirements#:~:text=While%20the%20TERP%20will%20not,a%20vacancy%20on%20the%20panel</w:t>
        </w:r>
      </w:hyperlink>
      <w:r w:rsidRPr="007276F6">
        <w:t>.</w:t>
      </w:r>
    </w:p>
    <w:p w14:paraId="596ABF2C" w14:textId="044DA2F4" w:rsidR="002E4585" w:rsidRDefault="007276F6" w:rsidP="007276F6">
      <w:r w:rsidRPr="007276F6">
        <w:t xml:space="preserve">White, A. E., Tillman, A. R., Hedberg, C., Bruce, B. B., Batz, M., Seys, S. A., Dewey-Mattia, D., Bazaco, M. C., &amp; Scallan Walter, E. (2022). Foodborne illness outbreaks reported to national surveillance, United States, 2009-2018. </w:t>
      </w:r>
      <w:r w:rsidRPr="007276F6">
        <w:rPr>
          <w:i/>
          <w:iCs/>
        </w:rPr>
        <w:t>Emerging Infectious Diseases, 28</w:t>
      </w:r>
      <w:r w:rsidRPr="007276F6">
        <w:t>(6), 1117-1127.</w:t>
      </w:r>
    </w:p>
    <w:p w14:paraId="5C536C1A" w14:textId="77777777" w:rsidR="007276F6" w:rsidRDefault="007276F6" w:rsidP="009D4A35"/>
    <w:p w14:paraId="181B8AA8" w14:textId="77777777" w:rsidR="007276F6" w:rsidRDefault="007276F6" w:rsidP="009D4A35"/>
    <w:p w14:paraId="36164522" w14:textId="700E455B" w:rsidR="007276F6" w:rsidRDefault="007276F6" w:rsidP="009D4A35">
      <w:pPr>
        <w:sectPr w:rsidR="007276F6" w:rsidSect="007276F6">
          <w:pgSz w:w="12240" w:h="15840"/>
          <w:pgMar w:top="1440" w:right="1440" w:bottom="1440" w:left="1440" w:header="720" w:footer="720" w:gutter="0"/>
          <w:pgNumType w:chapStyle="6"/>
          <w:cols w:space="720"/>
          <w:docGrid w:linePitch="360"/>
        </w:sectPr>
      </w:pPr>
    </w:p>
    <w:p w14:paraId="0823651B" w14:textId="7FD62BEA" w:rsidR="000B3003" w:rsidRDefault="000B3003" w:rsidP="00AA56A6">
      <w:pPr>
        <w:pStyle w:val="Heading6"/>
      </w:pPr>
      <w:bookmarkStart w:id="295" w:name="_Toc210042871"/>
      <w:r w:rsidRPr="000B3003">
        <w:lastRenderedPageBreak/>
        <w:t>Example Seaweed Threshold Calculations</w:t>
      </w:r>
      <w:bookmarkEnd w:id="295"/>
    </w:p>
    <w:p w14:paraId="6BC5E4B9" w14:textId="02BC2D52" w:rsidR="002E4585" w:rsidRDefault="002E4585" w:rsidP="00AF729A">
      <w:pPr>
        <w:spacing w:before="240"/>
      </w:pPr>
      <w:r>
        <w:t>This appendix provides illustrative examples to assist producers and processors in estimating safe consumption thresholds for seaweed products using published tolerable intake values and minimum risk levels. These calculations are intended solely for informational purposes and are not reviewed, approved, or enforced by any local, state, or federal agency. They do not supersede existing regulatory standards or limits.</w:t>
      </w:r>
    </w:p>
    <w:p w14:paraId="659CCA6C" w14:textId="436744C4" w:rsidR="002E4585" w:rsidRDefault="002E4585" w:rsidP="002E4585">
      <w:r>
        <w:t>While such examples may help identify internal safety thresholds, it is the responsibility of each facility to consult with the appropriate regulatory authorities to confirm whether self-calculated contaminant limits will be recognized or accepted. The authors make no representations or warranties regarding the accuracy, applicability, or regulatory acceptance of these calculations and expressly disclaim any liability for decisions or actions taken based on this information.</w:t>
      </w:r>
    </w:p>
    <w:p w14:paraId="4B0E7317" w14:textId="77777777" w:rsidR="002E4585" w:rsidRDefault="002E4585" w:rsidP="00691E23">
      <w:pPr>
        <w:pStyle w:val="Heading7"/>
      </w:pPr>
      <w:bookmarkStart w:id="296" w:name="_Toc208503359"/>
      <w:r>
        <w:t>Calculations Based on Published Tolerable Intakes</w:t>
      </w:r>
      <w:bookmarkEnd w:id="296"/>
    </w:p>
    <w:p w14:paraId="04621BBE" w14:textId="5CFD7EAC" w:rsidR="002E4585" w:rsidRDefault="002E4585" w:rsidP="00616EDB">
      <w:pPr>
        <w:spacing w:before="240"/>
      </w:pPr>
      <w:r>
        <w:t xml:space="preserve">The following examples illustrate how seaweed contaminant or metal thresholds can be calculated using cited provisional tolerable weekly or monthly intake values. These calculations are intentionally conservative, assuming daily consumption, a </w:t>
      </w:r>
      <w:hyperlink w:anchor="ServingSize" w:history="1">
        <w:r w:rsidRPr="003E23E8">
          <w:rPr>
            <w:rStyle w:val="Hyperlink"/>
          </w:rPr>
          <w:t>serving size</w:t>
        </w:r>
      </w:hyperlink>
      <w:r>
        <w:t xml:space="preserve"> of 15 grams of dried seaweed, and limiting exposure to 25% of the recommended intake to account for the fact that seaweed is not the sole source of dietary exposure. Consumers may also be exposed to contaminants through other foods, so this conservative approach helps ensure overall intake remains within safe limits. The equations can be adjusted to better reflect your specific serving sizes, intended consumer, and known consumption patterns. Adult body weight (84 kg) is based on Centers for Disease Control and Prevention (CDC) averages for U.S. adults, and the provisional tolerable intake for each compound (PTDI/PTWI/PMTDI) is taken from the most authoritative available source for that chemical—e.g., WHO/JECFA, EFSA, or U.S. EPA—and converted to a daily value when only weekly or monthly limits are provided.</w:t>
      </w:r>
    </w:p>
    <w:p w14:paraId="6D929714" w14:textId="00956E37" w:rsidR="00934FEB" w:rsidRPr="00934FEB" w:rsidRDefault="00000000" w:rsidP="00934FEB">
      <w:pPr>
        <w:spacing w:before="240"/>
        <w:rPr>
          <w:rFonts w:eastAsiaTheme="minorEastAsia"/>
        </w:rPr>
      </w:pPr>
      <m:oMathPara>
        <m:oMath>
          <m:f>
            <m:fPr>
              <m:ctrlPr>
                <w:rPr>
                  <w:rFonts w:ascii="Cambria Math" w:hAnsi="Cambria Math"/>
                  <w:i/>
                </w:rPr>
              </m:ctrlPr>
            </m:fPr>
            <m:num>
              <m:r>
                <w:rPr>
                  <w:rFonts w:ascii="Cambria Math" w:hAnsi="Cambria Math"/>
                </w:rPr>
                <m:t xml:space="preserve">PTWI </m:t>
              </m:r>
              <m:d>
                <m:dPr>
                  <m:ctrlPr>
                    <w:rPr>
                      <w:rFonts w:ascii="Cambria Math" w:hAnsi="Cambria Math"/>
                      <w:i/>
                    </w:rPr>
                  </m:ctrlPr>
                </m:dPr>
                <m:e>
                  <m:r>
                    <w:rPr>
                      <w:rFonts w:ascii="Cambria Math" w:hAnsi="Cambria Math"/>
                    </w:rPr>
                    <m:t>mg</m:t>
                  </m:r>
                </m:e>
              </m:d>
              <m:r>
                <w:rPr>
                  <w:rFonts w:ascii="Cambria Math" w:hAnsi="Cambria Math"/>
                </w:rPr>
                <m:t>× Body Weight (kg)</m:t>
              </m:r>
            </m:num>
            <m:den>
              <m:r>
                <w:rPr>
                  <w:rFonts w:ascii="Cambria Math" w:hAnsi="Cambria Math"/>
                </w:rPr>
                <m:t>7</m:t>
              </m:r>
            </m:den>
          </m:f>
          <m:r>
            <w:rPr>
              <w:rFonts w:ascii="Cambria Math" w:hAnsi="Cambria Math"/>
            </w:rPr>
            <m:t>=mg consumed / day</m:t>
          </m:r>
        </m:oMath>
      </m:oMathPara>
    </w:p>
    <w:p w14:paraId="649F40FB" w14:textId="77EF4CC9" w:rsidR="00934FEB" w:rsidRDefault="00000000" w:rsidP="00934FEB">
      <w:pPr>
        <w:spacing w:before="240"/>
      </w:pPr>
      <m:oMathPara>
        <m:oMath>
          <m:f>
            <m:fPr>
              <m:ctrlPr>
                <w:rPr>
                  <w:rFonts w:ascii="Cambria Math" w:eastAsiaTheme="minorEastAsia" w:hAnsi="Cambria Math"/>
                  <w:i/>
                </w:rPr>
              </m:ctrlPr>
            </m:fPr>
            <m:num>
              <m:func>
                <m:funcPr>
                  <m:ctrlPr>
                    <w:rPr>
                      <w:rFonts w:ascii="Cambria Math" w:eastAsiaTheme="minorEastAsia" w:hAnsi="Cambria Math"/>
                      <w:i/>
                    </w:rPr>
                  </m:ctrlPr>
                </m:funcPr>
                <m:fName>
                  <m:r>
                    <w:rPr>
                      <w:rFonts w:ascii="Cambria Math" w:eastAsiaTheme="minorEastAsia" w:hAnsi="Cambria Math"/>
                    </w:rPr>
                    <m:t>max</m:t>
                  </m:r>
                </m:fName>
                <m:e>
                  <m:r>
                    <w:rPr>
                      <w:rFonts w:ascii="Cambria Math" w:eastAsiaTheme="minorEastAsia" w:hAnsi="Cambria Math"/>
                    </w:rPr>
                    <m:t>mg consumed/day</m:t>
                  </m:r>
                </m:e>
              </m:func>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 xml:space="preserve"> of daily</m:t>
          </m:r>
          <m:func>
            <m:funcPr>
              <m:ctrlPr>
                <w:rPr>
                  <w:rFonts w:ascii="Cambria Math" w:eastAsiaTheme="minorEastAsia" w:hAnsi="Cambria Math"/>
                  <w:i/>
                </w:rPr>
              </m:ctrlPr>
            </m:funcPr>
            <m:fName>
              <m:r>
                <m:rPr>
                  <m:sty m:val="p"/>
                </m:rPr>
                <w:rPr>
                  <w:rFonts w:ascii="Cambria Math" w:eastAsiaTheme="minorEastAsia" w:hAnsi="Cambria Math"/>
                </w:rPr>
                <m:t>max</m:t>
              </m:r>
            </m:fName>
            <m:e>
              <m:r>
                <w:rPr>
                  <w:rFonts w:ascii="Cambria Math" w:eastAsiaTheme="minorEastAsia" w:hAnsi="Cambria Math"/>
                </w:rPr>
                <m:t xml:space="preserve"> (mg)</m:t>
              </m:r>
            </m:e>
          </m:func>
        </m:oMath>
      </m:oMathPara>
    </w:p>
    <w:p w14:paraId="66C354A2" w14:textId="3A5E10F1" w:rsidR="00934FEB" w:rsidRDefault="00000000" w:rsidP="00934FEB">
      <w:pPr>
        <w:tabs>
          <w:tab w:val="left" w:pos="6930"/>
        </w:tabs>
        <w:spacing w:before="240"/>
      </w:pPr>
      <m:oMathPara>
        <m:oMath>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of daily</m:t>
              </m:r>
              <m:func>
                <m:funcPr>
                  <m:ctrlPr>
                    <w:rPr>
                      <w:rFonts w:ascii="Cambria Math" w:hAnsi="Cambria Math"/>
                      <w:i/>
                    </w:rPr>
                  </m:ctrlPr>
                </m:funcPr>
                <m:fName>
                  <m:r>
                    <m:rPr>
                      <m:sty m:val="p"/>
                    </m:rPr>
                    <w:rPr>
                      <w:rFonts w:ascii="Cambria Math" w:hAnsi="Cambria Math"/>
                    </w:rPr>
                    <m:t>max</m:t>
                  </m:r>
                </m:fName>
                <m:e>
                  <m:r>
                    <w:rPr>
                      <w:rFonts w:ascii="Cambria Math" w:hAnsi="Cambria Math"/>
                    </w:rPr>
                    <m:t>(mg)</m:t>
                  </m:r>
                </m:e>
              </m:func>
            </m:num>
            <m:den>
              <m:r>
                <w:rPr>
                  <w:rFonts w:ascii="Cambria Math" w:hAnsi="Cambria Math"/>
                </w:rPr>
                <m:t>serving size (kg)</m:t>
              </m:r>
            </m:den>
          </m:f>
          <m:r>
            <w:rPr>
              <w:rFonts w:ascii="Cambria Math" w:hAnsi="Cambria Math"/>
            </w:rPr>
            <m:t>=</m:t>
          </m:r>
          <m:r>
            <m:rPr>
              <m:sty m:val="bi"/>
            </m:rPr>
            <w:rPr>
              <w:rFonts w:ascii="Cambria Math" w:hAnsi="Cambria Math"/>
            </w:rPr>
            <m:t>mg/kg threshold for ingredient or final product</m:t>
          </m:r>
        </m:oMath>
      </m:oMathPara>
    </w:p>
    <w:p w14:paraId="4CFF0095" w14:textId="7FB7CDCB" w:rsidR="002E4585" w:rsidRPr="00934FEB" w:rsidRDefault="002E4585" w:rsidP="00691E23">
      <w:pPr>
        <w:pStyle w:val="Heading8"/>
      </w:pPr>
      <w:bookmarkStart w:id="297" w:name="_Toc208503360"/>
      <w:r w:rsidRPr="00934FEB">
        <w:lastRenderedPageBreak/>
        <w:t>Cadmium (Cd)</w:t>
      </w:r>
      <w:bookmarkEnd w:id="297"/>
    </w:p>
    <w:p w14:paraId="6DC63DA0" w14:textId="77777777" w:rsidR="002E4585" w:rsidRDefault="002E4585" w:rsidP="00846B8F">
      <w:pPr>
        <w:pStyle w:val="ListParagraph"/>
        <w:numPr>
          <w:ilvl w:val="0"/>
          <w:numId w:val="120"/>
        </w:numPr>
        <w:spacing w:before="240"/>
        <w:contextualSpacing w:val="0"/>
      </w:pPr>
      <w:r>
        <w:t>The Joint FAO/WHO Expert Committee on Food Additives (JECFA) has established a provisional tolerable weekly intake (PTWI) for cadmium of 0.007 mg/kg body weight.</w:t>
      </w:r>
    </w:p>
    <w:p w14:paraId="693719BC" w14:textId="77777777" w:rsidR="002E4585" w:rsidRDefault="002E4585" w:rsidP="00846B8F">
      <w:pPr>
        <w:pStyle w:val="ListParagraph"/>
        <w:numPr>
          <w:ilvl w:val="0"/>
          <w:numId w:val="120"/>
        </w:numPr>
        <w:contextualSpacing w:val="0"/>
      </w:pPr>
      <w:r>
        <w:t>According to the CDC, the average American adult weighs approximately [(199.8lbs (M) +170.8lbs (F))/2] = ~185lbs (84kg).</w:t>
      </w:r>
    </w:p>
    <w:p w14:paraId="01E32FD2" w14:textId="77777777" w:rsidR="002E4585" w:rsidRDefault="002E4585" w:rsidP="00846B8F">
      <w:pPr>
        <w:pStyle w:val="ListParagraph"/>
        <w:numPr>
          <w:ilvl w:val="0"/>
          <w:numId w:val="120"/>
        </w:numPr>
        <w:contextualSpacing w:val="0"/>
      </w:pPr>
      <w:r>
        <w:t>Based on this, the average American should not consume more than (0.007 * 84) = 0.588mg of Cd in a week, which comes out to 0.084mg per day.</w:t>
      </w:r>
    </w:p>
    <w:p w14:paraId="03AE3BB2" w14:textId="77777777" w:rsidR="002E4585" w:rsidRDefault="002E4585" w:rsidP="00846B8F">
      <w:pPr>
        <w:pStyle w:val="ListParagraph"/>
        <w:numPr>
          <w:ilvl w:val="0"/>
          <w:numId w:val="120"/>
        </w:numPr>
        <w:contextualSpacing w:val="0"/>
      </w:pPr>
      <w:r>
        <w:t>Applying the conservative limit of 25% of daily intake from seaweed, the maximum cadmium from one serving of seaweed should be: 0.084mg/day ÷ 4 = 0.021mg/day.</w:t>
      </w:r>
    </w:p>
    <w:p w14:paraId="4E34DC2E" w14:textId="77777777" w:rsidR="002E4585" w:rsidRDefault="002E4585" w:rsidP="00846B8F">
      <w:pPr>
        <w:pStyle w:val="ListParagraph"/>
        <w:numPr>
          <w:ilvl w:val="0"/>
          <w:numId w:val="120"/>
        </w:numPr>
        <w:contextualSpacing w:val="0"/>
      </w:pPr>
      <w:r>
        <w:t>According to the USDA Food Central Database, 1 cup or 15g of seaweed constitutes a serving. With a serving size of 15g dried seaweed (0.015kg), the maximum cadmium concentration in seaweed should be set to 0.021mg/day ÷ 0.015kg = 1.4mg/kg.</w:t>
      </w:r>
    </w:p>
    <w:p w14:paraId="5CEFAA3D" w14:textId="4F33311F" w:rsidR="002E4585" w:rsidRDefault="00934FEB" w:rsidP="00616EDB">
      <w:pPr>
        <w:spacing w:before="240"/>
      </w:pPr>
      <w:r>
        <w:t>So,</w:t>
      </w:r>
      <w:r w:rsidR="002E4585">
        <w:t xml:space="preserve"> the threshold for maximum amount of cadmium in dried seaweed based on these assumptions would be 1.4mg/kg.</w:t>
      </w:r>
    </w:p>
    <w:p w14:paraId="7162D966" w14:textId="77777777" w:rsidR="002E4585" w:rsidRDefault="002E4585" w:rsidP="00691E23">
      <w:pPr>
        <w:pStyle w:val="Heading8"/>
      </w:pPr>
      <w:bookmarkStart w:id="298" w:name="_Toc208503361"/>
      <w:r>
        <w:t>Dioxins</w:t>
      </w:r>
      <w:bookmarkEnd w:id="298"/>
    </w:p>
    <w:p w14:paraId="783B05D4" w14:textId="40A70B64" w:rsidR="002E4585" w:rsidRDefault="002E4585" w:rsidP="00846B8F">
      <w:pPr>
        <w:pStyle w:val="ListParagraph"/>
        <w:numPr>
          <w:ilvl w:val="0"/>
          <w:numId w:val="121"/>
        </w:numPr>
        <w:spacing w:before="240"/>
        <w:contextualSpacing w:val="0"/>
      </w:pPr>
      <w:r>
        <w:t xml:space="preserve">The WHO has set the </w:t>
      </w:r>
      <w:hyperlink r:id="rId228" w:history="1">
        <w:r w:rsidRPr="00CB1809">
          <w:rPr>
            <w:rStyle w:val="Hyperlink"/>
          </w:rPr>
          <w:t>provisional tolerable monthly intake (PTMI) of Dioxin</w:t>
        </w:r>
      </w:hyperlink>
      <w:r>
        <w:t xml:space="preserve"> and Dioxin</w:t>
      </w:r>
      <w:r w:rsidR="00CB1809">
        <w:t>-</w:t>
      </w:r>
      <w:r>
        <w:t>like compounds to 70 pg/kg body weight per month which is a PTWI of 17.5 pg/kg.</w:t>
      </w:r>
    </w:p>
    <w:p w14:paraId="0B5B85E3" w14:textId="77777777" w:rsidR="002E4585" w:rsidRDefault="002E4585" w:rsidP="00846B8F">
      <w:pPr>
        <w:pStyle w:val="ListParagraph"/>
        <w:numPr>
          <w:ilvl w:val="0"/>
          <w:numId w:val="121"/>
        </w:numPr>
        <w:contextualSpacing w:val="0"/>
      </w:pPr>
      <w:r>
        <w:t>According to the CDC the average American weighs approximately [(199.8lbs (M) +170.8lbs (F)) ÷ 2] = ~185lbs (84kg).</w:t>
      </w:r>
    </w:p>
    <w:p w14:paraId="512C1048" w14:textId="54DBB083" w:rsidR="002E4585" w:rsidRDefault="002E4585" w:rsidP="00846B8F">
      <w:pPr>
        <w:pStyle w:val="ListParagraph"/>
        <w:numPr>
          <w:ilvl w:val="0"/>
          <w:numId w:val="121"/>
        </w:numPr>
        <w:contextualSpacing w:val="0"/>
      </w:pPr>
      <w:r>
        <w:t>Based on this, the average American should not consume more than (17.5 * 84) = 1,470pg of Dioxin/Dioxin like compounds in a week, which comes out to 210pg/day.</w:t>
      </w:r>
    </w:p>
    <w:p w14:paraId="22798A8D" w14:textId="77777777" w:rsidR="002E4585" w:rsidRDefault="002E4585" w:rsidP="00846B8F">
      <w:pPr>
        <w:pStyle w:val="ListParagraph"/>
        <w:numPr>
          <w:ilvl w:val="0"/>
          <w:numId w:val="121"/>
        </w:numPr>
        <w:contextualSpacing w:val="0"/>
      </w:pPr>
      <w:r>
        <w:t>Applying the conservative limit of 25% of daily intake from seaweed, the maximum Dioxin/Dioxin like compound exposure from one serving of seaweed should be: 210pg/day ÷ 4 = 52.5pg/day.</w:t>
      </w:r>
    </w:p>
    <w:p w14:paraId="2BC50862" w14:textId="77777777" w:rsidR="002E4585" w:rsidRDefault="002E4585" w:rsidP="00846B8F">
      <w:pPr>
        <w:pStyle w:val="ListParagraph"/>
        <w:numPr>
          <w:ilvl w:val="0"/>
          <w:numId w:val="121"/>
        </w:numPr>
        <w:contextualSpacing w:val="0"/>
      </w:pPr>
      <w:r>
        <w:t>With a serving size of 15 g dried seaweed (0.015kg), the maximum dioxin/dioxin like compound concentration in seaweed should be set to 52.5pg/day ÷ 0.015kg = 3,500pg/kg dry weight.</w:t>
      </w:r>
    </w:p>
    <w:p w14:paraId="40DF642E" w14:textId="7FB8B3AA" w:rsidR="002E4585" w:rsidRDefault="00934FEB" w:rsidP="00616EDB">
      <w:pPr>
        <w:spacing w:before="240"/>
      </w:pPr>
      <w:r>
        <w:t>So,</w:t>
      </w:r>
      <w:r w:rsidR="002E4585">
        <w:t xml:space="preserve"> the threshold for maximum amount of dioxin/dioxin like compounds in dried seaweed based on these assumptions would be 3,500pg/kg.</w:t>
      </w:r>
    </w:p>
    <w:p w14:paraId="5513049D" w14:textId="01DA3F76" w:rsidR="002E4585" w:rsidRPr="002E4585" w:rsidRDefault="002E4585" w:rsidP="00691E23">
      <w:pPr>
        <w:pStyle w:val="Heading7"/>
      </w:pPr>
      <w:bookmarkStart w:id="299" w:name="_Toc208503362"/>
      <w:r w:rsidRPr="002E4585">
        <w:lastRenderedPageBreak/>
        <w:t>Calculation</w:t>
      </w:r>
      <w:r>
        <w:t>s</w:t>
      </w:r>
      <w:r w:rsidRPr="002E4585">
        <w:t xml:space="preserve"> Based on Minimal Risk Level (MRL)</w:t>
      </w:r>
      <w:bookmarkEnd w:id="299"/>
    </w:p>
    <w:p w14:paraId="55A4D4F3" w14:textId="1F853F17" w:rsidR="002E4585" w:rsidRDefault="002E4585" w:rsidP="00616EDB">
      <w:pPr>
        <w:spacing w:before="240"/>
      </w:pPr>
      <w:r>
        <w:t>The following examples demonstrate how seaweed contaminant thresholds can be calculated using cited Minimum Risk Levels (MRLs). These calculations are intentionally conservative, assuming daily consumption of 15 grams of dried seaweed and limiting exposure to 25% of the recommended intake. The exposure limit of 25% the daily recommended intake was chosen to account for the fact that seaweed is not the sole source of dietary exposure. Consumers may also be exposed to contaminants through other foods, so this conservative approach helps ensure overall intake remains within safe limits. The equations can be adjusted to more accurately reflect your intended serving sizes, intended consumer, and actual consumption patterns. Adult body weight (84 kg) is based on Centers for Disease Control and Prevention (CDC) averages for U.S. adults, and the MRL for each compound is taken from the most authoritative available source for that chemical—</w:t>
      </w:r>
      <w:r w:rsidR="00CB1809">
        <w:t>e.g., CDC</w:t>
      </w:r>
      <w:r>
        <w:t>.</w:t>
      </w:r>
    </w:p>
    <w:p w14:paraId="14A1DD41" w14:textId="16BB2EF6" w:rsidR="00CB1809" w:rsidRPr="00CB1809" w:rsidRDefault="00000000" w:rsidP="002E4585">
      <w:pPr>
        <w:rPr>
          <w:rFonts w:eastAsiaTheme="minorEastAsia"/>
        </w:rPr>
      </w:pPr>
      <m:oMathPara>
        <m:oMath>
          <m:f>
            <m:fPr>
              <m:ctrlPr>
                <w:rPr>
                  <w:rFonts w:ascii="Cambria Math" w:hAnsi="Cambria Math"/>
                  <w:i/>
                </w:rPr>
              </m:ctrlPr>
            </m:fPr>
            <m:num>
              <m:r>
                <w:rPr>
                  <w:rFonts w:ascii="Cambria Math" w:hAnsi="Cambria Math"/>
                </w:rPr>
                <m:t xml:space="preserve">MRL </m:t>
              </m:r>
              <m:d>
                <m:dPr>
                  <m:ctrlPr>
                    <w:rPr>
                      <w:rFonts w:ascii="Cambria Math" w:hAnsi="Cambria Math"/>
                      <w:i/>
                    </w:rPr>
                  </m:ctrlPr>
                </m:dPr>
                <m:e>
                  <m:r>
                    <w:rPr>
                      <w:rFonts w:ascii="Cambria Math" w:hAnsi="Cambria Math"/>
                    </w:rPr>
                    <m:t>mg</m:t>
                  </m:r>
                </m:e>
              </m:d>
              <m:r>
                <w:rPr>
                  <w:rFonts w:ascii="Cambria Math" w:hAnsi="Cambria Math"/>
                </w:rPr>
                <m:t>× Body Weight (kg)</m:t>
              </m:r>
            </m:num>
            <m:den>
              <m:r>
                <w:rPr>
                  <w:rFonts w:ascii="Cambria Math" w:hAnsi="Cambria Math"/>
                </w:rPr>
                <m:t>7</m:t>
              </m:r>
            </m:den>
          </m:f>
          <m:r>
            <w:rPr>
              <w:rFonts w:ascii="Cambria Math" w:hAnsi="Cambria Math"/>
            </w:rPr>
            <m:t>=mg consumed / day</m:t>
          </m:r>
        </m:oMath>
      </m:oMathPara>
    </w:p>
    <w:p w14:paraId="448D3CCB" w14:textId="77777777" w:rsidR="00CB1809" w:rsidRDefault="00000000" w:rsidP="00CB1809">
      <w:pPr>
        <w:spacing w:before="240"/>
      </w:pPr>
      <m:oMathPara>
        <m:oMath>
          <m:f>
            <m:fPr>
              <m:ctrlPr>
                <w:rPr>
                  <w:rFonts w:ascii="Cambria Math" w:eastAsiaTheme="minorEastAsia" w:hAnsi="Cambria Math"/>
                  <w:i/>
                </w:rPr>
              </m:ctrlPr>
            </m:fPr>
            <m:num>
              <m:func>
                <m:funcPr>
                  <m:ctrlPr>
                    <w:rPr>
                      <w:rFonts w:ascii="Cambria Math" w:eastAsiaTheme="minorEastAsia" w:hAnsi="Cambria Math"/>
                      <w:i/>
                    </w:rPr>
                  </m:ctrlPr>
                </m:funcPr>
                <m:fName>
                  <m:r>
                    <w:rPr>
                      <w:rFonts w:ascii="Cambria Math" w:eastAsiaTheme="minorEastAsia" w:hAnsi="Cambria Math"/>
                    </w:rPr>
                    <m:t>max</m:t>
                  </m:r>
                </m:fName>
                <m:e>
                  <m:r>
                    <w:rPr>
                      <w:rFonts w:ascii="Cambria Math" w:eastAsiaTheme="minorEastAsia" w:hAnsi="Cambria Math"/>
                    </w:rPr>
                    <m:t>mg consumed/day</m:t>
                  </m:r>
                </m:e>
              </m:func>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 xml:space="preserve"> of daily</m:t>
          </m:r>
          <m:func>
            <m:funcPr>
              <m:ctrlPr>
                <w:rPr>
                  <w:rFonts w:ascii="Cambria Math" w:eastAsiaTheme="minorEastAsia" w:hAnsi="Cambria Math"/>
                  <w:i/>
                </w:rPr>
              </m:ctrlPr>
            </m:funcPr>
            <m:fName>
              <m:r>
                <m:rPr>
                  <m:sty m:val="p"/>
                </m:rPr>
                <w:rPr>
                  <w:rFonts w:ascii="Cambria Math" w:eastAsiaTheme="minorEastAsia" w:hAnsi="Cambria Math"/>
                </w:rPr>
                <m:t>max</m:t>
              </m:r>
            </m:fName>
            <m:e>
              <m:r>
                <w:rPr>
                  <w:rFonts w:ascii="Cambria Math" w:eastAsiaTheme="minorEastAsia" w:hAnsi="Cambria Math"/>
                </w:rPr>
                <m:t xml:space="preserve"> (mg)</m:t>
              </m:r>
            </m:e>
          </m:func>
        </m:oMath>
      </m:oMathPara>
    </w:p>
    <w:p w14:paraId="796209B7" w14:textId="77777777" w:rsidR="00CB1809" w:rsidRDefault="00000000" w:rsidP="00CB1809">
      <w:pPr>
        <w:tabs>
          <w:tab w:val="left" w:pos="6930"/>
        </w:tabs>
        <w:spacing w:before="240"/>
      </w:pPr>
      <m:oMathPara>
        <m:oMath>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of daily</m:t>
              </m:r>
              <m:func>
                <m:funcPr>
                  <m:ctrlPr>
                    <w:rPr>
                      <w:rFonts w:ascii="Cambria Math" w:hAnsi="Cambria Math"/>
                      <w:i/>
                    </w:rPr>
                  </m:ctrlPr>
                </m:funcPr>
                <m:fName>
                  <m:r>
                    <m:rPr>
                      <m:sty m:val="p"/>
                    </m:rPr>
                    <w:rPr>
                      <w:rFonts w:ascii="Cambria Math" w:hAnsi="Cambria Math"/>
                    </w:rPr>
                    <m:t>max</m:t>
                  </m:r>
                </m:fName>
                <m:e>
                  <m:r>
                    <w:rPr>
                      <w:rFonts w:ascii="Cambria Math" w:hAnsi="Cambria Math"/>
                    </w:rPr>
                    <m:t>(mg)</m:t>
                  </m:r>
                </m:e>
              </m:func>
            </m:num>
            <m:den>
              <m:r>
                <w:rPr>
                  <w:rFonts w:ascii="Cambria Math" w:hAnsi="Cambria Math"/>
                </w:rPr>
                <m:t>serving size (kg)</m:t>
              </m:r>
            </m:den>
          </m:f>
          <m:r>
            <w:rPr>
              <w:rFonts w:ascii="Cambria Math" w:hAnsi="Cambria Math"/>
            </w:rPr>
            <m:t>=</m:t>
          </m:r>
          <m:r>
            <m:rPr>
              <m:sty m:val="bi"/>
            </m:rPr>
            <w:rPr>
              <w:rFonts w:ascii="Cambria Math" w:hAnsi="Cambria Math"/>
            </w:rPr>
            <m:t>mg/kg threshold for ingredient or final product</m:t>
          </m:r>
        </m:oMath>
      </m:oMathPara>
    </w:p>
    <w:p w14:paraId="702D10F0" w14:textId="77777777" w:rsidR="002E4585" w:rsidRPr="00934FEB" w:rsidRDefault="002E4585" w:rsidP="00691E23">
      <w:pPr>
        <w:pStyle w:val="Heading8"/>
      </w:pPr>
      <w:bookmarkStart w:id="300" w:name="_Toc208503363"/>
      <w:r w:rsidRPr="00934FEB">
        <w:t>Polyfluoroalkyl Substances (PFAS)</w:t>
      </w:r>
      <w:bookmarkEnd w:id="300"/>
    </w:p>
    <w:p w14:paraId="0BEFCB4A" w14:textId="77777777" w:rsidR="002E4585" w:rsidRDefault="002E4585" w:rsidP="00846B8F">
      <w:pPr>
        <w:pStyle w:val="ListParagraph"/>
        <w:numPr>
          <w:ilvl w:val="0"/>
          <w:numId w:val="122"/>
        </w:numPr>
        <w:spacing w:before="240"/>
        <w:contextualSpacing w:val="0"/>
      </w:pPr>
      <w:r>
        <w:t>This calculation was based on perfluorooctane sulfonic acid (PFOS) specifically since it had the lowest MRL of 2x10-6mg/kg/day.</w:t>
      </w:r>
    </w:p>
    <w:p w14:paraId="0956925B" w14:textId="5A51BB9F" w:rsidR="002E4585" w:rsidRDefault="002E4585" w:rsidP="00846B8F">
      <w:pPr>
        <w:pStyle w:val="ListParagraph"/>
        <w:numPr>
          <w:ilvl w:val="0"/>
          <w:numId w:val="122"/>
        </w:numPr>
        <w:contextualSpacing w:val="0"/>
      </w:pPr>
      <w:r>
        <w:t xml:space="preserve">The </w:t>
      </w:r>
      <w:hyperlink r:id="rId229" w:history="1">
        <w:r w:rsidRPr="00CB1809">
          <w:rPr>
            <w:rStyle w:val="Hyperlink"/>
          </w:rPr>
          <w:t>CDC</w:t>
        </w:r>
      </w:hyperlink>
      <w:r>
        <w:t xml:space="preserve"> has calculated a MRL of 2x10-6mg/kg/day (0.000002mg/kg/day) for PFOS, which is the lowest of all PFAS assessed.</w:t>
      </w:r>
    </w:p>
    <w:p w14:paraId="59395093" w14:textId="77777777" w:rsidR="002E4585" w:rsidRDefault="002E4585" w:rsidP="00846B8F">
      <w:pPr>
        <w:pStyle w:val="ListParagraph"/>
        <w:numPr>
          <w:ilvl w:val="0"/>
          <w:numId w:val="122"/>
        </w:numPr>
        <w:contextualSpacing w:val="0"/>
      </w:pPr>
      <w:r>
        <w:t>According to the CDC the average American weighs approximately 84kg [(199.8lbs (M) +170.8lbs (F))/2] = ~185lbs (84kg).</w:t>
      </w:r>
    </w:p>
    <w:p w14:paraId="06D4F4FE" w14:textId="0C97A42C" w:rsidR="002E4585" w:rsidRDefault="002E4585" w:rsidP="00846B8F">
      <w:pPr>
        <w:pStyle w:val="ListParagraph"/>
        <w:numPr>
          <w:ilvl w:val="0"/>
          <w:numId w:val="122"/>
        </w:numPr>
        <w:contextualSpacing w:val="0"/>
      </w:pPr>
      <w:r>
        <w:t>Based on this the average American should not consume more than (84 * 0.000002 mg) = 0.000168mg per day.</w:t>
      </w:r>
    </w:p>
    <w:p w14:paraId="32C762BB" w14:textId="77777777" w:rsidR="002E4585" w:rsidRDefault="002E4585" w:rsidP="00846B8F">
      <w:pPr>
        <w:pStyle w:val="ListParagraph"/>
        <w:numPr>
          <w:ilvl w:val="0"/>
          <w:numId w:val="122"/>
        </w:numPr>
        <w:contextualSpacing w:val="0"/>
      </w:pPr>
      <w:r>
        <w:t>Applying the conservative limit of 25% of daily intake from seaweed, the maximum PFOS exposure from one serving of seaweed should be (0.000168mg/day ÷ 4) = 0.000042mg/day.</w:t>
      </w:r>
    </w:p>
    <w:p w14:paraId="26236B17" w14:textId="77777777" w:rsidR="002E4585" w:rsidRDefault="002E4585" w:rsidP="00846B8F">
      <w:pPr>
        <w:pStyle w:val="ListParagraph"/>
        <w:numPr>
          <w:ilvl w:val="0"/>
          <w:numId w:val="122"/>
        </w:numPr>
        <w:contextualSpacing w:val="0"/>
      </w:pPr>
      <w:r>
        <w:lastRenderedPageBreak/>
        <w:t>With a serving size of 15 g dried seaweed (0.015kg), the maximum PFOS concentration in seaweed should be set to (0.000042mg ÷ 0.015kg) = 0.0028mg/kg dry weight.</w:t>
      </w:r>
    </w:p>
    <w:p w14:paraId="27A96C72" w14:textId="6A047FF0" w:rsidR="002E4585" w:rsidRPr="002E4585" w:rsidRDefault="00CB1809" w:rsidP="00616EDB">
      <w:pPr>
        <w:spacing w:before="240"/>
      </w:pPr>
      <w:r>
        <w:t>So,</w:t>
      </w:r>
      <w:r w:rsidR="002E4585">
        <w:t xml:space="preserve"> the threshold for maximum amount of PFOS in dried seaweed based on these assumptions would be 0.0028mg/kg or 2.8x10-3mg/kg.</w:t>
      </w:r>
    </w:p>
    <w:sectPr w:rsidR="002E4585" w:rsidRPr="002E4585" w:rsidSect="005003BC">
      <w:pgSz w:w="12240" w:h="15840"/>
      <w:pgMar w:top="1440" w:right="1440" w:bottom="1440" w:left="1440" w:header="720" w:footer="720" w:gutter="0"/>
      <w:pgNumType w:start="1"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C4404" w14:textId="77777777" w:rsidR="005611CF" w:rsidRDefault="005611CF" w:rsidP="005516E4">
      <w:pPr>
        <w:spacing w:after="0" w:line="240" w:lineRule="auto"/>
      </w:pPr>
      <w:r>
        <w:separator/>
      </w:r>
    </w:p>
  </w:endnote>
  <w:endnote w:type="continuationSeparator" w:id="0">
    <w:p w14:paraId="6FD31C1E" w14:textId="77777777" w:rsidR="005611CF" w:rsidRDefault="005611CF" w:rsidP="00551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section">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ystem-u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9455103"/>
      <w:docPartObj>
        <w:docPartGallery w:val="Page Numbers (Bottom of Page)"/>
        <w:docPartUnique/>
      </w:docPartObj>
    </w:sdtPr>
    <w:sdtContent>
      <w:p w14:paraId="5804D307" w14:textId="77777777" w:rsidR="00441BE0" w:rsidRDefault="00441BE0" w:rsidP="00A610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26-2</w:t>
        </w:r>
        <w:r>
          <w:rPr>
            <w:rStyle w:val="PageNumber"/>
          </w:rPr>
          <w:fldChar w:fldCharType="end"/>
        </w:r>
      </w:p>
    </w:sdtContent>
  </w:sdt>
  <w:p w14:paraId="4C209E9D" w14:textId="77777777" w:rsidR="00441BE0" w:rsidRDefault="00441BE0" w:rsidP="005516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60BAD" w14:textId="5603D50F" w:rsidR="00441BE0" w:rsidRDefault="00441BE0" w:rsidP="00A61070">
    <w:pPr>
      <w:pStyle w:val="Footer"/>
      <w:framePr w:wrap="none" w:vAnchor="text" w:hAnchor="margin" w:xAlign="right" w:y="1"/>
      <w:rPr>
        <w:rStyle w:val="PageNumber"/>
      </w:rPr>
    </w:pPr>
  </w:p>
  <w:p w14:paraId="579A9D26" w14:textId="77777777" w:rsidR="00441BE0" w:rsidRDefault="00441BE0" w:rsidP="005516E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090103"/>
      <w:docPartObj>
        <w:docPartGallery w:val="Page Numbers (Bottom of Page)"/>
        <w:docPartUnique/>
      </w:docPartObj>
    </w:sdtPr>
    <w:sdtContent>
      <w:p w14:paraId="244EEB81" w14:textId="4AA88888" w:rsidR="005516E4" w:rsidRDefault="005516E4" w:rsidP="003D05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3E83">
          <w:rPr>
            <w:rStyle w:val="PageNumber"/>
            <w:noProof/>
          </w:rPr>
          <w:t>26-2</w:t>
        </w:r>
        <w:r>
          <w:rPr>
            <w:rStyle w:val="PageNumber"/>
          </w:rPr>
          <w:fldChar w:fldCharType="end"/>
        </w:r>
      </w:p>
    </w:sdtContent>
  </w:sdt>
  <w:p w14:paraId="3B86253A" w14:textId="77777777" w:rsidR="005516E4" w:rsidRDefault="005516E4" w:rsidP="005516E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083C2" w14:textId="70F37B6C" w:rsidR="005516E4" w:rsidRDefault="005516E4" w:rsidP="003D051E">
    <w:pPr>
      <w:pStyle w:val="Footer"/>
      <w:framePr w:wrap="none" w:vAnchor="text" w:hAnchor="margin" w:xAlign="right" w:y="1"/>
      <w:rPr>
        <w:rStyle w:val="PageNumber"/>
      </w:rPr>
    </w:pPr>
  </w:p>
  <w:p w14:paraId="70C58086" w14:textId="77777777" w:rsidR="005516E4" w:rsidRDefault="005516E4" w:rsidP="005516E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2866948"/>
      <w:docPartObj>
        <w:docPartGallery w:val="Page Numbers (Bottom of Page)"/>
        <w:docPartUnique/>
      </w:docPartObj>
    </w:sdtPr>
    <w:sdtContent>
      <w:p w14:paraId="1BF5570D" w14:textId="4CCECEB5" w:rsidR="00441BE0" w:rsidRDefault="00B47DD8" w:rsidP="003D051E">
        <w:pPr>
          <w:pStyle w:val="Footer"/>
          <w:framePr w:wrap="none" w:vAnchor="text" w:hAnchor="margin" w:xAlign="right" w:y="1"/>
          <w:rPr>
            <w:rStyle w:val="PageNumber"/>
          </w:rPr>
        </w:pPr>
        <w:r>
          <w:rPr>
            <w:rStyle w:val="PageNumber"/>
          </w:rPr>
          <w:t xml:space="preserve">(September 2025) </w:t>
        </w:r>
        <w:r w:rsidR="00441BE0">
          <w:rPr>
            <w:rStyle w:val="PageNumber"/>
          </w:rPr>
          <w:fldChar w:fldCharType="begin"/>
        </w:r>
        <w:r w:rsidR="00441BE0">
          <w:rPr>
            <w:rStyle w:val="PageNumber"/>
          </w:rPr>
          <w:instrText xml:space="preserve"> PAGE </w:instrText>
        </w:r>
        <w:r w:rsidR="00441BE0">
          <w:rPr>
            <w:rStyle w:val="PageNumber"/>
          </w:rPr>
          <w:fldChar w:fldCharType="separate"/>
        </w:r>
        <w:r w:rsidR="00441BE0">
          <w:rPr>
            <w:rStyle w:val="PageNumber"/>
            <w:noProof/>
          </w:rPr>
          <w:t>1</w:t>
        </w:r>
        <w:r w:rsidR="00441BE0">
          <w:rPr>
            <w:rStyle w:val="PageNumber"/>
          </w:rPr>
          <w:fldChar w:fldCharType="end"/>
        </w:r>
      </w:p>
    </w:sdtContent>
  </w:sdt>
  <w:p w14:paraId="2E1960F8" w14:textId="0489496A" w:rsidR="00441BE0" w:rsidRDefault="00972ACD" w:rsidP="005516E4">
    <w:pPr>
      <w:pStyle w:val="Footer"/>
      <w:ind w:right="360"/>
    </w:pPr>
    <w:hyperlink w:anchor="TableofContents" w:history="1">
      <w:r w:rsidRPr="00FB0DBA">
        <w:rPr>
          <w:rStyle w:val="Hyperlink"/>
        </w:rPr>
        <w:t>Return to Table</w:t>
      </w:r>
      <w:r w:rsidR="004620F9">
        <w:rPr>
          <w:rStyle w:val="Hyperlink"/>
        </w:rPr>
        <w:t xml:space="preserve"> </w:t>
      </w:r>
      <w:r w:rsidRPr="00FB0DBA">
        <w:rPr>
          <w:rStyle w:val="Hyperlink"/>
        </w:rPr>
        <w:t>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7E2CC" w14:textId="77777777" w:rsidR="005611CF" w:rsidRDefault="005611CF" w:rsidP="005516E4">
      <w:pPr>
        <w:spacing w:after="0" w:line="240" w:lineRule="auto"/>
      </w:pPr>
      <w:r>
        <w:separator/>
      </w:r>
    </w:p>
  </w:footnote>
  <w:footnote w:type="continuationSeparator" w:id="0">
    <w:p w14:paraId="20EF16D6" w14:textId="77777777" w:rsidR="005611CF" w:rsidRDefault="005611CF" w:rsidP="005516E4">
      <w:pPr>
        <w:spacing w:after="0" w:line="240" w:lineRule="auto"/>
      </w:pPr>
      <w:r>
        <w:continuationSeparator/>
      </w:r>
    </w:p>
  </w:footnote>
  <w:footnote w:id="1">
    <w:p w14:paraId="4B6C2F69" w14:textId="37FAB46C" w:rsidR="00A839A8" w:rsidRDefault="00A839A8" w:rsidP="00A839A8">
      <w:pPr>
        <w:pStyle w:val="Footer"/>
      </w:pPr>
      <w:r>
        <w:rPr>
          <w:rStyle w:val="FootnoteReference"/>
        </w:rPr>
        <w:footnoteRef/>
      </w:r>
      <w:r>
        <w:t xml:space="preserve"> </w:t>
      </w:r>
      <w:r w:rsidRPr="00A839A8">
        <w:t>While “</w:t>
      </w:r>
      <w:hyperlink w:anchor="RawFood" w:tooltip="[industry term] Any food that has not been processed, cooked or heat treated." w:history="1">
        <w:r w:rsidRPr="00AE1C32">
          <w:rPr>
            <w:rStyle w:val="Hyperlink"/>
          </w:rPr>
          <w:t>raw food</w:t>
        </w:r>
      </w:hyperlink>
      <w:r w:rsidRPr="00A839A8">
        <w:t>” diets may consider dried seaweed that is dried below a certain temperature to be a “raw food”, for federal regulatory purposes, dried seaweed is a processed food.</w:t>
      </w:r>
    </w:p>
  </w:footnote>
  <w:footnote w:id="2">
    <w:p w14:paraId="228A3BED" w14:textId="23FAAED1" w:rsidR="0095024A" w:rsidRDefault="0095024A">
      <w:pPr>
        <w:pStyle w:val="FootnoteText"/>
      </w:pPr>
      <w:r w:rsidRPr="00CF2767">
        <w:rPr>
          <w:rStyle w:val="FootnoteReference"/>
        </w:rPr>
        <w:footnoteRef/>
      </w:r>
      <w:r w:rsidRPr="00CF2767">
        <w:t xml:space="preserve"> </w:t>
      </w:r>
      <w:r w:rsidRPr="00CF2767">
        <w:rPr>
          <w:rStyle w:val="FooterChar"/>
        </w:rPr>
        <w:t>Email on file with author. The FDCA defines a raw agricultural commodity as “any food in its raw or natural state, including all fruits that are washed, colored, or otherwise treated in their unpeeled natural form prior to marketing.” 21 U.S.C. § 321(r).</w:t>
      </w:r>
    </w:p>
  </w:footnote>
  <w:footnote w:id="3">
    <w:p w14:paraId="6F9E2403" w14:textId="1E97E00E" w:rsidR="0095024A" w:rsidRDefault="0095024A">
      <w:pPr>
        <w:pStyle w:val="FootnoteText"/>
      </w:pPr>
      <w:r>
        <w:rPr>
          <w:rStyle w:val="FootnoteReference"/>
        </w:rPr>
        <w:footnoteRef/>
      </w:r>
      <w:r>
        <w:t xml:space="preserve"> </w:t>
      </w:r>
      <w:r w:rsidRPr="0095024A">
        <w:rPr>
          <w:rStyle w:val="FooterChar"/>
        </w:rPr>
        <w:t>21 U.S.C. § 350d.</w:t>
      </w:r>
    </w:p>
  </w:footnote>
  <w:footnote w:id="4">
    <w:p w14:paraId="57F8D241" w14:textId="4ACE26C1" w:rsidR="0095024A" w:rsidRDefault="0095024A">
      <w:pPr>
        <w:pStyle w:val="FootnoteText"/>
      </w:pPr>
      <w:r>
        <w:rPr>
          <w:rStyle w:val="FootnoteReference"/>
        </w:rPr>
        <w:footnoteRef/>
      </w:r>
      <w:r>
        <w:t xml:space="preserve"> </w:t>
      </w:r>
      <w:r w:rsidRPr="0095024A">
        <w:rPr>
          <w:rStyle w:val="FooterChar"/>
        </w:rPr>
        <w:t>21 C.F.R. § 117.3.</w:t>
      </w:r>
    </w:p>
  </w:footnote>
  <w:footnote w:id="5">
    <w:p w14:paraId="3F9CC77F" w14:textId="3A2C2BC0" w:rsidR="0095024A" w:rsidRDefault="0095024A">
      <w:pPr>
        <w:pStyle w:val="FootnoteText"/>
      </w:pPr>
      <w:r>
        <w:rPr>
          <w:rStyle w:val="FootnoteReference"/>
        </w:rPr>
        <w:footnoteRef/>
      </w:r>
      <w:r>
        <w:t xml:space="preserve"> </w:t>
      </w:r>
      <w:r w:rsidRPr="0095024A">
        <w:rPr>
          <w:rStyle w:val="FooterChar"/>
          <w:i/>
          <w:iCs/>
        </w:rPr>
        <w:t xml:space="preserve">Id. </w:t>
      </w:r>
      <w:r w:rsidRPr="0095024A">
        <w:rPr>
          <w:rStyle w:val="FooterChar"/>
        </w:rPr>
        <w:t>§ 1.227. (emphasis added).</w:t>
      </w:r>
    </w:p>
  </w:footnote>
  <w:footnote w:id="6">
    <w:p w14:paraId="0A8174C7" w14:textId="24338D3C" w:rsidR="004E65BB" w:rsidRDefault="004E65BB">
      <w:pPr>
        <w:pStyle w:val="FootnoteText"/>
      </w:pPr>
      <w:r>
        <w:rPr>
          <w:rStyle w:val="FootnoteReference"/>
        </w:rPr>
        <w:footnoteRef/>
      </w:r>
      <w:r>
        <w:t xml:space="preserve"> </w:t>
      </w:r>
      <w:r w:rsidRPr="004E65BB">
        <w:rPr>
          <w:rStyle w:val="FooterChar"/>
          <w:i/>
          <w:iCs/>
        </w:rPr>
        <w:t xml:space="preserve">Current Good Manufacturing Practices </w:t>
      </w:r>
      <w:r>
        <w:rPr>
          <w:rStyle w:val="FooterChar"/>
          <w:i/>
          <w:iCs/>
        </w:rPr>
        <w:t>C</w:t>
      </w:r>
      <w:r w:rsidRPr="004E65BB">
        <w:rPr>
          <w:rStyle w:val="FooterChar"/>
          <w:i/>
          <w:iCs/>
        </w:rPr>
        <w:t>(GMPs) for Food and Dietary Supplements,</w:t>
      </w:r>
      <w:r w:rsidRPr="004E65BB">
        <w:rPr>
          <w:rStyle w:val="FooterChar"/>
        </w:rPr>
        <w:t xml:space="preserve"> U.S. Food &amp; Drug Admin. (Jan. 31, 2020).</w:t>
      </w:r>
    </w:p>
  </w:footnote>
  <w:footnote w:id="7">
    <w:p w14:paraId="570000FC" w14:textId="24D2C52A" w:rsidR="004E65BB" w:rsidRDefault="004E65BB">
      <w:pPr>
        <w:pStyle w:val="FootnoteText"/>
      </w:pPr>
      <w:r>
        <w:rPr>
          <w:rStyle w:val="FootnoteReference"/>
        </w:rPr>
        <w:footnoteRef/>
      </w:r>
      <w:r>
        <w:t xml:space="preserve"> </w:t>
      </w:r>
      <w:r w:rsidRPr="004E65BB">
        <w:rPr>
          <w:rStyle w:val="FooterChar"/>
        </w:rPr>
        <w:t xml:space="preserve">FDA, </w:t>
      </w:r>
      <w:hyperlink r:id="rId1" w:history="1">
        <w:r w:rsidRPr="004E65BB">
          <w:rPr>
            <w:rStyle w:val="Hyperlink"/>
            <w:sz w:val="22"/>
          </w:rPr>
          <w:t>Current Good Manufacturing Practices (CGMPs) for Food and Dietary Supplements</w:t>
        </w:r>
      </w:hyperlink>
      <w:r w:rsidRPr="004E65BB">
        <w:rPr>
          <w:rStyle w:val="FooterChar"/>
        </w:rPr>
        <w:t>.</w:t>
      </w:r>
    </w:p>
  </w:footnote>
  <w:footnote w:id="8">
    <w:p w14:paraId="1CB11AB0" w14:textId="35AC2218" w:rsidR="00757F21" w:rsidRDefault="00757F21" w:rsidP="00757F21">
      <w:pPr>
        <w:pStyle w:val="Footer"/>
      </w:pPr>
      <w:r>
        <w:rPr>
          <w:rStyle w:val="FootnoteReference"/>
        </w:rPr>
        <w:footnoteRef/>
      </w:r>
      <w:r w:rsidRPr="00757F21">
        <w:rPr>
          <w:i/>
          <w:iCs/>
        </w:rPr>
        <w:t>Id.</w:t>
      </w:r>
      <w:r w:rsidRPr="00757F21">
        <w:t xml:space="preserve"> § 117.3.</w:t>
      </w:r>
    </w:p>
  </w:footnote>
  <w:footnote w:id="9">
    <w:p w14:paraId="45056E3D" w14:textId="3A770A1C" w:rsidR="009B5718" w:rsidRDefault="009B5718">
      <w:pPr>
        <w:pStyle w:val="FootnoteText"/>
      </w:pPr>
      <w:r>
        <w:rPr>
          <w:rStyle w:val="FootnoteReference"/>
        </w:rPr>
        <w:footnoteRef/>
      </w:r>
      <w:r w:rsidRPr="009B5718">
        <w:rPr>
          <w:rStyle w:val="FooterChar"/>
        </w:rPr>
        <w:t xml:space="preserve"> 21 C.F.R. § 1.227.</w:t>
      </w:r>
    </w:p>
  </w:footnote>
  <w:footnote w:id="10">
    <w:p w14:paraId="6E37AA34" w14:textId="33BF2410" w:rsidR="009B5718" w:rsidRPr="009B5718" w:rsidRDefault="009B5718">
      <w:pPr>
        <w:pStyle w:val="FootnoteText"/>
        <w:rPr>
          <w:i/>
          <w:iCs/>
        </w:rPr>
      </w:pPr>
      <w:r>
        <w:rPr>
          <w:rStyle w:val="FootnoteReference"/>
        </w:rPr>
        <w:footnoteRef/>
      </w:r>
      <w:r>
        <w:t xml:space="preserve"> </w:t>
      </w:r>
      <w:r w:rsidRPr="009B5718">
        <w:rPr>
          <w:rStyle w:val="FooterChar"/>
          <w:i/>
          <w:iCs/>
        </w:rPr>
        <w:t>Id.</w:t>
      </w:r>
    </w:p>
  </w:footnote>
  <w:footnote w:id="11">
    <w:p w14:paraId="62EC9E8E" w14:textId="03B72F6F" w:rsidR="009B5718" w:rsidRDefault="009B5718">
      <w:pPr>
        <w:pStyle w:val="FootnoteText"/>
      </w:pPr>
      <w:r>
        <w:rPr>
          <w:rStyle w:val="FootnoteReference"/>
        </w:rPr>
        <w:footnoteRef/>
      </w:r>
      <w:r>
        <w:t xml:space="preserve"> </w:t>
      </w:r>
      <w:r w:rsidR="00D63931" w:rsidRPr="00D63931">
        <w:rPr>
          <w:rStyle w:val="FooterChar"/>
          <w:i/>
          <w:iCs/>
        </w:rPr>
        <w:t>Id.</w:t>
      </w:r>
    </w:p>
  </w:footnote>
  <w:footnote w:id="12">
    <w:p w14:paraId="169EE255" w14:textId="5F35E40D" w:rsidR="00D63931" w:rsidRDefault="00D63931">
      <w:pPr>
        <w:pStyle w:val="FootnoteText"/>
      </w:pPr>
      <w:r>
        <w:rPr>
          <w:rStyle w:val="FootnoteReference"/>
        </w:rPr>
        <w:footnoteRef/>
      </w:r>
      <w:r>
        <w:t xml:space="preserve"> </w:t>
      </w:r>
      <w:r w:rsidRPr="00D63931">
        <w:rPr>
          <w:rStyle w:val="FooterChar"/>
        </w:rPr>
        <w:t>Email correspondence with Emanuel Hignutt, on file with the author.</w:t>
      </w:r>
    </w:p>
  </w:footnote>
  <w:footnote w:id="13">
    <w:p w14:paraId="7D8F864B" w14:textId="673338F3" w:rsidR="003C2802" w:rsidRDefault="003C2802">
      <w:pPr>
        <w:pStyle w:val="FootnoteText"/>
      </w:pPr>
      <w:r>
        <w:rPr>
          <w:rStyle w:val="FootnoteReference"/>
        </w:rPr>
        <w:footnoteRef/>
      </w:r>
      <w:r>
        <w:t xml:space="preserve"> </w:t>
      </w:r>
      <w:r w:rsidR="00BF5660" w:rsidRPr="00BF5660">
        <w:rPr>
          <w:rStyle w:val="FooterChar"/>
        </w:rPr>
        <w:t>See 18 AAC 31.</w:t>
      </w:r>
    </w:p>
  </w:footnote>
  <w:footnote w:id="14">
    <w:p w14:paraId="27B533E1" w14:textId="1120D453" w:rsidR="00BF5660" w:rsidRDefault="00BF5660">
      <w:pPr>
        <w:pStyle w:val="FootnoteText"/>
      </w:pPr>
      <w:r>
        <w:rPr>
          <w:rStyle w:val="FootnoteReference"/>
        </w:rPr>
        <w:footnoteRef/>
      </w:r>
      <w:r>
        <w:t xml:space="preserve"> </w:t>
      </w:r>
      <w:r w:rsidRPr="00BF5660">
        <w:rPr>
          <w:rStyle w:val="FooterChar"/>
        </w:rPr>
        <w:t xml:space="preserve">Seafood HACCP: </w:t>
      </w:r>
      <w:hyperlink r:id="rId2" w:history="1">
        <w:r w:rsidRPr="00BF5660">
          <w:rPr>
            <w:rStyle w:val="Hyperlink"/>
            <w:sz w:val="22"/>
          </w:rPr>
          <w:t>Final Rule</w:t>
        </w:r>
      </w:hyperlink>
      <w:r>
        <w:rPr>
          <w:rStyle w:val="FooterChar"/>
        </w:rPr>
        <w:t xml:space="preserve"> (PDF)</w:t>
      </w:r>
      <w:r w:rsidRPr="00BF5660">
        <w:rPr>
          <w:rStyle w:val="FooterChar"/>
        </w:rPr>
        <w:t xml:space="preserve"> - 60 FR 65096 - December 18, 1995</w:t>
      </w:r>
    </w:p>
  </w:footnote>
  <w:footnote w:id="15">
    <w:p w14:paraId="6AF929D9" w14:textId="69A1CB74" w:rsidR="00BF5660" w:rsidRDefault="00BF5660">
      <w:pPr>
        <w:pStyle w:val="FootnoteText"/>
      </w:pPr>
      <w:r>
        <w:rPr>
          <w:rStyle w:val="FootnoteReference"/>
        </w:rPr>
        <w:footnoteRef/>
      </w:r>
      <w:r>
        <w:t xml:space="preserve"> </w:t>
      </w:r>
      <w:r w:rsidRPr="00BF5660">
        <w:rPr>
          <w:rStyle w:val="FooterChar"/>
        </w:rPr>
        <w:t xml:space="preserve">Sea Grant Seaweed Hub State of the States, available at </w:t>
      </w:r>
      <w:hyperlink r:id="rId3" w:history="1">
        <w:r w:rsidRPr="00BF5660">
          <w:rPr>
            <w:rStyle w:val="FooterChar"/>
          </w:rPr>
          <w:t>https://seaweedhub.org/symposium/</w:t>
        </w:r>
      </w:hyperlink>
      <w:r w:rsidRPr="00BF5660">
        <w:rPr>
          <w:rStyle w:val="FooterChar"/>
        </w:rPr>
        <w:t>.</w:t>
      </w:r>
    </w:p>
  </w:footnote>
  <w:footnote w:id="16">
    <w:p w14:paraId="5075FA00" w14:textId="0046F0A1" w:rsidR="00FF2014" w:rsidRPr="00FF2014" w:rsidRDefault="00FF2014" w:rsidP="00FF2014">
      <w:pPr>
        <w:spacing w:after="0" w:line="240" w:lineRule="auto"/>
        <w:ind w:left="-810" w:right="-810"/>
        <w:contextualSpacing/>
      </w:pPr>
      <w:r w:rsidRPr="00FF2014">
        <w:rPr>
          <w:rStyle w:val="FootnoteReference"/>
        </w:rPr>
        <w:footnoteRef/>
      </w:r>
      <w:r w:rsidRPr="00FF2014">
        <w:t xml:space="preserve"> Not considered a significant hazard if the seaweed will be processed with a method that will kill potential microbial pathogens prior to consumption.</w:t>
      </w:r>
    </w:p>
  </w:footnote>
  <w:footnote w:id="17">
    <w:p w14:paraId="5A4A5681" w14:textId="761CD95E" w:rsidR="00FF2014" w:rsidRDefault="00FF2014" w:rsidP="00FF2014">
      <w:pPr>
        <w:pStyle w:val="FootnoteText"/>
        <w:ind w:left="-810"/>
        <w:contextualSpacing/>
      </w:pPr>
      <w:r w:rsidRPr="00FF2014">
        <w:rPr>
          <w:rStyle w:val="FootnoteReference"/>
          <w:sz w:val="24"/>
          <w:szCs w:val="24"/>
        </w:rPr>
        <w:footnoteRef/>
      </w:r>
      <w:r w:rsidRPr="00FF2014">
        <w:rPr>
          <w:sz w:val="24"/>
          <w:szCs w:val="24"/>
        </w:rPr>
        <w:t xml:space="preserve"> No data to support parasitic hazards in seaweeds to date.</w:t>
      </w:r>
    </w:p>
  </w:footnote>
  <w:footnote w:id="18">
    <w:p w14:paraId="7FECB6C8" w14:textId="51F777AB" w:rsidR="00FF2014" w:rsidRDefault="00FF2014" w:rsidP="00FF2014">
      <w:pPr>
        <w:pStyle w:val="FootnoteText"/>
        <w:ind w:left="-810"/>
      </w:pPr>
      <w:r>
        <w:rPr>
          <w:rStyle w:val="FootnoteReference"/>
        </w:rPr>
        <w:t>1</w:t>
      </w:r>
      <w:r>
        <w:t xml:space="preserve"> Not considered a significant hazard if the seaweed will be processed with a method that will kill potential microbial pathogens prior to consumption.</w:t>
      </w:r>
    </w:p>
  </w:footnote>
  <w:footnote w:id="19">
    <w:p w14:paraId="3362DF7A" w14:textId="5C0BF70D" w:rsidR="00FF2014" w:rsidRDefault="00FF2014" w:rsidP="00FF2014">
      <w:pPr>
        <w:pStyle w:val="FootnoteText"/>
        <w:ind w:left="-810"/>
      </w:pPr>
      <w:r>
        <w:rPr>
          <w:rStyle w:val="FootnoteReference"/>
        </w:rPr>
        <w:t>2</w:t>
      </w:r>
      <w:r>
        <w:t xml:space="preserve"> No data to support parasitic hazards in seaweeds to date.</w:t>
      </w:r>
    </w:p>
    <w:p w14:paraId="0CF5517E" w14:textId="77777777" w:rsidR="00FF2014" w:rsidRDefault="00FF2014" w:rsidP="00FF2014">
      <w:pPr>
        <w:pStyle w:val="FootnoteText"/>
      </w:pPr>
    </w:p>
  </w:footnote>
  <w:footnote w:id="20">
    <w:p w14:paraId="505708B6" w14:textId="4C9AEF1D" w:rsidR="00FF2014" w:rsidRDefault="00FF2014" w:rsidP="00045395">
      <w:pPr>
        <w:pStyle w:val="FootnoteText"/>
        <w:ind w:left="-720"/>
      </w:pPr>
      <w:r>
        <w:rPr>
          <w:rStyle w:val="FootnoteReference"/>
        </w:rPr>
        <w:t>1</w:t>
      </w:r>
      <w:r>
        <w:t xml:space="preserve"> Not considered a significant hazard if the seaweed will be processed with a method that will kill potential microbial pathogens prior to consumption.</w:t>
      </w:r>
    </w:p>
  </w:footnote>
  <w:footnote w:id="21">
    <w:p w14:paraId="2E26F3E5" w14:textId="2A5F90FB" w:rsidR="00FF2014" w:rsidRDefault="00FF2014" w:rsidP="00045395">
      <w:pPr>
        <w:pStyle w:val="FootnoteText"/>
        <w:ind w:left="-720"/>
      </w:pPr>
      <w:r>
        <w:rPr>
          <w:rStyle w:val="FootnoteReference"/>
        </w:rPr>
        <w:t>2</w:t>
      </w:r>
      <w:r>
        <w:t xml:space="preserve"> No data to support parasitic hazards in seaweeds to date.</w:t>
      </w:r>
    </w:p>
  </w:footnote>
  <w:footnote w:id="22">
    <w:p w14:paraId="635C992F" w14:textId="22B6C904" w:rsidR="00DD568D" w:rsidRDefault="00DD568D">
      <w:pPr>
        <w:pStyle w:val="FootnoteText"/>
      </w:pPr>
      <w:r>
        <w:rPr>
          <w:rStyle w:val="FootnoteReference"/>
        </w:rPr>
        <w:footnoteRef/>
      </w:r>
      <w:r>
        <w:t xml:space="preserve"> </w:t>
      </w:r>
      <w:r w:rsidRPr="00DD568D">
        <w:t>Seaweed with heavy fouling and high concentrations of crustaceans may contain the allergenic crustacean protein tropomyosin. Each facility is responsible for assessing this risk based on the presence of crustaceans in their product.</w:t>
      </w:r>
    </w:p>
  </w:footnote>
  <w:footnote w:id="23">
    <w:p w14:paraId="6D9FE607" w14:textId="1C24945D" w:rsidR="00DD568D" w:rsidRDefault="00DD568D">
      <w:pPr>
        <w:pStyle w:val="FootnoteText"/>
      </w:pPr>
      <w:r>
        <w:rPr>
          <w:rStyle w:val="FootnoteReference"/>
        </w:rPr>
        <w:footnoteRef/>
      </w:r>
      <w:r>
        <w:t xml:space="preserve"> </w:t>
      </w:r>
      <w:r w:rsidRPr="00DD568D">
        <w:t>This hazard may apply depending on processing practices and prerequisite programs in place</w:t>
      </w:r>
      <w:r>
        <w:t>.</w:t>
      </w:r>
    </w:p>
  </w:footnote>
  <w:footnote w:id="24">
    <w:p w14:paraId="7EA7EB93" w14:textId="790AA6D2" w:rsidR="00DD568D" w:rsidRDefault="00DD568D">
      <w:pPr>
        <w:pStyle w:val="FootnoteText"/>
      </w:pPr>
      <w:r>
        <w:rPr>
          <w:rStyle w:val="FootnoteReference"/>
        </w:rPr>
        <w:footnoteRef/>
      </w:r>
      <w:r>
        <w:t xml:space="preserve"> </w:t>
      </w:r>
      <w:r w:rsidRPr="00DD568D">
        <w:t xml:space="preserve">Additional concern: </w:t>
      </w:r>
      <w:r w:rsidRPr="00DD568D">
        <w:rPr>
          <w:i/>
          <w:iCs/>
        </w:rPr>
        <w:t>Staphylococcus aureus</w:t>
      </w:r>
      <w:r w:rsidRPr="00DD568D">
        <w:t xml:space="preserve"> is a common pathogen and can grow in dried products, if concerned with </w:t>
      </w:r>
      <w:r>
        <w:rPr>
          <w:i/>
          <w:iCs/>
        </w:rPr>
        <w:t>Staphylococcus aureus</w:t>
      </w:r>
      <w:r w:rsidRPr="00DD568D">
        <w:t xml:space="preserve"> growth, target a water activity (a</w:t>
      </w:r>
      <w:r w:rsidRPr="00DD568D">
        <w:rPr>
          <w:vertAlign w:val="subscript"/>
        </w:rPr>
        <w:t>W</w:t>
      </w:r>
      <w:r w:rsidRPr="00DD568D">
        <w:t>) of 0.83 or below.</w:t>
      </w:r>
    </w:p>
  </w:footnote>
  <w:footnote w:id="25">
    <w:p w14:paraId="3B6220FB" w14:textId="5993DD9A" w:rsidR="00DD568D" w:rsidRDefault="00DD568D">
      <w:pPr>
        <w:pStyle w:val="FootnoteText"/>
      </w:pPr>
      <w:r>
        <w:rPr>
          <w:rStyle w:val="FootnoteReference"/>
        </w:rPr>
        <w:footnoteRef/>
      </w:r>
      <w:r>
        <w:t xml:space="preserve"> </w:t>
      </w:r>
      <w:r w:rsidRPr="00DD568D">
        <w:t>This hazard is applicable after the product undergoes a sufficient kill step (cooking and pasteurization) and before the product is packaged</w:t>
      </w:r>
      <w:r>
        <w:t>.</w:t>
      </w:r>
    </w:p>
  </w:footnote>
  <w:footnote w:id="26">
    <w:p w14:paraId="65F9686C" w14:textId="41F34326" w:rsidR="00893C28" w:rsidRDefault="00893C28" w:rsidP="00893C28">
      <w:pPr>
        <w:pStyle w:val="FootnoteText"/>
      </w:pPr>
    </w:p>
  </w:footnote>
  <w:footnote w:id="27">
    <w:p w14:paraId="22A10BA4" w14:textId="0D5387D4" w:rsidR="00893C28" w:rsidRPr="00893C28" w:rsidRDefault="00893C28" w:rsidP="00614F15">
      <w:pPr>
        <w:pStyle w:val="FootnoteText"/>
        <w:ind w:left="-634"/>
        <w:contextualSpacing/>
        <w:rPr>
          <w:sz w:val="24"/>
          <w:szCs w:val="24"/>
        </w:rPr>
      </w:pPr>
      <w:r w:rsidRPr="00893C28">
        <w:rPr>
          <w:rStyle w:val="FootnoteReference"/>
          <w:sz w:val="24"/>
          <w:szCs w:val="24"/>
        </w:rPr>
        <w:t>1</w:t>
      </w:r>
      <w:r w:rsidRPr="00893C28">
        <w:rPr>
          <w:sz w:val="24"/>
          <w:szCs w:val="24"/>
        </w:rPr>
        <w:t xml:space="preserve"> FDA, CFR Title 21, Part 17</w:t>
      </w:r>
    </w:p>
    <w:p w14:paraId="56EC138C" w14:textId="6638E71A" w:rsidR="00893C28" w:rsidRPr="000776DB" w:rsidRDefault="00893C28" w:rsidP="000776DB">
      <w:pPr>
        <w:pStyle w:val="FootnoteText"/>
        <w:spacing w:before="240"/>
        <w:ind w:left="-634"/>
        <w:contextualSpacing/>
        <w:rPr>
          <w:sz w:val="24"/>
          <w:szCs w:val="24"/>
        </w:rPr>
      </w:pPr>
      <w:r w:rsidRPr="00893C28">
        <w:rPr>
          <w:rStyle w:val="FootnoteReference"/>
          <w:sz w:val="24"/>
          <w:szCs w:val="24"/>
        </w:rPr>
        <w:t>2</w:t>
      </w:r>
      <w:r w:rsidRPr="00893C28">
        <w:rPr>
          <w:sz w:val="24"/>
          <w:szCs w:val="24"/>
        </w:rPr>
        <w:t xml:space="preserve"> </w:t>
      </w:r>
      <w:r w:rsidRPr="00893C28">
        <w:rPr>
          <w:b/>
          <w:bCs/>
          <w:sz w:val="24"/>
          <w:szCs w:val="24"/>
        </w:rPr>
        <w:t>Provisional Tolerable Weekly Intake (PTWI)</w:t>
      </w:r>
      <w:r w:rsidRPr="00893C28">
        <w:rPr>
          <w:sz w:val="24"/>
          <w:szCs w:val="24"/>
        </w:rPr>
        <w:t xml:space="preserve"> is a safety guideline established by organizations like the WHO or Joint FAO/WHO Expert Committee on Food Additives (JECFA) to estimate the amount of a potentially harmful substance, such as a heavy metal, that can be ingested weekly over a lifetime without posing significant health risks.</w:t>
      </w:r>
      <w:r w:rsidR="000776DB">
        <w:rPr>
          <w:sz w:val="24"/>
          <w:szCs w:val="24"/>
        </w:rPr>
        <w:t xml:space="preserve"> </w:t>
      </w:r>
      <w:r w:rsidRPr="00893C28">
        <w:rPr>
          <w:sz w:val="24"/>
          <w:szCs w:val="24"/>
        </w:rPr>
        <w:t xml:space="preserve">Refer </w:t>
      </w:r>
      <w:r w:rsidRPr="002033A6">
        <w:rPr>
          <w:sz w:val="24"/>
          <w:szCs w:val="24"/>
        </w:rPr>
        <w:t>to Appendix F for additional</w:t>
      </w:r>
      <w:r w:rsidRPr="00893C28">
        <w:rPr>
          <w:sz w:val="24"/>
          <w:szCs w:val="24"/>
        </w:rPr>
        <w:t xml:space="preserve"> guidance on how facilities can calculate safe consumption thresholds for their specific products and serving sizes, using published values such as the PTWI, Provisional Tolerable Monthly Intake (PTMI), or Minimum Risk Levels (MRLs).</w:t>
      </w:r>
    </w:p>
  </w:footnote>
  <w:footnote w:id="28">
    <w:p w14:paraId="75C2EA3D" w14:textId="68336D20" w:rsidR="00E43BF4" w:rsidRDefault="00E43BF4" w:rsidP="00F9694B">
      <w:pPr>
        <w:pStyle w:val="FootnoteText"/>
        <w:ind w:left="-900"/>
      </w:pPr>
      <w:r>
        <w:rPr>
          <w:rStyle w:val="FootnoteReference"/>
        </w:rPr>
        <w:footnoteRef/>
      </w:r>
      <w:r>
        <w:t xml:space="preserve"> Aerobic mesophilic bacteria</w:t>
      </w:r>
    </w:p>
  </w:footnote>
  <w:footnote w:id="29">
    <w:p w14:paraId="4E3B1CE0" w14:textId="4D845165" w:rsidR="00E43BF4" w:rsidRDefault="00E43BF4" w:rsidP="00F9694B">
      <w:pPr>
        <w:pStyle w:val="FootnoteText"/>
        <w:ind w:left="-900"/>
      </w:pPr>
      <w:r>
        <w:rPr>
          <w:rStyle w:val="FootnoteReference"/>
        </w:rPr>
        <w:footnoteRef/>
      </w:r>
      <w:r>
        <w:t xml:space="preserve"> Heterotrophic marine bacteria</w:t>
      </w:r>
    </w:p>
  </w:footnote>
  <w:footnote w:id="30">
    <w:p w14:paraId="69CC4990" w14:textId="1BEBB8F7" w:rsidR="00E43BF4" w:rsidRDefault="00E43BF4" w:rsidP="00F9694B">
      <w:pPr>
        <w:pStyle w:val="FootnoteText"/>
        <w:ind w:left="-900"/>
      </w:pPr>
      <w:r>
        <w:rPr>
          <w:rStyle w:val="FootnoteReference"/>
        </w:rPr>
        <w:footnoteRef/>
      </w:r>
      <w:r>
        <w:t xml:space="preserve"> </w:t>
      </w:r>
      <w:r w:rsidR="00444472">
        <w:t>Bolded values</w:t>
      </w:r>
      <w:r w:rsidR="00444472" w:rsidRPr="00444472">
        <w:t xml:space="preserve"> indicate values in excess of recommended levels for spices and herbs produced under sanitary conditions (NACMCF, 2024)</w:t>
      </w:r>
    </w:p>
  </w:footnote>
  <w:footnote w:id="31">
    <w:p w14:paraId="38B95246" w14:textId="05075038" w:rsidR="00444472" w:rsidRDefault="00444472" w:rsidP="00F9694B">
      <w:pPr>
        <w:pStyle w:val="FootnoteText"/>
        <w:ind w:left="-900"/>
      </w:pPr>
      <w:r>
        <w:rPr>
          <w:rStyle w:val="FootnoteReference"/>
        </w:rPr>
        <w:footnoteRef/>
      </w:r>
      <w:r>
        <w:t xml:space="preserve"> Bolded values</w:t>
      </w:r>
      <w:r w:rsidRPr="00444472">
        <w:t xml:space="preserve"> indicate values in excess of recommended levels for dehydrated fruit/vegetable produced under sanitary conditions (NACMCF, 2024)</w:t>
      </w:r>
    </w:p>
  </w:footnote>
  <w:footnote w:id="32">
    <w:p w14:paraId="73AFD3C8" w14:textId="4D4686B8" w:rsidR="00675D43" w:rsidRDefault="00675D43">
      <w:pPr>
        <w:pStyle w:val="FootnoteText"/>
      </w:pPr>
      <w:r>
        <w:rPr>
          <w:rStyle w:val="FootnoteReference"/>
        </w:rPr>
        <w:footnoteRef/>
      </w:r>
      <w:r>
        <w:t xml:space="preserve"> Note: Units were reported as grams/gram in the original publication, which is believed to be an error meant to be the common unit grams/kilogram (ppm).</w:t>
      </w:r>
    </w:p>
  </w:footnote>
  <w:footnote w:id="33">
    <w:p w14:paraId="2F34A922" w14:textId="6FB6FD3B" w:rsidR="00E06C5F" w:rsidRDefault="00E06C5F">
      <w:pPr>
        <w:pStyle w:val="FootnoteText"/>
      </w:pPr>
      <w:r>
        <w:rPr>
          <w:rStyle w:val="FootnoteReference"/>
        </w:rPr>
        <w:footnoteRef/>
      </w:r>
      <w:r>
        <w:t xml:space="preserve"> </w:t>
      </w:r>
      <w:r w:rsidRPr="00E06C5F">
        <w:t>Applies only to certain food categories, coverage of seaweed is unclear</w:t>
      </w:r>
      <w:r>
        <w:t>.</w:t>
      </w:r>
    </w:p>
  </w:footnote>
  <w:footnote w:id="34">
    <w:p w14:paraId="32D5B5C5" w14:textId="36EB515B" w:rsidR="005B6C30" w:rsidRDefault="005B6C30">
      <w:pPr>
        <w:pStyle w:val="FootnoteText"/>
      </w:pPr>
      <w:r>
        <w:rPr>
          <w:rStyle w:val="FootnoteReference"/>
        </w:rPr>
        <w:footnoteRef/>
      </w:r>
      <w:r>
        <w:t xml:space="preserve"> </w:t>
      </w:r>
      <w:r w:rsidRPr="005B6C30">
        <w:t>Advisory level only (no action level defined), applies only to wheat</w:t>
      </w:r>
      <w:r>
        <w:t>.</w:t>
      </w:r>
    </w:p>
  </w:footnote>
  <w:footnote w:id="35">
    <w:p w14:paraId="697292AD" w14:textId="19577DEF" w:rsidR="00BB69D9" w:rsidRDefault="00BB69D9">
      <w:pPr>
        <w:pStyle w:val="FootnoteText"/>
      </w:pPr>
      <w:r>
        <w:rPr>
          <w:rStyle w:val="FootnoteReference"/>
        </w:rPr>
        <w:footnoteRef/>
      </w:r>
      <w:r>
        <w:t xml:space="preserve"> </w:t>
      </w:r>
      <w:r w:rsidRPr="00BB69D9">
        <w:t>Applies only to cereal products, no other foods covered</w:t>
      </w:r>
      <w:r>
        <w:t>.</w:t>
      </w:r>
    </w:p>
  </w:footnote>
  <w:footnote w:id="36">
    <w:p w14:paraId="19723E31" w14:textId="3164BBC7" w:rsidR="00BB69D9" w:rsidRDefault="00BB69D9">
      <w:pPr>
        <w:pStyle w:val="FootnoteText"/>
      </w:pPr>
      <w:r>
        <w:rPr>
          <w:rStyle w:val="FootnoteReference"/>
        </w:rPr>
        <w:footnoteRef/>
      </w:r>
      <w:r>
        <w:t xml:space="preserve"> </w:t>
      </w:r>
      <w:r w:rsidRPr="00BB69D9">
        <w:t>Advisory level only (no action level defined), applies only to corn-based foods</w:t>
      </w:r>
      <w:r>
        <w:t>.</w:t>
      </w:r>
    </w:p>
  </w:footnote>
  <w:footnote w:id="37">
    <w:p w14:paraId="35F6402F" w14:textId="6AE3FAAF" w:rsidR="00BB69D9" w:rsidRDefault="00BB69D9">
      <w:pPr>
        <w:pStyle w:val="FootnoteText"/>
      </w:pPr>
      <w:r>
        <w:rPr>
          <w:rStyle w:val="FootnoteReference"/>
        </w:rPr>
        <w:footnoteRef/>
      </w:r>
      <w:r>
        <w:t xml:space="preserve"> </w:t>
      </w:r>
      <w:r w:rsidRPr="00BB69D9">
        <w:t>Applies only to corn products, no other foods covered</w:t>
      </w:r>
      <w:r>
        <w:t>.</w:t>
      </w:r>
    </w:p>
  </w:footnote>
  <w:footnote w:id="38">
    <w:p w14:paraId="1ABEC1E9" w14:textId="551A3727" w:rsidR="00BB69D9" w:rsidRDefault="00BB69D9">
      <w:pPr>
        <w:pStyle w:val="FootnoteText"/>
      </w:pPr>
      <w:r>
        <w:rPr>
          <w:rStyle w:val="FootnoteReference"/>
        </w:rPr>
        <w:footnoteRef/>
      </w:r>
      <w:r>
        <w:t xml:space="preserve"> </w:t>
      </w:r>
      <w:r w:rsidRPr="00BB69D9">
        <w:t>Applies only to apple juice, no other foods covered</w:t>
      </w:r>
      <w:r>
        <w:t>.</w:t>
      </w:r>
    </w:p>
  </w:footnote>
  <w:footnote w:id="39">
    <w:p w14:paraId="08607D47" w14:textId="379AC543" w:rsidR="00BB69D9" w:rsidRDefault="00BB69D9">
      <w:pPr>
        <w:pStyle w:val="FootnoteText"/>
      </w:pPr>
      <w:r>
        <w:rPr>
          <w:rStyle w:val="FootnoteReference"/>
        </w:rPr>
        <w:footnoteRef/>
      </w:r>
      <w:r>
        <w:t xml:space="preserve"> </w:t>
      </w:r>
      <w:r w:rsidR="00E67F10" w:rsidRPr="00E67F10">
        <w:t>Applies only to apple-derived products, no other foods covered</w:t>
      </w:r>
      <w:r w:rsidR="00E67F10">
        <w:t>.</w:t>
      </w:r>
    </w:p>
  </w:footnote>
  <w:footnote w:id="40">
    <w:p w14:paraId="7438B4F6" w14:textId="7B1D73D5" w:rsidR="00E70CED" w:rsidRDefault="00E70CED">
      <w:pPr>
        <w:pStyle w:val="FootnoteText"/>
      </w:pPr>
      <w:r>
        <w:rPr>
          <w:rStyle w:val="FootnoteReference"/>
        </w:rPr>
        <w:footnoteRef/>
      </w:r>
      <w:r>
        <w:t xml:space="preserve"> </w:t>
      </w:r>
      <w:r w:rsidRPr="00E70CED">
        <w:t>EU Tolerable Daily Intake (TDI) 0.02 µg/kg body weight (sum of T-2 and HT-2 toxins)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2FAC"/>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1583884"/>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1802CAD"/>
    <w:multiLevelType w:val="hybridMultilevel"/>
    <w:tmpl w:val="2FF4F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90168"/>
    <w:multiLevelType w:val="hybridMultilevel"/>
    <w:tmpl w:val="35962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BA293F"/>
    <w:multiLevelType w:val="hybridMultilevel"/>
    <w:tmpl w:val="04B8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C7E65"/>
    <w:multiLevelType w:val="hybridMultilevel"/>
    <w:tmpl w:val="62944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F7F44"/>
    <w:multiLevelType w:val="hybridMultilevel"/>
    <w:tmpl w:val="2A1CE3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DF04C2"/>
    <w:multiLevelType w:val="hybridMultilevel"/>
    <w:tmpl w:val="85CA031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05EB3385"/>
    <w:multiLevelType w:val="hybridMultilevel"/>
    <w:tmpl w:val="83D29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A3360E"/>
    <w:multiLevelType w:val="hybridMultilevel"/>
    <w:tmpl w:val="03868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EB043E"/>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9ED076A"/>
    <w:multiLevelType w:val="hybridMultilevel"/>
    <w:tmpl w:val="448E6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254D73"/>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0BA55946"/>
    <w:multiLevelType w:val="hybridMultilevel"/>
    <w:tmpl w:val="58727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5E7B04"/>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0E05176F"/>
    <w:multiLevelType w:val="hybridMultilevel"/>
    <w:tmpl w:val="78CC8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116127"/>
    <w:multiLevelType w:val="hybridMultilevel"/>
    <w:tmpl w:val="E522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5E53BE"/>
    <w:multiLevelType w:val="hybridMultilevel"/>
    <w:tmpl w:val="F34A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674A6A"/>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0F542B44"/>
    <w:multiLevelType w:val="hybridMultilevel"/>
    <w:tmpl w:val="109CA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931AC1"/>
    <w:multiLevelType w:val="hybridMultilevel"/>
    <w:tmpl w:val="276A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2D41BA"/>
    <w:multiLevelType w:val="hybridMultilevel"/>
    <w:tmpl w:val="97F87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FE6AB9"/>
    <w:multiLevelType w:val="hybridMultilevel"/>
    <w:tmpl w:val="3124A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656FAD"/>
    <w:multiLevelType w:val="multilevel"/>
    <w:tmpl w:val="6F603AFC"/>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132A70FE"/>
    <w:multiLevelType w:val="hybridMultilevel"/>
    <w:tmpl w:val="1CA2C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59626A"/>
    <w:multiLevelType w:val="hybridMultilevel"/>
    <w:tmpl w:val="81FAC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7B1B1F"/>
    <w:multiLevelType w:val="hybridMultilevel"/>
    <w:tmpl w:val="BDDE6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E43FA5"/>
    <w:multiLevelType w:val="hybridMultilevel"/>
    <w:tmpl w:val="A3E8A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0375F8"/>
    <w:multiLevelType w:val="hybridMultilevel"/>
    <w:tmpl w:val="E786C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5121CC"/>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1565099B"/>
    <w:multiLevelType w:val="hybridMultilevel"/>
    <w:tmpl w:val="6B26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BE262D"/>
    <w:multiLevelType w:val="hybridMultilevel"/>
    <w:tmpl w:val="F42E2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BC41A1"/>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17D914F5"/>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1B356515"/>
    <w:multiLevelType w:val="hybridMultilevel"/>
    <w:tmpl w:val="C3A0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8E44BB"/>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1DF3188F"/>
    <w:multiLevelType w:val="hybridMultilevel"/>
    <w:tmpl w:val="CF8A9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B2D5E"/>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1E893345"/>
    <w:multiLevelType w:val="hybridMultilevel"/>
    <w:tmpl w:val="64685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F0078F2"/>
    <w:multiLevelType w:val="hybridMultilevel"/>
    <w:tmpl w:val="F7FC2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2A5878"/>
    <w:multiLevelType w:val="hybridMultilevel"/>
    <w:tmpl w:val="60B0D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8A3587"/>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1FEF405E"/>
    <w:multiLevelType w:val="hybridMultilevel"/>
    <w:tmpl w:val="184C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297BD7"/>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20395832"/>
    <w:multiLevelType w:val="hybridMultilevel"/>
    <w:tmpl w:val="6EB2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8018FD"/>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20B7340A"/>
    <w:multiLevelType w:val="hybridMultilevel"/>
    <w:tmpl w:val="2398D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0B744FD"/>
    <w:multiLevelType w:val="hybridMultilevel"/>
    <w:tmpl w:val="8A904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0CF5024"/>
    <w:multiLevelType w:val="hybridMultilevel"/>
    <w:tmpl w:val="62EA1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B850B3"/>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21F86627"/>
    <w:multiLevelType w:val="hybridMultilevel"/>
    <w:tmpl w:val="6D7A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1825FD"/>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2" w15:restartNumberingAfterBreak="0">
    <w:nsid w:val="22DD21FD"/>
    <w:multiLevelType w:val="hybridMultilevel"/>
    <w:tmpl w:val="1DAC9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215ABC"/>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4" w15:restartNumberingAfterBreak="0">
    <w:nsid w:val="238F62D0"/>
    <w:multiLevelType w:val="multilevel"/>
    <w:tmpl w:val="A6A8FE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23D422F9"/>
    <w:multiLevelType w:val="hybridMultilevel"/>
    <w:tmpl w:val="EA9AA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307622"/>
    <w:multiLevelType w:val="hybridMultilevel"/>
    <w:tmpl w:val="E43ED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44B0058"/>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8" w15:restartNumberingAfterBreak="0">
    <w:nsid w:val="24FA38A1"/>
    <w:multiLevelType w:val="hybridMultilevel"/>
    <w:tmpl w:val="3EEA0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5A60177"/>
    <w:multiLevelType w:val="hybridMultilevel"/>
    <w:tmpl w:val="C3BA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C4626D"/>
    <w:multiLevelType w:val="multilevel"/>
    <w:tmpl w:val="0FA2325E"/>
    <w:lvl w:ilvl="0">
      <w:start w:val="1"/>
      <w:numFmt w:val="decimal"/>
      <w:pStyle w:val="Heading1"/>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1" w15:restartNumberingAfterBreak="0">
    <w:nsid w:val="27035F5C"/>
    <w:multiLevelType w:val="hybridMultilevel"/>
    <w:tmpl w:val="095A0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8016060"/>
    <w:multiLevelType w:val="hybridMultilevel"/>
    <w:tmpl w:val="3EC45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8C42B84"/>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4" w15:restartNumberingAfterBreak="0">
    <w:nsid w:val="293C29DD"/>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5" w15:restartNumberingAfterBreak="0">
    <w:nsid w:val="29D055B8"/>
    <w:multiLevelType w:val="hybridMultilevel"/>
    <w:tmpl w:val="9538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A065715"/>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7" w15:restartNumberingAfterBreak="0">
    <w:nsid w:val="2A25090D"/>
    <w:multiLevelType w:val="hybridMultilevel"/>
    <w:tmpl w:val="BF8A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A454F3C"/>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9" w15:restartNumberingAfterBreak="0">
    <w:nsid w:val="2A4D77EF"/>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0" w15:restartNumberingAfterBreak="0">
    <w:nsid w:val="2B383893"/>
    <w:multiLevelType w:val="hybridMultilevel"/>
    <w:tmpl w:val="2660A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B966004"/>
    <w:multiLevelType w:val="hybridMultilevel"/>
    <w:tmpl w:val="2BCCB9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BB91BA0"/>
    <w:multiLevelType w:val="hybridMultilevel"/>
    <w:tmpl w:val="B894A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C9D4942"/>
    <w:multiLevelType w:val="hybridMultilevel"/>
    <w:tmpl w:val="5B880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DB83849"/>
    <w:multiLevelType w:val="hybridMultilevel"/>
    <w:tmpl w:val="C3B8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E634071"/>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6" w15:restartNumberingAfterBreak="0">
    <w:nsid w:val="2F133592"/>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7" w15:restartNumberingAfterBreak="0">
    <w:nsid w:val="30143677"/>
    <w:multiLevelType w:val="hybridMultilevel"/>
    <w:tmpl w:val="5DCE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085201F"/>
    <w:multiLevelType w:val="hybridMultilevel"/>
    <w:tmpl w:val="74847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0DE6B8D"/>
    <w:multiLevelType w:val="hybridMultilevel"/>
    <w:tmpl w:val="96FA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1007FE4"/>
    <w:multiLevelType w:val="hybridMultilevel"/>
    <w:tmpl w:val="5F6E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1815A5A"/>
    <w:multiLevelType w:val="hybridMultilevel"/>
    <w:tmpl w:val="CF241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1F30027"/>
    <w:multiLevelType w:val="hybridMultilevel"/>
    <w:tmpl w:val="04022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2B345A6"/>
    <w:multiLevelType w:val="hybridMultilevel"/>
    <w:tmpl w:val="6948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3E91FF3"/>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5" w15:restartNumberingAfterBreak="0">
    <w:nsid w:val="360F212D"/>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6" w15:restartNumberingAfterBreak="0">
    <w:nsid w:val="36FD50CD"/>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7" w15:restartNumberingAfterBreak="0">
    <w:nsid w:val="3735255E"/>
    <w:multiLevelType w:val="hybridMultilevel"/>
    <w:tmpl w:val="88886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7FB5BF7"/>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9" w15:restartNumberingAfterBreak="0">
    <w:nsid w:val="38154BDD"/>
    <w:multiLevelType w:val="hybridMultilevel"/>
    <w:tmpl w:val="473E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85B48C3"/>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1" w15:restartNumberingAfterBreak="0">
    <w:nsid w:val="387803AD"/>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2" w15:restartNumberingAfterBreak="0">
    <w:nsid w:val="38AD7ADE"/>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3" w15:restartNumberingAfterBreak="0">
    <w:nsid w:val="3906527D"/>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4" w15:restartNumberingAfterBreak="0">
    <w:nsid w:val="391C196C"/>
    <w:multiLevelType w:val="hybridMultilevel"/>
    <w:tmpl w:val="1654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B5621C8"/>
    <w:multiLevelType w:val="hybridMultilevel"/>
    <w:tmpl w:val="76E6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B8F24F4"/>
    <w:multiLevelType w:val="hybridMultilevel"/>
    <w:tmpl w:val="970A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B260DE"/>
    <w:multiLevelType w:val="hybridMultilevel"/>
    <w:tmpl w:val="DB1C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D0D59A2"/>
    <w:multiLevelType w:val="hybridMultilevel"/>
    <w:tmpl w:val="B006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DAA6683"/>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0" w15:restartNumberingAfterBreak="0">
    <w:nsid w:val="3DF35BB6"/>
    <w:multiLevelType w:val="hybridMultilevel"/>
    <w:tmpl w:val="A3CC7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3F2A746E"/>
    <w:multiLevelType w:val="hybridMultilevel"/>
    <w:tmpl w:val="BF48A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0C461CD"/>
    <w:multiLevelType w:val="hybridMultilevel"/>
    <w:tmpl w:val="6A0A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0F112E4"/>
    <w:multiLevelType w:val="hybridMultilevel"/>
    <w:tmpl w:val="BD3E8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1E94098"/>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5" w15:restartNumberingAfterBreak="0">
    <w:nsid w:val="426F594E"/>
    <w:multiLevelType w:val="hybridMultilevel"/>
    <w:tmpl w:val="77F8C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34C70EA"/>
    <w:multiLevelType w:val="multilevel"/>
    <w:tmpl w:val="CCB4CC42"/>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pStyle w:val="Heading3"/>
      <w:suff w:val="nothing"/>
      <w:lvlText w:val=""/>
      <w:lvlJc w:val="left"/>
      <w:pPr>
        <w:ind w:left="0" w:firstLine="0"/>
      </w:pPr>
      <w:rPr>
        <w:rFonts w:ascii="Arial" w:hAnsi="Arial" w:hint="default"/>
        <w:b w:val="0"/>
        <w:i/>
        <w:color w:val="28666E"/>
        <w:sz w:val="32"/>
      </w:rPr>
    </w:lvl>
    <w:lvl w:ilvl="3">
      <w:start w:val="1"/>
      <w:numFmt w:val="none"/>
      <w:pStyle w:val="Heading4"/>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pStyle w:val="Heading6"/>
      <w:suff w:val="space"/>
      <w:lvlText w:val="Appendix %6"/>
      <w:lvlJc w:val="left"/>
      <w:pPr>
        <w:ind w:left="0" w:firstLine="0"/>
      </w:pPr>
      <w:rPr>
        <w:rFonts w:ascii="Arial" w:hAnsi="Arial" w:hint="default"/>
        <w:b/>
        <w:i w:val="0"/>
        <w:color w:val="113F64"/>
        <w:sz w:val="40"/>
      </w:rPr>
    </w:lvl>
    <w:lvl w:ilvl="6">
      <w:start w:val="1"/>
      <w:numFmt w:val="none"/>
      <w:pStyle w:val="Heading7"/>
      <w:suff w:val="nothing"/>
      <w:lvlText w:val=""/>
      <w:lvlJc w:val="left"/>
      <w:pPr>
        <w:ind w:left="0" w:firstLine="0"/>
      </w:pPr>
      <w:rPr>
        <w:rFonts w:ascii="Arial" w:hAnsi="Arial" w:hint="default"/>
        <w:b w:val="0"/>
        <w:i w:val="0"/>
        <w:color w:val="113F64"/>
        <w:sz w:val="32"/>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7" w15:restartNumberingAfterBreak="0">
    <w:nsid w:val="43F30A8B"/>
    <w:multiLevelType w:val="hybridMultilevel"/>
    <w:tmpl w:val="5074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4D84FF9"/>
    <w:multiLevelType w:val="hybridMultilevel"/>
    <w:tmpl w:val="8FDE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56B6D0A"/>
    <w:multiLevelType w:val="hybridMultilevel"/>
    <w:tmpl w:val="C9A8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A682C8B"/>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1" w15:restartNumberingAfterBreak="0">
    <w:nsid w:val="4B997883"/>
    <w:multiLevelType w:val="hybridMultilevel"/>
    <w:tmpl w:val="2676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C4005E4"/>
    <w:multiLevelType w:val="hybridMultilevel"/>
    <w:tmpl w:val="79182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370C9D"/>
    <w:multiLevelType w:val="hybridMultilevel"/>
    <w:tmpl w:val="31387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DB02CCF"/>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5" w15:restartNumberingAfterBreak="0">
    <w:nsid w:val="4E671E4E"/>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6" w15:restartNumberingAfterBreak="0">
    <w:nsid w:val="4EC4034F"/>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7" w15:restartNumberingAfterBreak="0">
    <w:nsid w:val="4ED51242"/>
    <w:multiLevelType w:val="hybridMultilevel"/>
    <w:tmpl w:val="4F388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F430AE2"/>
    <w:multiLevelType w:val="hybridMultilevel"/>
    <w:tmpl w:val="76728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29F75F5"/>
    <w:multiLevelType w:val="hybridMultilevel"/>
    <w:tmpl w:val="1E60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2AA0FFD"/>
    <w:multiLevelType w:val="hybridMultilevel"/>
    <w:tmpl w:val="06623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ACE97CE">
      <w:start w:val="7"/>
      <w:numFmt w:val="bullet"/>
      <w:lvlText w:val=""/>
      <w:lvlJc w:val="left"/>
      <w:pPr>
        <w:ind w:left="2160" w:hanging="360"/>
      </w:pPr>
      <w:rPr>
        <w:rFonts w:ascii="Wingdings" w:eastAsiaTheme="minorHAnsi" w:hAnsi="Wingding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2E97C61"/>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2" w15:restartNumberingAfterBreak="0">
    <w:nsid w:val="53291A07"/>
    <w:multiLevelType w:val="hybridMultilevel"/>
    <w:tmpl w:val="582AC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35D5E71"/>
    <w:multiLevelType w:val="hybridMultilevel"/>
    <w:tmpl w:val="DDBC0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36D45BE"/>
    <w:multiLevelType w:val="hybridMultilevel"/>
    <w:tmpl w:val="94BC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39D68AE"/>
    <w:multiLevelType w:val="hybridMultilevel"/>
    <w:tmpl w:val="49F6D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46747FE"/>
    <w:multiLevelType w:val="hybridMultilevel"/>
    <w:tmpl w:val="A5CCE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4D35C0D"/>
    <w:multiLevelType w:val="hybridMultilevel"/>
    <w:tmpl w:val="3A96F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4E80522"/>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9" w15:restartNumberingAfterBreak="0">
    <w:nsid w:val="554A384F"/>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0" w15:restartNumberingAfterBreak="0">
    <w:nsid w:val="55822208"/>
    <w:multiLevelType w:val="hybridMultilevel"/>
    <w:tmpl w:val="A246E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5F43E91"/>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2" w15:restartNumberingAfterBreak="0">
    <w:nsid w:val="570B7FA6"/>
    <w:multiLevelType w:val="hybridMultilevel"/>
    <w:tmpl w:val="72861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79A0242"/>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4" w15:restartNumberingAfterBreak="0">
    <w:nsid w:val="57A935B0"/>
    <w:multiLevelType w:val="hybridMultilevel"/>
    <w:tmpl w:val="AACAA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89F050E"/>
    <w:multiLevelType w:val="hybridMultilevel"/>
    <w:tmpl w:val="1C24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8BD2647"/>
    <w:multiLevelType w:val="hybridMultilevel"/>
    <w:tmpl w:val="7A7C4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99D25DF"/>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8" w15:restartNumberingAfterBreak="0">
    <w:nsid w:val="5A9D02AC"/>
    <w:multiLevelType w:val="hybridMultilevel"/>
    <w:tmpl w:val="729E9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AE831ED"/>
    <w:multiLevelType w:val="hybridMultilevel"/>
    <w:tmpl w:val="2884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C254B79"/>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1" w15:restartNumberingAfterBreak="0">
    <w:nsid w:val="5C852B7F"/>
    <w:multiLevelType w:val="hybridMultilevel"/>
    <w:tmpl w:val="C6288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CAC6E3D"/>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3" w15:restartNumberingAfterBreak="0">
    <w:nsid w:val="5E6E5BAA"/>
    <w:multiLevelType w:val="hybridMultilevel"/>
    <w:tmpl w:val="C0D8D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EB76D7C"/>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5" w15:restartNumberingAfterBreak="0">
    <w:nsid w:val="5F0628C3"/>
    <w:multiLevelType w:val="hybridMultilevel"/>
    <w:tmpl w:val="9F308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05B590D"/>
    <w:multiLevelType w:val="hybridMultilevel"/>
    <w:tmpl w:val="31A62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1F41900"/>
    <w:multiLevelType w:val="hybridMultilevel"/>
    <w:tmpl w:val="B934A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2E238CA"/>
    <w:multiLevelType w:val="hybridMultilevel"/>
    <w:tmpl w:val="B4FE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2F52165"/>
    <w:multiLevelType w:val="hybridMultilevel"/>
    <w:tmpl w:val="BC7C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032365"/>
    <w:multiLevelType w:val="hybridMultilevel"/>
    <w:tmpl w:val="0B460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44B63C9"/>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2" w15:restartNumberingAfterBreak="0">
    <w:nsid w:val="65442ADE"/>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3" w15:restartNumberingAfterBreak="0">
    <w:nsid w:val="655D7380"/>
    <w:multiLevelType w:val="hybridMultilevel"/>
    <w:tmpl w:val="91BC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6535457"/>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5" w15:restartNumberingAfterBreak="0">
    <w:nsid w:val="66A758B1"/>
    <w:multiLevelType w:val="hybridMultilevel"/>
    <w:tmpl w:val="95A8C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729637B"/>
    <w:multiLevelType w:val="hybridMultilevel"/>
    <w:tmpl w:val="83AA8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7742CAA"/>
    <w:multiLevelType w:val="multilevel"/>
    <w:tmpl w:val="159C5D9E"/>
    <w:styleLink w:val="CurrentList1"/>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suff w:val="nothing"/>
      <w:lvlText w:val="Appendix %7 "/>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8" w15:restartNumberingAfterBreak="0">
    <w:nsid w:val="68315A15"/>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9" w15:restartNumberingAfterBreak="0">
    <w:nsid w:val="689321D9"/>
    <w:multiLevelType w:val="hybridMultilevel"/>
    <w:tmpl w:val="EBA00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8EB4A97"/>
    <w:multiLevelType w:val="hybridMultilevel"/>
    <w:tmpl w:val="690E9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98151FD"/>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2" w15:restartNumberingAfterBreak="0">
    <w:nsid w:val="6A3C4EE0"/>
    <w:multiLevelType w:val="hybridMultilevel"/>
    <w:tmpl w:val="4B6CC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A7A160D"/>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4" w15:restartNumberingAfterBreak="0">
    <w:nsid w:val="6B1E3A1F"/>
    <w:multiLevelType w:val="hybridMultilevel"/>
    <w:tmpl w:val="F614E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BBB2DF7"/>
    <w:multiLevelType w:val="hybridMultilevel"/>
    <w:tmpl w:val="7B607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C366C8"/>
    <w:multiLevelType w:val="hybridMultilevel"/>
    <w:tmpl w:val="861EB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DE36DBC"/>
    <w:multiLevelType w:val="hybridMultilevel"/>
    <w:tmpl w:val="147893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E1E44D2"/>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9" w15:restartNumberingAfterBreak="0">
    <w:nsid w:val="6E3705AB"/>
    <w:multiLevelType w:val="hybridMultilevel"/>
    <w:tmpl w:val="39EC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F334002"/>
    <w:multiLevelType w:val="hybridMultilevel"/>
    <w:tmpl w:val="C870E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0023E61"/>
    <w:multiLevelType w:val="hybridMultilevel"/>
    <w:tmpl w:val="BB66D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12B44AB"/>
    <w:multiLevelType w:val="hybridMultilevel"/>
    <w:tmpl w:val="1CB2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1935194"/>
    <w:multiLevelType w:val="hybridMultilevel"/>
    <w:tmpl w:val="B7604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22E2CA2"/>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5" w15:restartNumberingAfterBreak="0">
    <w:nsid w:val="735563DF"/>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6" w15:restartNumberingAfterBreak="0">
    <w:nsid w:val="736B1BE5"/>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7" w15:restartNumberingAfterBreak="0">
    <w:nsid w:val="74D0284B"/>
    <w:multiLevelType w:val="hybridMultilevel"/>
    <w:tmpl w:val="F692F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58A0C3C"/>
    <w:multiLevelType w:val="hybridMultilevel"/>
    <w:tmpl w:val="15082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5AA3DF1"/>
    <w:multiLevelType w:val="hybridMultilevel"/>
    <w:tmpl w:val="14D81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62237B5"/>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1" w15:restartNumberingAfterBreak="0">
    <w:nsid w:val="763E7AA7"/>
    <w:multiLevelType w:val="hybridMultilevel"/>
    <w:tmpl w:val="71229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64343B9"/>
    <w:multiLevelType w:val="hybridMultilevel"/>
    <w:tmpl w:val="C18CB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6613C4A"/>
    <w:multiLevelType w:val="hybridMultilevel"/>
    <w:tmpl w:val="57FE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68B794E"/>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5" w15:restartNumberingAfterBreak="0">
    <w:nsid w:val="7710747F"/>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6" w15:restartNumberingAfterBreak="0">
    <w:nsid w:val="77246011"/>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7" w15:restartNumberingAfterBreak="0">
    <w:nsid w:val="775F5041"/>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8" w15:restartNumberingAfterBreak="0">
    <w:nsid w:val="779B5137"/>
    <w:multiLevelType w:val="hybridMultilevel"/>
    <w:tmpl w:val="EB689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7A835A4"/>
    <w:multiLevelType w:val="hybridMultilevel"/>
    <w:tmpl w:val="430A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B276B02"/>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1" w15:restartNumberingAfterBreak="0">
    <w:nsid w:val="7DA744B1"/>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2" w15:restartNumberingAfterBreak="0">
    <w:nsid w:val="7F581610"/>
    <w:multiLevelType w:val="hybridMultilevel"/>
    <w:tmpl w:val="ACF82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F832C08"/>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4" w15:restartNumberingAfterBreak="0">
    <w:nsid w:val="7F9D0FE4"/>
    <w:multiLevelType w:val="hybridMultilevel"/>
    <w:tmpl w:val="813E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FF653FE"/>
    <w:multiLevelType w:val="multilevel"/>
    <w:tmpl w:val="966E9300"/>
    <w:lvl w:ilvl="0">
      <w:start w:val="1"/>
      <w:numFmt w:val="decimal"/>
      <w:suff w:val="space"/>
      <w:lvlText w:val="Chapter %1"/>
      <w:lvlJc w:val="left"/>
      <w:pPr>
        <w:ind w:left="0" w:firstLine="0"/>
      </w:pPr>
      <w:rPr>
        <w:rFonts w:ascii="Arial" w:hAnsi="Arial" w:hint="default"/>
        <w:b/>
        <w:i w:val="0"/>
        <w:color w:val="113F64"/>
        <w:sz w:val="40"/>
      </w:rPr>
    </w:lvl>
    <w:lvl w:ilvl="1">
      <w:start w:val="1"/>
      <w:numFmt w:val="none"/>
      <w:suff w:val="nothing"/>
      <w:lvlText w:val=""/>
      <w:lvlJc w:val="left"/>
      <w:pPr>
        <w:ind w:left="0" w:firstLine="0"/>
      </w:pPr>
      <w:rPr>
        <w:rFonts w:ascii="Arial" w:hAnsi="Arial" w:hint="default"/>
        <w:b w:val="0"/>
        <w:i w:val="0"/>
        <w:color w:val="113F64"/>
        <w:sz w:val="32"/>
      </w:rPr>
    </w:lvl>
    <w:lvl w:ilvl="2">
      <w:start w:val="1"/>
      <w:numFmt w:val="none"/>
      <w:suff w:val="nothing"/>
      <w:lvlText w:val=""/>
      <w:lvlJc w:val="left"/>
      <w:pPr>
        <w:ind w:left="0" w:firstLine="0"/>
      </w:pPr>
      <w:rPr>
        <w:rFonts w:ascii="Arial" w:hAnsi="Arial" w:hint="default"/>
        <w:b w:val="0"/>
        <w:i/>
        <w:color w:val="28666E"/>
        <w:sz w:val="32"/>
      </w:rPr>
    </w:lvl>
    <w:lvl w:ilvl="3">
      <w:start w:val="1"/>
      <w:numFmt w:val="none"/>
      <w:suff w:val="nothing"/>
      <w:lvlText w:val=""/>
      <w:lvlJc w:val="left"/>
      <w:pPr>
        <w:ind w:left="0" w:firstLine="0"/>
      </w:pPr>
      <w:rPr>
        <w:rFonts w:ascii="Arial" w:hAnsi="Arial" w:hint="default"/>
        <w:b w:val="0"/>
        <w:i/>
        <w:sz w:val="28"/>
        <w:u w:color="353535"/>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ascii="Arial" w:hAnsi="Arial" w:hint="default"/>
        <w:b/>
        <w:i w:val="0"/>
        <w:color w:val="113F64"/>
        <w:sz w:val="40"/>
      </w:rPr>
    </w:lvl>
    <w:lvl w:ilvl="6">
      <w:start w:val="1"/>
      <w:numFmt w:val="none"/>
      <w:suff w:val="nothing"/>
      <w:lvlText w:val=""/>
      <w:lvlJc w:val="left"/>
      <w:pPr>
        <w:ind w:left="0" w:firstLine="0"/>
      </w:pPr>
      <w:rPr>
        <w:rFonts w:ascii="Arial" w:hAnsi="Arial" w:hint="default"/>
        <w:b w:val="0"/>
        <w:i w:val="0"/>
        <w:color w:val="113F64"/>
        <w:sz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071078086">
    <w:abstractNumId w:val="82"/>
  </w:num>
  <w:num w:numId="2" w16cid:durableId="594360153">
    <w:abstractNumId w:val="30"/>
  </w:num>
  <w:num w:numId="3" w16cid:durableId="10109284">
    <w:abstractNumId w:val="118"/>
  </w:num>
  <w:num w:numId="4" w16cid:durableId="585774721">
    <w:abstractNumId w:val="102"/>
  </w:num>
  <w:num w:numId="5" w16cid:durableId="1721981702">
    <w:abstractNumId w:val="105"/>
  </w:num>
  <w:num w:numId="6" w16cid:durableId="781151411">
    <w:abstractNumId w:val="130"/>
  </w:num>
  <w:num w:numId="7" w16cid:durableId="160973610">
    <w:abstractNumId w:val="123"/>
  </w:num>
  <w:num w:numId="8" w16cid:durableId="725881811">
    <w:abstractNumId w:val="71"/>
  </w:num>
  <w:num w:numId="9" w16cid:durableId="374158442">
    <w:abstractNumId w:val="21"/>
  </w:num>
  <w:num w:numId="10" w16cid:durableId="777725738">
    <w:abstractNumId w:val="73"/>
  </w:num>
  <w:num w:numId="11" w16cid:durableId="149716940">
    <w:abstractNumId w:val="5"/>
  </w:num>
  <w:num w:numId="12" w16cid:durableId="2016883745">
    <w:abstractNumId w:val="6"/>
  </w:num>
  <w:num w:numId="13" w16cid:durableId="1516386537">
    <w:abstractNumId w:val="173"/>
  </w:num>
  <w:num w:numId="14" w16cid:durableId="1412316051">
    <w:abstractNumId w:val="70"/>
  </w:num>
  <w:num w:numId="15" w16cid:durableId="1740900699">
    <w:abstractNumId w:val="65"/>
  </w:num>
  <w:num w:numId="16" w16cid:durableId="687222079">
    <w:abstractNumId w:val="7"/>
  </w:num>
  <w:num w:numId="17" w16cid:durableId="36048679">
    <w:abstractNumId w:val="178"/>
  </w:num>
  <w:num w:numId="18" w16cid:durableId="845898726">
    <w:abstractNumId w:val="100"/>
  </w:num>
  <w:num w:numId="19" w16cid:durableId="2110541849">
    <w:abstractNumId w:val="40"/>
  </w:num>
  <w:num w:numId="20" w16cid:durableId="1891962019">
    <w:abstractNumId w:val="167"/>
  </w:num>
  <w:num w:numId="21" w16cid:durableId="1425305234">
    <w:abstractNumId w:val="48"/>
  </w:num>
  <w:num w:numId="22" w16cid:durableId="1527324671">
    <w:abstractNumId w:val="107"/>
  </w:num>
  <w:num w:numId="23" w16cid:durableId="1225801541">
    <w:abstractNumId w:val="179"/>
  </w:num>
  <w:num w:numId="24" w16cid:durableId="2099402154">
    <w:abstractNumId w:val="22"/>
  </w:num>
  <w:num w:numId="25" w16cid:durableId="828862234">
    <w:abstractNumId w:val="20"/>
  </w:num>
  <w:num w:numId="26" w16cid:durableId="1430154398">
    <w:abstractNumId w:val="74"/>
  </w:num>
  <w:num w:numId="27" w16cid:durableId="1308049419">
    <w:abstractNumId w:val="80"/>
  </w:num>
  <w:num w:numId="28" w16cid:durableId="471798123">
    <w:abstractNumId w:val="159"/>
  </w:num>
  <w:num w:numId="29" w16cid:durableId="296494865">
    <w:abstractNumId w:val="155"/>
  </w:num>
  <w:num w:numId="30" w16cid:durableId="1249997634">
    <w:abstractNumId w:val="4"/>
  </w:num>
  <w:num w:numId="31" w16cid:durableId="1287739862">
    <w:abstractNumId w:val="95"/>
  </w:num>
  <w:num w:numId="32" w16cid:durableId="1652055810">
    <w:abstractNumId w:val="16"/>
  </w:num>
  <w:num w:numId="33" w16cid:durableId="1391272744">
    <w:abstractNumId w:val="143"/>
  </w:num>
  <w:num w:numId="34" w16cid:durableId="962469283">
    <w:abstractNumId w:val="77"/>
  </w:num>
  <w:num w:numId="35" w16cid:durableId="442384485">
    <w:abstractNumId w:val="31"/>
  </w:num>
  <w:num w:numId="36" w16cid:durableId="18703931">
    <w:abstractNumId w:val="72"/>
  </w:num>
  <w:num w:numId="37" w16cid:durableId="633875897">
    <w:abstractNumId w:val="122"/>
  </w:num>
  <w:num w:numId="38" w16cid:durableId="133060417">
    <w:abstractNumId w:val="47"/>
  </w:num>
  <w:num w:numId="39" w16cid:durableId="2072921124">
    <w:abstractNumId w:val="139"/>
  </w:num>
  <w:num w:numId="40" w16cid:durableId="1045104439">
    <w:abstractNumId w:val="170"/>
  </w:num>
  <w:num w:numId="41" w16cid:durableId="446124650">
    <w:abstractNumId w:val="148"/>
  </w:num>
  <w:num w:numId="42" w16cid:durableId="1628848575">
    <w:abstractNumId w:val="19"/>
  </w:num>
  <w:num w:numId="43" w16cid:durableId="1386291648">
    <w:abstractNumId w:val="8"/>
  </w:num>
  <w:num w:numId="44" w16cid:durableId="960183470">
    <w:abstractNumId w:val="34"/>
  </w:num>
  <w:num w:numId="45" w16cid:durableId="513769294">
    <w:abstractNumId w:val="78"/>
  </w:num>
  <w:num w:numId="46" w16cid:durableId="2076196796">
    <w:abstractNumId w:val="124"/>
  </w:num>
  <w:num w:numId="47" w16cid:durableId="600333703">
    <w:abstractNumId w:val="138"/>
  </w:num>
  <w:num w:numId="48" w16cid:durableId="144588129">
    <w:abstractNumId w:val="165"/>
  </w:num>
  <w:num w:numId="49" w16cid:durableId="2092122004">
    <w:abstractNumId w:val="136"/>
  </w:num>
  <w:num w:numId="50" w16cid:durableId="157498704">
    <w:abstractNumId w:val="169"/>
  </w:num>
  <w:num w:numId="51" w16cid:durableId="1531335160">
    <w:abstractNumId w:val="149"/>
  </w:num>
  <w:num w:numId="52" w16cid:durableId="67725929">
    <w:abstractNumId w:val="28"/>
  </w:num>
  <w:num w:numId="53" w16cid:durableId="1247879969">
    <w:abstractNumId w:val="135"/>
  </w:num>
  <w:num w:numId="54" w16cid:durableId="636641868">
    <w:abstractNumId w:val="120"/>
  </w:num>
  <w:num w:numId="55" w16cid:durableId="1528366402">
    <w:abstractNumId w:val="126"/>
  </w:num>
  <w:num w:numId="56" w16cid:durableId="759831718">
    <w:abstractNumId w:val="81"/>
  </w:num>
  <w:num w:numId="57" w16cid:durableId="1785689845">
    <w:abstractNumId w:val="172"/>
  </w:num>
  <w:num w:numId="58" w16cid:durableId="1130365421">
    <w:abstractNumId w:val="17"/>
  </w:num>
  <w:num w:numId="59" w16cid:durableId="875460049">
    <w:abstractNumId w:val="61"/>
  </w:num>
  <w:num w:numId="60" w16cid:durableId="1337536422">
    <w:abstractNumId w:val="50"/>
  </w:num>
  <w:num w:numId="61" w16cid:durableId="798376107">
    <w:abstractNumId w:val="62"/>
  </w:num>
  <w:num w:numId="62" w16cid:durableId="1149438519">
    <w:abstractNumId w:val="46"/>
  </w:num>
  <w:num w:numId="63" w16cid:durableId="1575630489">
    <w:abstractNumId w:val="96"/>
  </w:num>
  <w:num w:numId="64" w16cid:durableId="1658528889">
    <w:abstractNumId w:val="192"/>
  </w:num>
  <w:num w:numId="65" w16cid:durableId="899099916">
    <w:abstractNumId w:val="132"/>
  </w:num>
  <w:num w:numId="66" w16cid:durableId="577445345">
    <w:abstractNumId w:val="11"/>
  </w:num>
  <w:num w:numId="67" w16cid:durableId="425808066">
    <w:abstractNumId w:val="160"/>
  </w:num>
  <w:num w:numId="68" w16cid:durableId="55326887">
    <w:abstractNumId w:val="36"/>
  </w:num>
  <w:num w:numId="69" w16cid:durableId="630669157">
    <w:abstractNumId w:val="117"/>
  </w:num>
  <w:num w:numId="70" w16cid:durableId="1917587542">
    <w:abstractNumId w:val="166"/>
  </w:num>
  <w:num w:numId="71" w16cid:durableId="1228690714">
    <w:abstractNumId w:val="13"/>
  </w:num>
  <w:num w:numId="72" w16cid:durableId="809399470">
    <w:abstractNumId w:val="183"/>
  </w:num>
  <w:num w:numId="73" w16cid:durableId="876627663">
    <w:abstractNumId w:val="83"/>
  </w:num>
  <w:num w:numId="74" w16cid:durableId="1781951826">
    <w:abstractNumId w:val="98"/>
  </w:num>
  <w:num w:numId="75" w16cid:durableId="1962493702">
    <w:abstractNumId w:val="188"/>
  </w:num>
  <w:num w:numId="76" w16cid:durableId="128400908">
    <w:abstractNumId w:val="15"/>
  </w:num>
  <w:num w:numId="77" w16cid:durableId="904486165">
    <w:abstractNumId w:val="59"/>
  </w:num>
  <w:num w:numId="78" w16cid:durableId="25638597">
    <w:abstractNumId w:val="164"/>
  </w:num>
  <w:num w:numId="79" w16cid:durableId="1591040408">
    <w:abstractNumId w:val="119"/>
  </w:num>
  <w:num w:numId="80" w16cid:durableId="196553313">
    <w:abstractNumId w:val="181"/>
  </w:num>
  <w:num w:numId="81" w16cid:durableId="1851990759">
    <w:abstractNumId w:val="89"/>
  </w:num>
  <w:num w:numId="82" w16cid:durableId="1710497341">
    <w:abstractNumId w:val="125"/>
  </w:num>
  <w:num w:numId="83" w16cid:durableId="437649429">
    <w:abstractNumId w:val="111"/>
  </w:num>
  <w:num w:numId="84" w16cid:durableId="699279493">
    <w:abstractNumId w:val="58"/>
  </w:num>
  <w:num w:numId="85" w16cid:durableId="1720593340">
    <w:abstractNumId w:val="9"/>
  </w:num>
  <w:num w:numId="86" w16cid:durableId="1083339505">
    <w:abstractNumId w:val="150"/>
  </w:num>
  <w:num w:numId="87" w16cid:durableId="290215380">
    <w:abstractNumId w:val="171"/>
  </w:num>
  <w:num w:numId="88" w16cid:durableId="2116249308">
    <w:abstractNumId w:val="103"/>
  </w:num>
  <w:num w:numId="89" w16cid:durableId="1661689465">
    <w:abstractNumId w:val="56"/>
  </w:num>
  <w:num w:numId="90" w16cid:durableId="16587097">
    <w:abstractNumId w:val="44"/>
  </w:num>
  <w:num w:numId="91" w16cid:durableId="1125807047">
    <w:abstractNumId w:val="153"/>
  </w:num>
  <w:num w:numId="92" w16cid:durableId="1847358346">
    <w:abstractNumId w:val="112"/>
  </w:num>
  <w:num w:numId="93" w16cid:durableId="1690447905">
    <w:abstractNumId w:val="38"/>
  </w:num>
  <w:num w:numId="94" w16cid:durableId="638414405">
    <w:abstractNumId w:val="52"/>
  </w:num>
  <w:num w:numId="95" w16cid:durableId="637272384">
    <w:abstractNumId w:val="79"/>
  </w:num>
  <w:num w:numId="96" w16cid:durableId="219512480">
    <w:abstractNumId w:val="39"/>
  </w:num>
  <w:num w:numId="97" w16cid:durableId="1045717939">
    <w:abstractNumId w:val="26"/>
  </w:num>
  <w:num w:numId="98" w16cid:durableId="702557589">
    <w:abstractNumId w:val="162"/>
  </w:num>
  <w:num w:numId="99" w16cid:durableId="1265108636">
    <w:abstractNumId w:val="109"/>
  </w:num>
  <w:num w:numId="100" w16cid:durableId="289212268">
    <w:abstractNumId w:val="147"/>
  </w:num>
  <w:num w:numId="101" w16cid:durableId="2055615686">
    <w:abstractNumId w:val="101"/>
  </w:num>
  <w:num w:numId="102" w16cid:durableId="909921924">
    <w:abstractNumId w:val="146"/>
  </w:num>
  <w:num w:numId="103" w16cid:durableId="947345898">
    <w:abstractNumId w:val="87"/>
  </w:num>
  <w:num w:numId="104" w16cid:durableId="1195267200">
    <w:abstractNumId w:val="182"/>
  </w:num>
  <w:num w:numId="105" w16cid:durableId="980383160">
    <w:abstractNumId w:val="145"/>
  </w:num>
  <w:num w:numId="106" w16cid:durableId="1553616284">
    <w:abstractNumId w:val="27"/>
  </w:num>
  <w:num w:numId="107" w16cid:durableId="2008747350">
    <w:abstractNumId w:val="113"/>
  </w:num>
  <w:num w:numId="108" w16cid:durableId="1138106070">
    <w:abstractNumId w:val="42"/>
  </w:num>
  <w:num w:numId="109" w16cid:durableId="787620694">
    <w:abstractNumId w:val="141"/>
  </w:num>
  <w:num w:numId="110" w16cid:durableId="56361486">
    <w:abstractNumId w:val="25"/>
  </w:num>
  <w:num w:numId="111" w16cid:durableId="2105302352">
    <w:abstractNumId w:val="24"/>
  </w:num>
  <w:num w:numId="112" w16cid:durableId="716777178">
    <w:abstractNumId w:val="108"/>
  </w:num>
  <w:num w:numId="113" w16cid:durableId="1673604568">
    <w:abstractNumId w:val="189"/>
  </w:num>
  <w:num w:numId="114" w16cid:durableId="570122173">
    <w:abstractNumId w:val="67"/>
  </w:num>
  <w:num w:numId="115" w16cid:durableId="595748823">
    <w:abstractNumId w:val="3"/>
  </w:num>
  <w:num w:numId="116" w16cid:durableId="1743286741">
    <w:abstractNumId w:val="134"/>
  </w:num>
  <w:num w:numId="117" w16cid:durableId="1481462387">
    <w:abstractNumId w:val="97"/>
  </w:num>
  <w:num w:numId="118" w16cid:durableId="553467492">
    <w:abstractNumId w:val="157"/>
  </w:num>
  <w:num w:numId="119" w16cid:durableId="1354264559">
    <w:abstractNumId w:val="194"/>
  </w:num>
  <w:num w:numId="120" w16cid:durableId="1761098260">
    <w:abstractNumId w:val="127"/>
  </w:num>
  <w:num w:numId="121" w16cid:durableId="198513357">
    <w:abstractNumId w:val="177"/>
  </w:num>
  <w:num w:numId="122" w16cid:durableId="2085253466">
    <w:abstractNumId w:val="156"/>
  </w:num>
  <w:num w:numId="123" w16cid:durableId="1926760524">
    <w:abstractNumId w:val="2"/>
  </w:num>
  <w:num w:numId="124" w16cid:durableId="1560364407">
    <w:abstractNumId w:val="94"/>
  </w:num>
  <w:num w:numId="125" w16cid:durableId="2086567912">
    <w:abstractNumId w:val="23"/>
  </w:num>
  <w:num w:numId="126" w16cid:durableId="1749762276">
    <w:abstractNumId w:val="55"/>
  </w:num>
  <w:num w:numId="127" w16cid:durableId="390463538">
    <w:abstractNumId w:val="54"/>
  </w:num>
  <w:num w:numId="128" w16cid:durableId="973603867">
    <w:abstractNumId w:val="99"/>
  </w:num>
  <w:num w:numId="129" w16cid:durableId="757095757">
    <w:abstractNumId w:val="29"/>
  </w:num>
  <w:num w:numId="130" w16cid:durableId="285939022">
    <w:abstractNumId w:val="175"/>
  </w:num>
  <w:num w:numId="131" w16cid:durableId="1218905095">
    <w:abstractNumId w:val="53"/>
  </w:num>
  <w:num w:numId="132" w16cid:durableId="656811823">
    <w:abstractNumId w:val="193"/>
  </w:num>
  <w:num w:numId="133" w16cid:durableId="733163867">
    <w:abstractNumId w:val="86"/>
  </w:num>
  <w:num w:numId="134" w16cid:durableId="1780368819">
    <w:abstractNumId w:val="32"/>
  </w:num>
  <w:num w:numId="135" w16cid:durableId="544756572">
    <w:abstractNumId w:val="84"/>
  </w:num>
  <w:num w:numId="136" w16cid:durableId="1962567883">
    <w:abstractNumId w:val="185"/>
  </w:num>
  <w:num w:numId="137" w16cid:durableId="455636683">
    <w:abstractNumId w:val="57"/>
  </w:num>
  <w:num w:numId="138" w16cid:durableId="2019966570">
    <w:abstractNumId w:val="64"/>
  </w:num>
  <w:num w:numId="139" w16cid:durableId="558708529">
    <w:abstractNumId w:val="33"/>
  </w:num>
  <w:num w:numId="140" w16cid:durableId="1165511417">
    <w:abstractNumId w:val="186"/>
  </w:num>
  <w:num w:numId="141" w16cid:durableId="830021458">
    <w:abstractNumId w:val="116"/>
  </w:num>
  <w:num w:numId="142" w16cid:durableId="1047219735">
    <w:abstractNumId w:val="12"/>
  </w:num>
  <w:num w:numId="143" w16cid:durableId="2101638051">
    <w:abstractNumId w:val="195"/>
  </w:num>
  <w:num w:numId="144" w16cid:durableId="911739387">
    <w:abstractNumId w:val="14"/>
  </w:num>
  <w:num w:numId="145" w16cid:durableId="1330526623">
    <w:abstractNumId w:val="90"/>
  </w:num>
  <w:num w:numId="146" w16cid:durableId="1094547821">
    <w:abstractNumId w:val="76"/>
  </w:num>
  <w:num w:numId="147" w16cid:durableId="485979205">
    <w:abstractNumId w:val="129"/>
  </w:num>
  <w:num w:numId="148" w16cid:durableId="389160475">
    <w:abstractNumId w:val="85"/>
  </w:num>
  <w:num w:numId="149" w16cid:durableId="2010522496">
    <w:abstractNumId w:val="43"/>
  </w:num>
  <w:num w:numId="150" w16cid:durableId="1558274033">
    <w:abstractNumId w:val="142"/>
  </w:num>
  <w:num w:numId="151" w16cid:durableId="1128279131">
    <w:abstractNumId w:val="121"/>
  </w:num>
  <w:num w:numId="152" w16cid:durableId="12612480">
    <w:abstractNumId w:val="110"/>
  </w:num>
  <w:num w:numId="153" w16cid:durableId="14893212">
    <w:abstractNumId w:val="131"/>
  </w:num>
  <w:num w:numId="154" w16cid:durableId="1336952348">
    <w:abstractNumId w:val="140"/>
  </w:num>
  <w:num w:numId="155" w16cid:durableId="1555391972">
    <w:abstractNumId w:val="92"/>
  </w:num>
  <w:num w:numId="156" w16cid:durableId="164055307">
    <w:abstractNumId w:val="174"/>
  </w:num>
  <w:num w:numId="157" w16cid:durableId="68115888">
    <w:abstractNumId w:val="158"/>
  </w:num>
  <w:num w:numId="158" w16cid:durableId="1891064752">
    <w:abstractNumId w:val="75"/>
  </w:num>
  <w:num w:numId="159" w16cid:durableId="1087111627">
    <w:abstractNumId w:val="154"/>
  </w:num>
  <w:num w:numId="160" w16cid:durableId="140268491">
    <w:abstractNumId w:val="133"/>
  </w:num>
  <w:num w:numId="161" w16cid:durableId="855660418">
    <w:abstractNumId w:val="151"/>
  </w:num>
  <w:num w:numId="162" w16cid:durableId="510993146">
    <w:abstractNumId w:val="190"/>
  </w:num>
  <w:num w:numId="163" w16cid:durableId="1129322233">
    <w:abstractNumId w:val="0"/>
  </w:num>
  <w:num w:numId="164" w16cid:durableId="1584870078">
    <w:abstractNumId w:val="144"/>
  </w:num>
  <w:num w:numId="165" w16cid:durableId="917177671">
    <w:abstractNumId w:val="35"/>
  </w:num>
  <w:num w:numId="166" w16cid:durableId="699209039">
    <w:abstractNumId w:val="63"/>
  </w:num>
  <w:num w:numId="167" w16cid:durableId="2064283300">
    <w:abstractNumId w:val="128"/>
  </w:num>
  <w:num w:numId="168" w16cid:durableId="93600327">
    <w:abstractNumId w:val="187"/>
  </w:num>
  <w:num w:numId="169" w16cid:durableId="327707135">
    <w:abstractNumId w:val="49"/>
  </w:num>
  <w:num w:numId="170" w16cid:durableId="1892376201">
    <w:abstractNumId w:val="161"/>
  </w:num>
  <w:num w:numId="171" w16cid:durableId="1594389009">
    <w:abstractNumId w:val="114"/>
  </w:num>
  <w:num w:numId="172" w16cid:durableId="1502042038">
    <w:abstractNumId w:val="41"/>
  </w:num>
  <w:num w:numId="173" w16cid:durableId="1060372487">
    <w:abstractNumId w:val="66"/>
  </w:num>
  <w:num w:numId="174" w16cid:durableId="1587183523">
    <w:abstractNumId w:val="176"/>
  </w:num>
  <w:num w:numId="175" w16cid:durableId="1988581565">
    <w:abstractNumId w:val="10"/>
  </w:num>
  <w:num w:numId="176" w16cid:durableId="264654605">
    <w:abstractNumId w:val="152"/>
  </w:num>
  <w:num w:numId="177" w16cid:durableId="473720752">
    <w:abstractNumId w:val="51"/>
  </w:num>
  <w:num w:numId="178" w16cid:durableId="1504515844">
    <w:abstractNumId w:val="37"/>
  </w:num>
  <w:num w:numId="179" w16cid:durableId="478152352">
    <w:abstractNumId w:val="163"/>
  </w:num>
  <w:num w:numId="180" w16cid:durableId="471601273">
    <w:abstractNumId w:val="45"/>
  </w:num>
  <w:num w:numId="181" w16cid:durableId="1157458221">
    <w:abstractNumId w:val="88"/>
  </w:num>
  <w:num w:numId="182" w16cid:durableId="1278875434">
    <w:abstractNumId w:val="115"/>
  </w:num>
  <w:num w:numId="183" w16cid:durableId="1708145628">
    <w:abstractNumId w:val="93"/>
  </w:num>
  <w:num w:numId="184" w16cid:durableId="1344162306">
    <w:abstractNumId w:val="180"/>
  </w:num>
  <w:num w:numId="185" w16cid:durableId="773749839">
    <w:abstractNumId w:val="68"/>
  </w:num>
  <w:num w:numId="186" w16cid:durableId="740559496">
    <w:abstractNumId w:val="106"/>
  </w:num>
  <w:num w:numId="187" w16cid:durableId="517694464">
    <w:abstractNumId w:val="69"/>
  </w:num>
  <w:num w:numId="188" w16cid:durableId="807671249">
    <w:abstractNumId w:val="91"/>
  </w:num>
  <w:num w:numId="189" w16cid:durableId="126045952">
    <w:abstractNumId w:val="184"/>
  </w:num>
  <w:num w:numId="190" w16cid:durableId="1028264043">
    <w:abstractNumId w:val="18"/>
  </w:num>
  <w:num w:numId="191" w16cid:durableId="1753235622">
    <w:abstractNumId w:val="168"/>
  </w:num>
  <w:num w:numId="192" w16cid:durableId="1393309787">
    <w:abstractNumId w:val="104"/>
  </w:num>
  <w:num w:numId="193" w16cid:durableId="1746679274">
    <w:abstractNumId w:val="191"/>
  </w:num>
  <w:num w:numId="194" w16cid:durableId="405497283">
    <w:abstractNumId w:val="60"/>
  </w:num>
  <w:num w:numId="195" w16cid:durableId="1182625808">
    <w:abstractNumId w:val="137"/>
  </w:num>
  <w:num w:numId="196" w16cid:durableId="1205874036">
    <w:abstractNumId w:val="1"/>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m37+vabGETQQ4zJBLUJbkkPxST4pyU5QI3mqCWvp0/N86p1d1QPv53EOC/3pjCI69N4zcfRgKddEKcJnkcTV2A==" w:salt="/pa84rxSoxWHZ34D9aOmc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D7F"/>
    <w:rsid w:val="0001053F"/>
    <w:rsid w:val="0001662C"/>
    <w:rsid w:val="00021F51"/>
    <w:rsid w:val="00041713"/>
    <w:rsid w:val="00045395"/>
    <w:rsid w:val="00057061"/>
    <w:rsid w:val="00060FE6"/>
    <w:rsid w:val="00067DD9"/>
    <w:rsid w:val="00072FBD"/>
    <w:rsid w:val="000776DB"/>
    <w:rsid w:val="00092104"/>
    <w:rsid w:val="0009399C"/>
    <w:rsid w:val="00096105"/>
    <w:rsid w:val="000A342B"/>
    <w:rsid w:val="000A3821"/>
    <w:rsid w:val="000A6B5D"/>
    <w:rsid w:val="000B1F22"/>
    <w:rsid w:val="000B1F7B"/>
    <w:rsid w:val="000B2159"/>
    <w:rsid w:val="000B284B"/>
    <w:rsid w:val="000B3003"/>
    <w:rsid w:val="000B3FDE"/>
    <w:rsid w:val="000B5E2E"/>
    <w:rsid w:val="000D2C65"/>
    <w:rsid w:val="000D3077"/>
    <w:rsid w:val="000D5A8C"/>
    <w:rsid w:val="000E034B"/>
    <w:rsid w:val="000E2B0C"/>
    <w:rsid w:val="000E710E"/>
    <w:rsid w:val="000F081F"/>
    <w:rsid w:val="000F6DC1"/>
    <w:rsid w:val="00101F8D"/>
    <w:rsid w:val="001100BF"/>
    <w:rsid w:val="00133748"/>
    <w:rsid w:val="0014075D"/>
    <w:rsid w:val="00141050"/>
    <w:rsid w:val="00150970"/>
    <w:rsid w:val="00150A77"/>
    <w:rsid w:val="00154BDD"/>
    <w:rsid w:val="00154E38"/>
    <w:rsid w:val="00156E96"/>
    <w:rsid w:val="00160618"/>
    <w:rsid w:val="00166F39"/>
    <w:rsid w:val="00173FBA"/>
    <w:rsid w:val="0018137A"/>
    <w:rsid w:val="00184582"/>
    <w:rsid w:val="00192D8D"/>
    <w:rsid w:val="00193355"/>
    <w:rsid w:val="001955E5"/>
    <w:rsid w:val="001976AF"/>
    <w:rsid w:val="001B1433"/>
    <w:rsid w:val="001B600F"/>
    <w:rsid w:val="001F3866"/>
    <w:rsid w:val="001F67E0"/>
    <w:rsid w:val="001F7A47"/>
    <w:rsid w:val="002033A6"/>
    <w:rsid w:val="00204442"/>
    <w:rsid w:val="0020794B"/>
    <w:rsid w:val="00207A8C"/>
    <w:rsid w:val="002110DD"/>
    <w:rsid w:val="002169B0"/>
    <w:rsid w:val="0022095E"/>
    <w:rsid w:val="002240AF"/>
    <w:rsid w:val="002342C8"/>
    <w:rsid w:val="00245DC2"/>
    <w:rsid w:val="002550D4"/>
    <w:rsid w:val="00262166"/>
    <w:rsid w:val="002628B5"/>
    <w:rsid w:val="00267ADD"/>
    <w:rsid w:val="002717F3"/>
    <w:rsid w:val="002814BB"/>
    <w:rsid w:val="00285C7C"/>
    <w:rsid w:val="002911B7"/>
    <w:rsid w:val="002B3067"/>
    <w:rsid w:val="002B4698"/>
    <w:rsid w:val="002D13BE"/>
    <w:rsid w:val="002D38F4"/>
    <w:rsid w:val="002D5D78"/>
    <w:rsid w:val="002E4585"/>
    <w:rsid w:val="002F0C05"/>
    <w:rsid w:val="002F4249"/>
    <w:rsid w:val="002F6074"/>
    <w:rsid w:val="00303D03"/>
    <w:rsid w:val="003242AD"/>
    <w:rsid w:val="00324CA8"/>
    <w:rsid w:val="00333A1E"/>
    <w:rsid w:val="00334FB1"/>
    <w:rsid w:val="00342C81"/>
    <w:rsid w:val="00351FDE"/>
    <w:rsid w:val="0035746E"/>
    <w:rsid w:val="00376582"/>
    <w:rsid w:val="0038500F"/>
    <w:rsid w:val="003860CB"/>
    <w:rsid w:val="003A3987"/>
    <w:rsid w:val="003B16CC"/>
    <w:rsid w:val="003B64F8"/>
    <w:rsid w:val="003C2802"/>
    <w:rsid w:val="003C2992"/>
    <w:rsid w:val="003C32E9"/>
    <w:rsid w:val="003D051E"/>
    <w:rsid w:val="003D1D30"/>
    <w:rsid w:val="003D3C05"/>
    <w:rsid w:val="003E23E8"/>
    <w:rsid w:val="003E370E"/>
    <w:rsid w:val="003E3CCB"/>
    <w:rsid w:val="003F1CDB"/>
    <w:rsid w:val="003F4D37"/>
    <w:rsid w:val="003F64D5"/>
    <w:rsid w:val="004019A2"/>
    <w:rsid w:val="004134D0"/>
    <w:rsid w:val="004222E3"/>
    <w:rsid w:val="00422940"/>
    <w:rsid w:val="00424E00"/>
    <w:rsid w:val="00430E92"/>
    <w:rsid w:val="004314BA"/>
    <w:rsid w:val="00432EDF"/>
    <w:rsid w:val="00433395"/>
    <w:rsid w:val="00433C8E"/>
    <w:rsid w:val="00441BE0"/>
    <w:rsid w:val="00444472"/>
    <w:rsid w:val="00450165"/>
    <w:rsid w:val="004511D9"/>
    <w:rsid w:val="00460EDC"/>
    <w:rsid w:val="004620F9"/>
    <w:rsid w:val="004665CD"/>
    <w:rsid w:val="00477C87"/>
    <w:rsid w:val="00490E45"/>
    <w:rsid w:val="004932C9"/>
    <w:rsid w:val="004A0675"/>
    <w:rsid w:val="004A0E6F"/>
    <w:rsid w:val="004A0EDE"/>
    <w:rsid w:val="004A5C40"/>
    <w:rsid w:val="004A78A0"/>
    <w:rsid w:val="004A7BDB"/>
    <w:rsid w:val="004B0934"/>
    <w:rsid w:val="004B36E7"/>
    <w:rsid w:val="004C7112"/>
    <w:rsid w:val="004C7FCD"/>
    <w:rsid w:val="004E0DD9"/>
    <w:rsid w:val="004E61EF"/>
    <w:rsid w:val="004E65BB"/>
    <w:rsid w:val="005003BC"/>
    <w:rsid w:val="00502882"/>
    <w:rsid w:val="00504657"/>
    <w:rsid w:val="0050645C"/>
    <w:rsid w:val="0051253B"/>
    <w:rsid w:val="00513D75"/>
    <w:rsid w:val="00524179"/>
    <w:rsid w:val="00532268"/>
    <w:rsid w:val="00541647"/>
    <w:rsid w:val="0054509C"/>
    <w:rsid w:val="005516E4"/>
    <w:rsid w:val="00553293"/>
    <w:rsid w:val="00556B6B"/>
    <w:rsid w:val="005611CF"/>
    <w:rsid w:val="00565F31"/>
    <w:rsid w:val="00572150"/>
    <w:rsid w:val="00586411"/>
    <w:rsid w:val="00587FA2"/>
    <w:rsid w:val="00590CA5"/>
    <w:rsid w:val="00593420"/>
    <w:rsid w:val="0059485C"/>
    <w:rsid w:val="005964A5"/>
    <w:rsid w:val="005A4B2F"/>
    <w:rsid w:val="005A5086"/>
    <w:rsid w:val="005B6C30"/>
    <w:rsid w:val="005C7BC8"/>
    <w:rsid w:val="005D0783"/>
    <w:rsid w:val="00614F15"/>
    <w:rsid w:val="00616EDB"/>
    <w:rsid w:val="00626A4D"/>
    <w:rsid w:val="00632241"/>
    <w:rsid w:val="0064479A"/>
    <w:rsid w:val="00655A92"/>
    <w:rsid w:val="0066438F"/>
    <w:rsid w:val="006646D2"/>
    <w:rsid w:val="006669F0"/>
    <w:rsid w:val="00671813"/>
    <w:rsid w:val="00671CAF"/>
    <w:rsid w:val="006750D8"/>
    <w:rsid w:val="00675D43"/>
    <w:rsid w:val="00677CAA"/>
    <w:rsid w:val="00683939"/>
    <w:rsid w:val="00687EE5"/>
    <w:rsid w:val="00687F47"/>
    <w:rsid w:val="00691E23"/>
    <w:rsid w:val="0069336D"/>
    <w:rsid w:val="006947D8"/>
    <w:rsid w:val="00697B0C"/>
    <w:rsid w:val="006A051B"/>
    <w:rsid w:val="006A0C33"/>
    <w:rsid w:val="006B45DF"/>
    <w:rsid w:val="006C1504"/>
    <w:rsid w:val="006C5221"/>
    <w:rsid w:val="006C63B7"/>
    <w:rsid w:val="006D090C"/>
    <w:rsid w:val="006D17D6"/>
    <w:rsid w:val="006D51B6"/>
    <w:rsid w:val="0070468D"/>
    <w:rsid w:val="007047C9"/>
    <w:rsid w:val="00710E2D"/>
    <w:rsid w:val="00713B45"/>
    <w:rsid w:val="007235FC"/>
    <w:rsid w:val="00726515"/>
    <w:rsid w:val="007276F6"/>
    <w:rsid w:val="0073280C"/>
    <w:rsid w:val="007404E7"/>
    <w:rsid w:val="00745755"/>
    <w:rsid w:val="007467BB"/>
    <w:rsid w:val="00752DAC"/>
    <w:rsid w:val="00757F21"/>
    <w:rsid w:val="007603F4"/>
    <w:rsid w:val="00764032"/>
    <w:rsid w:val="007669B3"/>
    <w:rsid w:val="007728AF"/>
    <w:rsid w:val="00773A54"/>
    <w:rsid w:val="00782665"/>
    <w:rsid w:val="00793AE5"/>
    <w:rsid w:val="007B03E6"/>
    <w:rsid w:val="007B4248"/>
    <w:rsid w:val="007D22E5"/>
    <w:rsid w:val="007D7832"/>
    <w:rsid w:val="007E01AD"/>
    <w:rsid w:val="007E0747"/>
    <w:rsid w:val="007E4940"/>
    <w:rsid w:val="00812579"/>
    <w:rsid w:val="00813E83"/>
    <w:rsid w:val="00822EC3"/>
    <w:rsid w:val="008273B3"/>
    <w:rsid w:val="00846B8F"/>
    <w:rsid w:val="00850A97"/>
    <w:rsid w:val="00862574"/>
    <w:rsid w:val="00867E19"/>
    <w:rsid w:val="00882CA8"/>
    <w:rsid w:val="00893C28"/>
    <w:rsid w:val="00896F22"/>
    <w:rsid w:val="008A0286"/>
    <w:rsid w:val="008A2764"/>
    <w:rsid w:val="008B0A55"/>
    <w:rsid w:val="008B17B7"/>
    <w:rsid w:val="008B2728"/>
    <w:rsid w:val="008B4365"/>
    <w:rsid w:val="008B5C21"/>
    <w:rsid w:val="008C028B"/>
    <w:rsid w:val="008D2F60"/>
    <w:rsid w:val="008D7F48"/>
    <w:rsid w:val="008E2322"/>
    <w:rsid w:val="008E3D25"/>
    <w:rsid w:val="008F2DEC"/>
    <w:rsid w:val="008F4577"/>
    <w:rsid w:val="008F4735"/>
    <w:rsid w:val="009036A6"/>
    <w:rsid w:val="00913160"/>
    <w:rsid w:val="009148A3"/>
    <w:rsid w:val="00923CD4"/>
    <w:rsid w:val="009327AC"/>
    <w:rsid w:val="00934FEB"/>
    <w:rsid w:val="00940182"/>
    <w:rsid w:val="009404EB"/>
    <w:rsid w:val="0095024A"/>
    <w:rsid w:val="009512E6"/>
    <w:rsid w:val="00957651"/>
    <w:rsid w:val="0096181A"/>
    <w:rsid w:val="009653F5"/>
    <w:rsid w:val="009663DE"/>
    <w:rsid w:val="0096771E"/>
    <w:rsid w:val="009720C0"/>
    <w:rsid w:val="00972ACD"/>
    <w:rsid w:val="009832D8"/>
    <w:rsid w:val="00985B0E"/>
    <w:rsid w:val="0099497E"/>
    <w:rsid w:val="00997F0A"/>
    <w:rsid w:val="009A0E23"/>
    <w:rsid w:val="009B1ED7"/>
    <w:rsid w:val="009B4748"/>
    <w:rsid w:val="009B5718"/>
    <w:rsid w:val="009B73BE"/>
    <w:rsid w:val="009B7677"/>
    <w:rsid w:val="009C5A4A"/>
    <w:rsid w:val="009D2553"/>
    <w:rsid w:val="009D36B1"/>
    <w:rsid w:val="009D4A35"/>
    <w:rsid w:val="009D5681"/>
    <w:rsid w:val="009D7A70"/>
    <w:rsid w:val="009E0CC2"/>
    <w:rsid w:val="009F5173"/>
    <w:rsid w:val="00A042AD"/>
    <w:rsid w:val="00A06A1E"/>
    <w:rsid w:val="00A137E4"/>
    <w:rsid w:val="00A13997"/>
    <w:rsid w:val="00A23F3A"/>
    <w:rsid w:val="00A26A80"/>
    <w:rsid w:val="00A30B3D"/>
    <w:rsid w:val="00A42929"/>
    <w:rsid w:val="00A46361"/>
    <w:rsid w:val="00A5688B"/>
    <w:rsid w:val="00A61070"/>
    <w:rsid w:val="00A61B74"/>
    <w:rsid w:val="00A6492C"/>
    <w:rsid w:val="00A66C59"/>
    <w:rsid w:val="00A74173"/>
    <w:rsid w:val="00A75ADE"/>
    <w:rsid w:val="00A839A8"/>
    <w:rsid w:val="00A90B55"/>
    <w:rsid w:val="00A94D1F"/>
    <w:rsid w:val="00AA56A6"/>
    <w:rsid w:val="00AB1DAC"/>
    <w:rsid w:val="00AC2821"/>
    <w:rsid w:val="00AC3200"/>
    <w:rsid w:val="00AC7D80"/>
    <w:rsid w:val="00AD559E"/>
    <w:rsid w:val="00AD6D21"/>
    <w:rsid w:val="00AE0306"/>
    <w:rsid w:val="00AE1C32"/>
    <w:rsid w:val="00AE333D"/>
    <w:rsid w:val="00AF729A"/>
    <w:rsid w:val="00B07A98"/>
    <w:rsid w:val="00B14AEF"/>
    <w:rsid w:val="00B16EC1"/>
    <w:rsid w:val="00B2371F"/>
    <w:rsid w:val="00B24D7F"/>
    <w:rsid w:val="00B333B2"/>
    <w:rsid w:val="00B4025A"/>
    <w:rsid w:val="00B424D3"/>
    <w:rsid w:val="00B43348"/>
    <w:rsid w:val="00B43EA3"/>
    <w:rsid w:val="00B47DD8"/>
    <w:rsid w:val="00B51C4E"/>
    <w:rsid w:val="00B64049"/>
    <w:rsid w:val="00B66BBD"/>
    <w:rsid w:val="00B67A7C"/>
    <w:rsid w:val="00B740FB"/>
    <w:rsid w:val="00B82556"/>
    <w:rsid w:val="00B84EB0"/>
    <w:rsid w:val="00B8697B"/>
    <w:rsid w:val="00B877A5"/>
    <w:rsid w:val="00B9194A"/>
    <w:rsid w:val="00B91D83"/>
    <w:rsid w:val="00BA5895"/>
    <w:rsid w:val="00BB3043"/>
    <w:rsid w:val="00BB69D9"/>
    <w:rsid w:val="00BC7922"/>
    <w:rsid w:val="00BF5660"/>
    <w:rsid w:val="00C2421B"/>
    <w:rsid w:val="00C34929"/>
    <w:rsid w:val="00C45D3A"/>
    <w:rsid w:val="00C51CD8"/>
    <w:rsid w:val="00C54E07"/>
    <w:rsid w:val="00C54E8C"/>
    <w:rsid w:val="00C57CC3"/>
    <w:rsid w:val="00C84EDA"/>
    <w:rsid w:val="00C919A7"/>
    <w:rsid w:val="00C922DD"/>
    <w:rsid w:val="00C9575E"/>
    <w:rsid w:val="00CA2BD0"/>
    <w:rsid w:val="00CA5CDD"/>
    <w:rsid w:val="00CB1809"/>
    <w:rsid w:val="00CB6D27"/>
    <w:rsid w:val="00CB77D5"/>
    <w:rsid w:val="00CC1C9B"/>
    <w:rsid w:val="00CC2218"/>
    <w:rsid w:val="00CD65E4"/>
    <w:rsid w:val="00CE1F2E"/>
    <w:rsid w:val="00CE3596"/>
    <w:rsid w:val="00CF2767"/>
    <w:rsid w:val="00D01BFC"/>
    <w:rsid w:val="00D03E3A"/>
    <w:rsid w:val="00D1593A"/>
    <w:rsid w:val="00D1716A"/>
    <w:rsid w:val="00D27879"/>
    <w:rsid w:val="00D31328"/>
    <w:rsid w:val="00D37216"/>
    <w:rsid w:val="00D50CDE"/>
    <w:rsid w:val="00D539FE"/>
    <w:rsid w:val="00D56467"/>
    <w:rsid w:val="00D63931"/>
    <w:rsid w:val="00D732C1"/>
    <w:rsid w:val="00D749A3"/>
    <w:rsid w:val="00D75A6A"/>
    <w:rsid w:val="00D774E2"/>
    <w:rsid w:val="00D859C6"/>
    <w:rsid w:val="00D9493F"/>
    <w:rsid w:val="00DB0EF1"/>
    <w:rsid w:val="00DC0FDB"/>
    <w:rsid w:val="00DC1FB2"/>
    <w:rsid w:val="00DC75E4"/>
    <w:rsid w:val="00DD0681"/>
    <w:rsid w:val="00DD2956"/>
    <w:rsid w:val="00DD568D"/>
    <w:rsid w:val="00DD6EE3"/>
    <w:rsid w:val="00DD73FC"/>
    <w:rsid w:val="00DE14A9"/>
    <w:rsid w:val="00DF1E2F"/>
    <w:rsid w:val="00DF49CA"/>
    <w:rsid w:val="00DF519F"/>
    <w:rsid w:val="00E04503"/>
    <w:rsid w:val="00E06C5F"/>
    <w:rsid w:val="00E06F13"/>
    <w:rsid w:val="00E124BA"/>
    <w:rsid w:val="00E125EA"/>
    <w:rsid w:val="00E1536C"/>
    <w:rsid w:val="00E15918"/>
    <w:rsid w:val="00E228D9"/>
    <w:rsid w:val="00E36F42"/>
    <w:rsid w:val="00E43BF4"/>
    <w:rsid w:val="00E5110E"/>
    <w:rsid w:val="00E579E8"/>
    <w:rsid w:val="00E66C87"/>
    <w:rsid w:val="00E67F10"/>
    <w:rsid w:val="00E70CED"/>
    <w:rsid w:val="00E875F1"/>
    <w:rsid w:val="00E93C64"/>
    <w:rsid w:val="00EA1DE2"/>
    <w:rsid w:val="00EA4884"/>
    <w:rsid w:val="00EB199E"/>
    <w:rsid w:val="00EB5963"/>
    <w:rsid w:val="00EC24E7"/>
    <w:rsid w:val="00EC3798"/>
    <w:rsid w:val="00EC5379"/>
    <w:rsid w:val="00EC549D"/>
    <w:rsid w:val="00ED5882"/>
    <w:rsid w:val="00EE4D03"/>
    <w:rsid w:val="00EE79C2"/>
    <w:rsid w:val="00EF1AD4"/>
    <w:rsid w:val="00EF2732"/>
    <w:rsid w:val="00EF3A14"/>
    <w:rsid w:val="00EF43EE"/>
    <w:rsid w:val="00EF55DB"/>
    <w:rsid w:val="00F075B2"/>
    <w:rsid w:val="00F1101B"/>
    <w:rsid w:val="00F130B0"/>
    <w:rsid w:val="00F167D7"/>
    <w:rsid w:val="00F22037"/>
    <w:rsid w:val="00F27ED2"/>
    <w:rsid w:val="00F301B0"/>
    <w:rsid w:val="00F34283"/>
    <w:rsid w:val="00F36835"/>
    <w:rsid w:val="00F40B6F"/>
    <w:rsid w:val="00F435A7"/>
    <w:rsid w:val="00F5092C"/>
    <w:rsid w:val="00F66147"/>
    <w:rsid w:val="00F81284"/>
    <w:rsid w:val="00F85DE5"/>
    <w:rsid w:val="00F87C9C"/>
    <w:rsid w:val="00F90E42"/>
    <w:rsid w:val="00F9694B"/>
    <w:rsid w:val="00FA2D9F"/>
    <w:rsid w:val="00FA7869"/>
    <w:rsid w:val="00FB0DBA"/>
    <w:rsid w:val="00FB1B8B"/>
    <w:rsid w:val="00FB4CF4"/>
    <w:rsid w:val="00FC0931"/>
    <w:rsid w:val="00FC5EB5"/>
    <w:rsid w:val="00FC6181"/>
    <w:rsid w:val="00FC63D6"/>
    <w:rsid w:val="00FC742D"/>
    <w:rsid w:val="00FD1849"/>
    <w:rsid w:val="00FD3E53"/>
    <w:rsid w:val="00FD52D0"/>
    <w:rsid w:val="00FD7141"/>
    <w:rsid w:val="00FE3150"/>
    <w:rsid w:val="00FE3D26"/>
    <w:rsid w:val="00FE6BEB"/>
    <w:rsid w:val="00FF2014"/>
    <w:rsid w:val="00FF5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456DC"/>
  <w15:chartTrackingRefBased/>
  <w15:docId w15:val="{C5B6CAF8-FC3E-8441-89D0-D59321BC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33D"/>
    <w:rPr>
      <w:rFonts w:ascii="Calibri" w:hAnsi="Calibri"/>
    </w:rPr>
  </w:style>
  <w:style w:type="paragraph" w:styleId="Heading1">
    <w:name w:val="heading 1"/>
    <w:basedOn w:val="Normal"/>
    <w:next w:val="Normal"/>
    <w:link w:val="Heading1Char"/>
    <w:autoRedefine/>
    <w:uiPriority w:val="9"/>
    <w:qFormat/>
    <w:rsid w:val="00691E23"/>
    <w:pPr>
      <w:keepNext/>
      <w:keepLines/>
      <w:numPr>
        <w:numId w:val="194"/>
      </w:numPr>
      <w:spacing w:before="360" w:after="80" w:line="240" w:lineRule="auto"/>
      <w:outlineLvl w:val="0"/>
    </w:pPr>
    <w:rPr>
      <w:rFonts w:ascii="Arial" w:eastAsiaTheme="majorEastAsia" w:hAnsi="Arial" w:cstheme="majorBidi"/>
      <w:b/>
      <w:color w:val="0F4761" w:themeColor="accent1" w:themeShade="BF"/>
      <w:sz w:val="40"/>
      <w:szCs w:val="40"/>
    </w:rPr>
  </w:style>
  <w:style w:type="paragraph" w:styleId="Heading2">
    <w:name w:val="heading 2"/>
    <w:basedOn w:val="Normal"/>
    <w:next w:val="Normal"/>
    <w:link w:val="Heading2Char"/>
    <w:autoRedefine/>
    <w:uiPriority w:val="9"/>
    <w:unhideWhenUsed/>
    <w:qFormat/>
    <w:rsid w:val="00441BE0"/>
    <w:pPr>
      <w:keepNext/>
      <w:keepLines/>
      <w:spacing w:before="160" w:after="80"/>
      <w:outlineLvl w:val="1"/>
    </w:pPr>
    <w:rPr>
      <w:rFonts w:ascii="Arial" w:eastAsiaTheme="majorEastAsia" w:hAnsi="Arial" w:cstheme="majorBidi"/>
      <w:color w:val="113F64"/>
      <w:sz w:val="32"/>
      <w:szCs w:val="32"/>
    </w:rPr>
  </w:style>
  <w:style w:type="paragraph" w:styleId="Heading3">
    <w:name w:val="heading 3"/>
    <w:basedOn w:val="Normal"/>
    <w:next w:val="Normal"/>
    <w:link w:val="Heading3Char"/>
    <w:autoRedefine/>
    <w:uiPriority w:val="9"/>
    <w:unhideWhenUsed/>
    <w:qFormat/>
    <w:rsid w:val="00691E23"/>
    <w:pPr>
      <w:keepNext/>
      <w:keepLines/>
      <w:numPr>
        <w:ilvl w:val="2"/>
        <w:numId w:val="186"/>
      </w:numPr>
      <w:spacing w:before="160" w:after="80" w:line="240" w:lineRule="auto"/>
      <w:outlineLvl w:val="2"/>
    </w:pPr>
    <w:rPr>
      <w:rFonts w:ascii="Arial" w:eastAsiaTheme="majorEastAsia" w:hAnsi="Arial" w:cstheme="majorBidi"/>
      <w:bCs/>
      <w:i/>
      <w:color w:val="28666E"/>
      <w:sz w:val="28"/>
      <w:szCs w:val="28"/>
    </w:rPr>
  </w:style>
  <w:style w:type="paragraph" w:styleId="Heading4">
    <w:name w:val="heading 4"/>
    <w:basedOn w:val="Normal"/>
    <w:next w:val="Normal"/>
    <w:link w:val="Heading4Char"/>
    <w:autoRedefine/>
    <w:uiPriority w:val="9"/>
    <w:unhideWhenUsed/>
    <w:qFormat/>
    <w:rsid w:val="00057061"/>
    <w:pPr>
      <w:keepNext/>
      <w:keepLines/>
      <w:numPr>
        <w:ilvl w:val="3"/>
        <w:numId w:val="186"/>
      </w:numPr>
      <w:spacing w:before="240" w:after="240"/>
      <w:outlineLvl w:val="3"/>
    </w:pPr>
    <w:rPr>
      <w:rFonts w:eastAsia="Times New Roman" w:cstheme="majorBidi"/>
      <w:b/>
      <w:i/>
      <w:iCs/>
      <w:color w:val="353535"/>
    </w:rPr>
  </w:style>
  <w:style w:type="paragraph" w:styleId="Heading5">
    <w:name w:val="heading 5"/>
    <w:basedOn w:val="Normal"/>
    <w:next w:val="Normal"/>
    <w:link w:val="Heading5Char"/>
    <w:uiPriority w:val="9"/>
    <w:semiHidden/>
    <w:unhideWhenUsed/>
    <w:qFormat/>
    <w:rsid w:val="00B24D7F"/>
    <w:pPr>
      <w:keepNext/>
      <w:keepLines/>
      <w:numPr>
        <w:ilvl w:val="4"/>
        <w:numId w:val="127"/>
      </w:numPr>
      <w:spacing w:before="80" w:after="40"/>
      <w:outlineLvl w:val="4"/>
    </w:pPr>
    <w:rPr>
      <w:rFonts w:eastAsiaTheme="majorEastAsia" w:cstheme="majorBidi"/>
      <w:color w:val="0F4761" w:themeColor="accent1" w:themeShade="BF"/>
    </w:rPr>
  </w:style>
  <w:style w:type="paragraph" w:styleId="Heading6">
    <w:name w:val="heading 6"/>
    <w:basedOn w:val="Heading1"/>
    <w:next w:val="Normal"/>
    <w:link w:val="Heading6Char"/>
    <w:autoRedefine/>
    <w:uiPriority w:val="9"/>
    <w:unhideWhenUsed/>
    <w:qFormat/>
    <w:rsid w:val="00E125EA"/>
    <w:pPr>
      <w:numPr>
        <w:ilvl w:val="5"/>
        <w:numId w:val="186"/>
      </w:numPr>
      <w:spacing w:before="40" w:after="0"/>
      <w:outlineLvl w:val="5"/>
    </w:pPr>
    <w:rPr>
      <w:iCs/>
      <w:color w:val="113F64"/>
    </w:rPr>
  </w:style>
  <w:style w:type="paragraph" w:styleId="Heading7">
    <w:name w:val="heading 7"/>
    <w:basedOn w:val="Normal"/>
    <w:next w:val="Normal"/>
    <w:link w:val="Heading7Char"/>
    <w:uiPriority w:val="9"/>
    <w:unhideWhenUsed/>
    <w:qFormat/>
    <w:rsid w:val="00691E23"/>
    <w:pPr>
      <w:keepNext/>
      <w:keepLines/>
      <w:numPr>
        <w:ilvl w:val="6"/>
        <w:numId w:val="186"/>
      </w:numPr>
      <w:spacing w:before="40" w:after="0"/>
      <w:outlineLvl w:val="6"/>
    </w:pPr>
    <w:rPr>
      <w:rFonts w:ascii="Arial" w:eastAsiaTheme="majorEastAsia" w:hAnsi="Arial" w:cstheme="majorBidi"/>
      <w:color w:val="113F64"/>
      <w:sz w:val="32"/>
    </w:rPr>
  </w:style>
  <w:style w:type="paragraph" w:styleId="Heading8">
    <w:name w:val="heading 8"/>
    <w:basedOn w:val="Normal"/>
    <w:next w:val="Normal"/>
    <w:link w:val="Heading8Char"/>
    <w:uiPriority w:val="9"/>
    <w:unhideWhenUsed/>
    <w:qFormat/>
    <w:rsid w:val="00691E23"/>
    <w:pPr>
      <w:keepNext/>
      <w:keepLines/>
      <w:numPr>
        <w:ilvl w:val="7"/>
        <w:numId w:val="186"/>
      </w:numPr>
      <w:spacing w:after="0"/>
      <w:outlineLvl w:val="7"/>
    </w:pPr>
    <w:rPr>
      <w:rFonts w:eastAsiaTheme="majorEastAsia" w:cstheme="majorBidi"/>
      <w:i/>
      <w:iCs/>
      <w:color w:val="27666E"/>
      <w:sz w:val="28"/>
    </w:rPr>
  </w:style>
  <w:style w:type="paragraph" w:styleId="Heading9">
    <w:name w:val="heading 9"/>
    <w:basedOn w:val="Normal"/>
    <w:next w:val="Normal"/>
    <w:link w:val="Heading9Char"/>
    <w:uiPriority w:val="9"/>
    <w:semiHidden/>
    <w:unhideWhenUsed/>
    <w:qFormat/>
    <w:rsid w:val="00B24D7F"/>
    <w:pPr>
      <w:keepNext/>
      <w:keepLines/>
      <w:numPr>
        <w:ilvl w:val="8"/>
        <w:numId w:val="186"/>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E23"/>
    <w:rPr>
      <w:rFonts w:ascii="Arial" w:eastAsiaTheme="majorEastAsia" w:hAnsi="Arial" w:cstheme="majorBidi"/>
      <w:b/>
      <w:color w:val="0F4761" w:themeColor="accent1" w:themeShade="BF"/>
      <w:sz w:val="40"/>
      <w:szCs w:val="40"/>
    </w:rPr>
  </w:style>
  <w:style w:type="character" w:customStyle="1" w:styleId="Heading2Char">
    <w:name w:val="Heading 2 Char"/>
    <w:basedOn w:val="DefaultParagraphFont"/>
    <w:link w:val="Heading2"/>
    <w:uiPriority w:val="9"/>
    <w:rsid w:val="00441BE0"/>
    <w:rPr>
      <w:rFonts w:ascii="Arial" w:eastAsiaTheme="majorEastAsia" w:hAnsi="Arial" w:cstheme="majorBidi"/>
      <w:color w:val="113F64"/>
      <w:sz w:val="32"/>
      <w:szCs w:val="32"/>
    </w:rPr>
  </w:style>
  <w:style w:type="character" w:customStyle="1" w:styleId="Heading3Char">
    <w:name w:val="Heading 3 Char"/>
    <w:basedOn w:val="DefaultParagraphFont"/>
    <w:link w:val="Heading3"/>
    <w:uiPriority w:val="9"/>
    <w:rsid w:val="00691E23"/>
    <w:rPr>
      <w:rFonts w:ascii="Arial" w:eastAsiaTheme="majorEastAsia" w:hAnsi="Arial" w:cstheme="majorBidi"/>
      <w:bCs/>
      <w:i/>
      <w:color w:val="28666E"/>
      <w:sz w:val="28"/>
      <w:szCs w:val="28"/>
    </w:rPr>
  </w:style>
  <w:style w:type="character" w:customStyle="1" w:styleId="Heading4Char">
    <w:name w:val="Heading 4 Char"/>
    <w:basedOn w:val="DefaultParagraphFont"/>
    <w:link w:val="Heading4"/>
    <w:uiPriority w:val="9"/>
    <w:rsid w:val="00057061"/>
    <w:rPr>
      <w:rFonts w:ascii="Calibri" w:eastAsia="Times New Roman" w:hAnsi="Calibri" w:cstheme="majorBidi"/>
      <w:b/>
      <w:i/>
      <w:iCs/>
      <w:color w:val="353535"/>
    </w:rPr>
  </w:style>
  <w:style w:type="character" w:customStyle="1" w:styleId="Heading5Char">
    <w:name w:val="Heading 5 Char"/>
    <w:basedOn w:val="DefaultParagraphFont"/>
    <w:link w:val="Heading5"/>
    <w:uiPriority w:val="9"/>
    <w:semiHidden/>
    <w:rsid w:val="00B24D7F"/>
    <w:rPr>
      <w:rFonts w:ascii="Calibri" w:eastAsiaTheme="majorEastAsia" w:hAnsi="Calibri" w:cstheme="majorBidi"/>
      <w:color w:val="0F4761" w:themeColor="accent1" w:themeShade="BF"/>
    </w:rPr>
  </w:style>
  <w:style w:type="character" w:customStyle="1" w:styleId="Heading6Char">
    <w:name w:val="Heading 6 Char"/>
    <w:basedOn w:val="DefaultParagraphFont"/>
    <w:link w:val="Heading6"/>
    <w:uiPriority w:val="9"/>
    <w:rsid w:val="00E125EA"/>
    <w:rPr>
      <w:rFonts w:ascii="Arial" w:eastAsiaTheme="majorEastAsia" w:hAnsi="Arial" w:cstheme="majorBidi"/>
      <w:b/>
      <w:iCs/>
      <w:color w:val="113F64"/>
      <w:sz w:val="40"/>
      <w:szCs w:val="40"/>
    </w:rPr>
  </w:style>
  <w:style w:type="character" w:customStyle="1" w:styleId="Heading7Char">
    <w:name w:val="Heading 7 Char"/>
    <w:basedOn w:val="DefaultParagraphFont"/>
    <w:link w:val="Heading7"/>
    <w:uiPriority w:val="9"/>
    <w:rsid w:val="00691E23"/>
    <w:rPr>
      <w:rFonts w:ascii="Arial" w:eastAsiaTheme="majorEastAsia" w:hAnsi="Arial" w:cstheme="majorBidi"/>
      <w:color w:val="113F64"/>
      <w:sz w:val="32"/>
    </w:rPr>
  </w:style>
  <w:style w:type="character" w:customStyle="1" w:styleId="Heading8Char">
    <w:name w:val="Heading 8 Char"/>
    <w:basedOn w:val="DefaultParagraphFont"/>
    <w:link w:val="Heading8"/>
    <w:uiPriority w:val="9"/>
    <w:rsid w:val="00691E23"/>
    <w:rPr>
      <w:rFonts w:ascii="Calibri" w:eastAsiaTheme="majorEastAsia" w:hAnsi="Calibri" w:cstheme="majorBidi"/>
      <w:i/>
      <w:iCs/>
      <w:color w:val="27666E"/>
      <w:sz w:val="28"/>
    </w:rPr>
  </w:style>
  <w:style w:type="character" w:customStyle="1" w:styleId="Heading9Char">
    <w:name w:val="Heading 9 Char"/>
    <w:basedOn w:val="DefaultParagraphFont"/>
    <w:link w:val="Heading9"/>
    <w:uiPriority w:val="9"/>
    <w:semiHidden/>
    <w:rsid w:val="00B24D7F"/>
    <w:rPr>
      <w:rFonts w:ascii="Calibri" w:eastAsiaTheme="majorEastAsia" w:hAnsi="Calibri" w:cstheme="majorBidi"/>
      <w:color w:val="272727" w:themeColor="text1" w:themeTint="D8"/>
    </w:rPr>
  </w:style>
  <w:style w:type="paragraph" w:styleId="Title">
    <w:name w:val="Title"/>
    <w:basedOn w:val="Normal"/>
    <w:next w:val="Normal"/>
    <w:link w:val="TitleChar"/>
    <w:uiPriority w:val="10"/>
    <w:qFormat/>
    <w:rsid w:val="00B24D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4D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4D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4D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4D7F"/>
    <w:pPr>
      <w:spacing w:before="160"/>
      <w:jc w:val="center"/>
    </w:pPr>
    <w:rPr>
      <w:i/>
      <w:iCs/>
      <w:color w:val="404040" w:themeColor="text1" w:themeTint="BF"/>
    </w:rPr>
  </w:style>
  <w:style w:type="character" w:customStyle="1" w:styleId="QuoteChar">
    <w:name w:val="Quote Char"/>
    <w:basedOn w:val="DefaultParagraphFont"/>
    <w:link w:val="Quote"/>
    <w:uiPriority w:val="29"/>
    <w:rsid w:val="00B24D7F"/>
    <w:rPr>
      <w:i/>
      <w:iCs/>
      <w:color w:val="404040" w:themeColor="text1" w:themeTint="BF"/>
    </w:rPr>
  </w:style>
  <w:style w:type="paragraph" w:styleId="ListParagraph">
    <w:name w:val="List Paragraph"/>
    <w:basedOn w:val="Normal"/>
    <w:uiPriority w:val="34"/>
    <w:qFormat/>
    <w:rsid w:val="00B24D7F"/>
    <w:pPr>
      <w:ind w:left="720"/>
      <w:contextualSpacing/>
    </w:pPr>
  </w:style>
  <w:style w:type="character" w:styleId="IntenseEmphasis">
    <w:name w:val="Intense Emphasis"/>
    <w:basedOn w:val="DefaultParagraphFont"/>
    <w:uiPriority w:val="21"/>
    <w:qFormat/>
    <w:rsid w:val="00B24D7F"/>
    <w:rPr>
      <w:i/>
      <w:iCs/>
      <w:color w:val="0F4761" w:themeColor="accent1" w:themeShade="BF"/>
    </w:rPr>
  </w:style>
  <w:style w:type="paragraph" w:styleId="IntenseQuote">
    <w:name w:val="Intense Quote"/>
    <w:basedOn w:val="Normal"/>
    <w:next w:val="Normal"/>
    <w:link w:val="IntenseQuoteChar"/>
    <w:uiPriority w:val="30"/>
    <w:qFormat/>
    <w:rsid w:val="00B24D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4D7F"/>
    <w:rPr>
      <w:i/>
      <w:iCs/>
      <w:color w:val="0F4761" w:themeColor="accent1" w:themeShade="BF"/>
    </w:rPr>
  </w:style>
  <w:style w:type="character" w:styleId="IntenseReference">
    <w:name w:val="Intense Reference"/>
    <w:basedOn w:val="DefaultParagraphFont"/>
    <w:uiPriority w:val="32"/>
    <w:qFormat/>
    <w:rsid w:val="00B24D7F"/>
    <w:rPr>
      <w:b/>
      <w:bCs/>
      <w:smallCaps/>
      <w:color w:val="0F4761" w:themeColor="accent1" w:themeShade="BF"/>
      <w:spacing w:val="5"/>
    </w:rPr>
  </w:style>
  <w:style w:type="paragraph" w:styleId="Footer">
    <w:name w:val="footer"/>
    <w:basedOn w:val="Normal"/>
    <w:link w:val="FooterChar"/>
    <w:autoRedefine/>
    <w:uiPriority w:val="99"/>
    <w:unhideWhenUsed/>
    <w:qFormat/>
    <w:rsid w:val="00A839A8"/>
    <w:pPr>
      <w:tabs>
        <w:tab w:val="center" w:pos="4680"/>
        <w:tab w:val="right" w:pos="9360"/>
      </w:tabs>
      <w:spacing w:after="0" w:line="240" w:lineRule="auto"/>
    </w:pPr>
    <w:rPr>
      <w:sz w:val="22"/>
    </w:rPr>
  </w:style>
  <w:style w:type="character" w:customStyle="1" w:styleId="FooterChar">
    <w:name w:val="Footer Char"/>
    <w:basedOn w:val="DefaultParagraphFont"/>
    <w:link w:val="Footer"/>
    <w:uiPriority w:val="99"/>
    <w:rsid w:val="00A839A8"/>
    <w:rPr>
      <w:rFonts w:ascii="Calibri" w:hAnsi="Calibri"/>
      <w:sz w:val="22"/>
    </w:rPr>
  </w:style>
  <w:style w:type="character" w:styleId="PageNumber">
    <w:name w:val="page number"/>
    <w:basedOn w:val="DefaultParagraphFont"/>
    <w:uiPriority w:val="99"/>
    <w:semiHidden/>
    <w:unhideWhenUsed/>
    <w:rsid w:val="005516E4"/>
  </w:style>
  <w:style w:type="paragraph" w:styleId="Caption">
    <w:name w:val="caption"/>
    <w:basedOn w:val="Normal"/>
    <w:next w:val="Normal"/>
    <w:autoRedefine/>
    <w:uiPriority w:val="35"/>
    <w:unhideWhenUsed/>
    <w:qFormat/>
    <w:rsid w:val="00C54E07"/>
    <w:pPr>
      <w:keepNext/>
      <w:spacing w:before="240" w:after="200" w:line="240" w:lineRule="auto"/>
      <w:ind w:right="-720"/>
    </w:pPr>
    <w:rPr>
      <w:i/>
      <w:iCs/>
      <w:color w:val="0E2841" w:themeColor="text2"/>
      <w:szCs w:val="18"/>
    </w:rPr>
  </w:style>
  <w:style w:type="paragraph" w:styleId="FootnoteText">
    <w:name w:val="footnote text"/>
    <w:basedOn w:val="Normal"/>
    <w:link w:val="FootnoteTextChar"/>
    <w:uiPriority w:val="99"/>
    <w:semiHidden/>
    <w:unhideWhenUsed/>
    <w:rsid w:val="00A839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39A8"/>
    <w:rPr>
      <w:rFonts w:ascii="Calibri" w:hAnsi="Calibri"/>
      <w:sz w:val="20"/>
      <w:szCs w:val="20"/>
    </w:rPr>
  </w:style>
  <w:style w:type="character" w:styleId="FootnoteReference">
    <w:name w:val="footnote reference"/>
    <w:basedOn w:val="DefaultParagraphFont"/>
    <w:uiPriority w:val="99"/>
    <w:unhideWhenUsed/>
    <w:rsid w:val="00A839A8"/>
    <w:rPr>
      <w:vertAlign w:val="superscript"/>
    </w:rPr>
  </w:style>
  <w:style w:type="character" w:styleId="Hyperlink">
    <w:name w:val="Hyperlink"/>
    <w:basedOn w:val="DefaultParagraphFont"/>
    <w:uiPriority w:val="99"/>
    <w:unhideWhenUsed/>
    <w:rsid w:val="00A839A8"/>
    <w:rPr>
      <w:color w:val="467886" w:themeColor="hyperlink"/>
      <w:u w:val="single"/>
    </w:rPr>
  </w:style>
  <w:style w:type="character" w:styleId="UnresolvedMention">
    <w:name w:val="Unresolved Mention"/>
    <w:basedOn w:val="DefaultParagraphFont"/>
    <w:uiPriority w:val="99"/>
    <w:semiHidden/>
    <w:unhideWhenUsed/>
    <w:rsid w:val="00A839A8"/>
    <w:rPr>
      <w:color w:val="605E5C"/>
      <w:shd w:val="clear" w:color="auto" w:fill="E1DFDD"/>
    </w:rPr>
  </w:style>
  <w:style w:type="paragraph" w:styleId="NormalWeb">
    <w:name w:val="Normal (Web)"/>
    <w:basedOn w:val="Normal"/>
    <w:uiPriority w:val="99"/>
    <w:unhideWhenUsed/>
    <w:rsid w:val="0022095E"/>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773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3C28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3C28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BF5660"/>
    <w:rPr>
      <w:color w:val="96607D" w:themeColor="followedHyperlink"/>
      <w:u w:val="single"/>
    </w:rPr>
  </w:style>
  <w:style w:type="paragraph" w:styleId="Header">
    <w:name w:val="header"/>
    <w:basedOn w:val="Normal"/>
    <w:link w:val="HeaderChar"/>
    <w:uiPriority w:val="99"/>
    <w:unhideWhenUsed/>
    <w:rsid w:val="005028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882"/>
    <w:rPr>
      <w:rFonts w:ascii="Calibri" w:hAnsi="Calibri"/>
    </w:rPr>
  </w:style>
  <w:style w:type="paragraph" w:customStyle="1" w:styleId="Definitions">
    <w:name w:val="Definitions"/>
    <w:basedOn w:val="Heading4"/>
    <w:next w:val="Normal"/>
    <w:link w:val="DefinitionsChar"/>
    <w:autoRedefine/>
    <w:qFormat/>
    <w:rsid w:val="00FE6BEB"/>
    <w:pPr>
      <w:spacing w:before="0" w:after="0"/>
    </w:pPr>
    <w:rPr>
      <w:rFonts w:cs="Times New Roman (Headings CS)"/>
      <w:color w:val="28666E"/>
    </w:rPr>
  </w:style>
  <w:style w:type="character" w:customStyle="1" w:styleId="DefinitionsChar">
    <w:name w:val="Definitions Char"/>
    <w:basedOn w:val="Heading4Char"/>
    <w:link w:val="Definitions"/>
    <w:rsid w:val="00FE6BEB"/>
    <w:rPr>
      <w:rFonts w:ascii="Calibri" w:eastAsia="Times New Roman" w:hAnsi="Calibri" w:cs="Times New Roman (Headings CS)"/>
      <w:b/>
      <w:i/>
      <w:iCs/>
      <w:color w:val="28666E"/>
    </w:rPr>
  </w:style>
  <w:style w:type="character" w:styleId="Strong">
    <w:name w:val="Strong"/>
    <w:aliases w:val="Author Names"/>
    <w:basedOn w:val="DefaultParagraphFont"/>
    <w:uiPriority w:val="22"/>
    <w:qFormat/>
    <w:rsid w:val="00A46361"/>
    <w:rPr>
      <w:rFonts w:ascii="Arial" w:hAnsi="Arial"/>
      <w:b/>
      <w:bCs/>
      <w:color w:val="28666E"/>
      <w:sz w:val="24"/>
    </w:rPr>
  </w:style>
  <w:style w:type="numbering" w:customStyle="1" w:styleId="CurrentList1">
    <w:name w:val="Current List1"/>
    <w:uiPriority w:val="99"/>
    <w:rsid w:val="00556B6B"/>
    <w:pPr>
      <w:numPr>
        <w:numId w:val="118"/>
      </w:numPr>
    </w:pPr>
  </w:style>
  <w:style w:type="character" w:styleId="PlaceholderText">
    <w:name w:val="Placeholder Text"/>
    <w:basedOn w:val="DefaultParagraphFont"/>
    <w:uiPriority w:val="99"/>
    <w:semiHidden/>
    <w:rsid w:val="00934FEB"/>
    <w:rPr>
      <w:color w:val="666666"/>
    </w:rPr>
  </w:style>
  <w:style w:type="table" w:styleId="PlainTable5">
    <w:name w:val="Plain Table 5"/>
    <w:basedOn w:val="TableNormal"/>
    <w:uiPriority w:val="45"/>
    <w:rsid w:val="00FE315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FE31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E31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E31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6Colorful">
    <w:name w:val="Grid Table 6 Colorful"/>
    <w:basedOn w:val="TableNormal"/>
    <w:uiPriority w:val="51"/>
    <w:rsid w:val="00FE31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FE315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E3150"/>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E3150"/>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E3150"/>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E3150"/>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E315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E3150"/>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2">
    <w:name w:val="Grid Table 2 Accent 2"/>
    <w:basedOn w:val="TableNormal"/>
    <w:uiPriority w:val="47"/>
    <w:rsid w:val="00FE3150"/>
    <w:pPr>
      <w:spacing w:after="0" w:line="240" w:lineRule="auto"/>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FE3150"/>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4">
    <w:name w:val="Grid Table 2 Accent 4"/>
    <w:basedOn w:val="TableNormal"/>
    <w:uiPriority w:val="47"/>
    <w:rsid w:val="00FE3150"/>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5">
    <w:name w:val="Grid Table 2 Accent 5"/>
    <w:basedOn w:val="TableNormal"/>
    <w:uiPriority w:val="47"/>
    <w:rsid w:val="00FE3150"/>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
    <w:name w:val="Grid Table 4"/>
    <w:basedOn w:val="TableNormal"/>
    <w:uiPriority w:val="49"/>
    <w:rsid w:val="00FE315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FE3150"/>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4-Accent1">
    <w:name w:val="Grid Table 4 Accent 1"/>
    <w:basedOn w:val="TableNormal"/>
    <w:uiPriority w:val="49"/>
    <w:rsid w:val="00FE3150"/>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2">
    <w:name w:val="Grid Table 1 Light Accent 2"/>
    <w:basedOn w:val="TableNormal"/>
    <w:uiPriority w:val="46"/>
    <w:rsid w:val="00FE3150"/>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3">
    <w:name w:val="Grid Table 3"/>
    <w:basedOn w:val="TableNormal"/>
    <w:uiPriority w:val="48"/>
    <w:rsid w:val="00ED588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4">
    <w:name w:val="Grid Table 4 Accent 4"/>
    <w:basedOn w:val="TableNormal"/>
    <w:uiPriority w:val="49"/>
    <w:rsid w:val="00ED5882"/>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5Dark">
    <w:name w:val="Grid Table 5 Dark"/>
    <w:basedOn w:val="TableNormal"/>
    <w:uiPriority w:val="50"/>
    <w:rsid w:val="00565F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NoSpacing">
    <w:name w:val="No Spacing"/>
    <w:link w:val="NoSpacingChar"/>
    <w:uiPriority w:val="1"/>
    <w:qFormat/>
    <w:rsid w:val="00F22037"/>
    <w:pPr>
      <w:spacing w:after="0" w:line="240" w:lineRule="auto"/>
    </w:pPr>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F22037"/>
    <w:rPr>
      <w:rFonts w:eastAsiaTheme="minorEastAsia"/>
      <w:kern w:val="0"/>
      <w:sz w:val="22"/>
      <w:szCs w:val="22"/>
      <w:lang w:eastAsia="zh-CN"/>
      <w14:ligatures w14:val="none"/>
    </w:rPr>
  </w:style>
  <w:style w:type="paragraph" w:styleId="TOC1">
    <w:name w:val="toc 1"/>
    <w:basedOn w:val="Normal"/>
    <w:next w:val="Normal"/>
    <w:autoRedefine/>
    <w:uiPriority w:val="39"/>
    <w:unhideWhenUsed/>
    <w:rsid w:val="00A61070"/>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A61070"/>
    <w:pPr>
      <w:spacing w:before="120" w:after="0"/>
      <w:ind w:left="240"/>
    </w:pPr>
    <w:rPr>
      <w:rFonts w:asciiTheme="minorHAnsi" w:hAnsiTheme="minorHAnsi"/>
      <w:i/>
      <w:iCs/>
      <w:sz w:val="20"/>
      <w:szCs w:val="20"/>
    </w:rPr>
  </w:style>
  <w:style w:type="paragraph" w:styleId="TOC3">
    <w:name w:val="toc 3"/>
    <w:basedOn w:val="Normal"/>
    <w:next w:val="Normal"/>
    <w:autoRedefine/>
    <w:uiPriority w:val="39"/>
    <w:unhideWhenUsed/>
    <w:rsid w:val="00A61070"/>
    <w:pPr>
      <w:spacing w:after="0"/>
      <w:ind w:left="480"/>
    </w:pPr>
    <w:rPr>
      <w:rFonts w:asciiTheme="minorHAnsi" w:hAnsiTheme="minorHAnsi"/>
      <w:sz w:val="20"/>
      <w:szCs w:val="20"/>
    </w:rPr>
  </w:style>
  <w:style w:type="paragraph" w:styleId="TOC4">
    <w:name w:val="toc 4"/>
    <w:basedOn w:val="Normal"/>
    <w:next w:val="Normal"/>
    <w:autoRedefine/>
    <w:uiPriority w:val="39"/>
    <w:unhideWhenUsed/>
    <w:rsid w:val="00A61070"/>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A61070"/>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A61070"/>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A61070"/>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A61070"/>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A61070"/>
    <w:pPr>
      <w:spacing w:after="0"/>
      <w:ind w:left="1920"/>
    </w:pPr>
    <w:rPr>
      <w:rFonts w:asciiTheme="minorHAnsi" w:hAnsiTheme="minorHAnsi"/>
      <w:sz w:val="20"/>
      <w:szCs w:val="20"/>
    </w:rPr>
  </w:style>
  <w:style w:type="paragraph" w:styleId="TOCHeading">
    <w:name w:val="TOC Heading"/>
    <w:basedOn w:val="Heading1"/>
    <w:next w:val="Normal"/>
    <w:uiPriority w:val="39"/>
    <w:unhideWhenUsed/>
    <w:qFormat/>
    <w:rsid w:val="00972ACD"/>
    <w:pPr>
      <w:numPr>
        <w:numId w:val="0"/>
      </w:numPr>
      <w:spacing w:before="480" w:after="0" w:line="276" w:lineRule="auto"/>
      <w:outlineLvl w:val="9"/>
    </w:pPr>
    <w:rPr>
      <w:rFonts w:asciiTheme="majorHAnsi" w:hAnsiTheme="majorHAnsi"/>
      <w:bCs/>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3390/md16110400" TargetMode="External"/><Relationship Id="rId21" Type="http://schemas.openxmlformats.org/officeDocument/2006/relationships/footer" Target="footer3.xml"/><Relationship Id="rId42" Type="http://schemas.openxmlformats.org/officeDocument/2006/relationships/hyperlink" Target="https://nsglc.olemiss.edu/projects/regulatingseaweed/files/seaweedfoodsafety.pdf" TargetMode="External"/><Relationship Id="rId63" Type="http://schemas.openxmlformats.org/officeDocument/2006/relationships/hyperlink" Target="https://www.health.ny.gov/environmental/outdoors/fish/health_advisories/" TargetMode="External"/><Relationship Id="rId84" Type="http://schemas.openxmlformats.org/officeDocument/2006/relationships/hyperlink" Target="https://www.fda.gov/food/environmental-contaminants-food/closer-zero-reducing-childhood-exposure-contaminants-foods" TargetMode="External"/><Relationship Id="rId138" Type="http://schemas.openxmlformats.org/officeDocument/2006/relationships/hyperlink" Target="https://doi.org/10.1007/s10811-017-1343-8" TargetMode="External"/><Relationship Id="rId159" Type="http://schemas.openxmlformats.org/officeDocument/2006/relationships/hyperlink" Target="https://doi.org/10.1134/S1063074021060080" TargetMode="External"/><Relationship Id="rId170" Type="http://schemas.openxmlformats.org/officeDocument/2006/relationships/hyperlink" Target="https://www.fda.gov/media/80235/download" TargetMode="External"/><Relationship Id="rId191" Type="http://schemas.openxmlformats.org/officeDocument/2006/relationships/hyperlink" Target="https://doi.org/10.1016/j.aquaculture.2021.737386" TargetMode="External"/><Relationship Id="rId205" Type="http://schemas.openxmlformats.org/officeDocument/2006/relationships/hyperlink" Target="https://doi.org/10.1007/978-1-4613-0361-9_43" TargetMode="External"/><Relationship Id="rId226" Type="http://schemas.openxmlformats.org/officeDocument/2006/relationships/hyperlink" Target="https://www.cdc.gov/ifsac/php/data-research/annual-report-2022.html" TargetMode="External"/><Relationship Id="rId107" Type="http://schemas.openxmlformats.org/officeDocument/2006/relationships/hyperlink" Target="https://www.accessdata.fda.gov/scripts/cdrh/cfdocs/cfcfr/CFRSearch.cfm?CFRPart=172&amp;showFR=1" TargetMode="External"/><Relationship Id="rId11" Type="http://schemas.openxmlformats.org/officeDocument/2006/relationships/image" Target="media/image2.png"/><Relationship Id="rId32" Type="http://schemas.openxmlformats.org/officeDocument/2006/relationships/hyperlink" Target="https://www.marketresearchfuture.com/reports/edible-seaweeds-market-27267" TargetMode="External"/><Relationship Id="rId53" Type="http://schemas.openxmlformats.org/officeDocument/2006/relationships/hyperlink" Target="https://www.ecfr.gov/current/title-21/section-117.4" TargetMode="External"/><Relationship Id="rId74" Type="http://schemas.openxmlformats.org/officeDocument/2006/relationships/hyperlink" Target="https://doi.org/10.1016/j.jmarsys.2008.10.010" TargetMode="External"/><Relationship Id="rId128" Type="http://schemas.openxmlformats.org/officeDocument/2006/relationships/hyperlink" Target="https://doi.org/10.3390/nu4111740" TargetMode="External"/><Relationship Id="rId149" Type="http://schemas.openxmlformats.org/officeDocument/2006/relationships/hyperlink" Target="https://doi.org/10.1038/211990a0" TargetMode="External"/><Relationship Id="rId5" Type="http://schemas.openxmlformats.org/officeDocument/2006/relationships/webSettings" Target="webSettings.xml"/><Relationship Id="rId95" Type="http://schemas.openxmlformats.org/officeDocument/2006/relationships/hyperlink" Target="https://doi.org/10.1039/bk9781849736480-00442" TargetMode="External"/><Relationship Id="rId160" Type="http://schemas.openxmlformats.org/officeDocument/2006/relationships/hyperlink" Target="https://doi.org/10.1080/10408398.2020.1738334" TargetMode="External"/><Relationship Id="rId181" Type="http://schemas.openxmlformats.org/officeDocument/2006/relationships/hyperlink" Target="https://doi.org/10.1007/s10811-023-02937-w" TargetMode="External"/><Relationship Id="rId216" Type="http://schemas.openxmlformats.org/officeDocument/2006/relationships/hyperlink" Target="https://doi.org/10.1016/j.foodchem.2014.09.030" TargetMode="External"/><Relationship Id="rId22" Type="http://schemas.openxmlformats.org/officeDocument/2006/relationships/footer" Target="footer4.xml"/><Relationship Id="rId43" Type="http://schemas.openxmlformats.org/officeDocument/2006/relationships/hyperlink" Target="https://www.govinfo.gov/content/pkg/FR-1995-12-18/pdf/95-30332.pdf" TargetMode="External"/><Relationship Id="rId64" Type="http://schemas.openxmlformats.org/officeDocument/2006/relationships/hyperlink" Target="https://echo.epa.gov/trends/loading-tool/water-pollution-search" TargetMode="External"/><Relationship Id="rId118" Type="http://schemas.openxmlformats.org/officeDocument/2006/relationships/hyperlink" Target="https://doi.org/10.1021/es8016073" TargetMode="External"/><Relationship Id="rId139" Type="http://schemas.openxmlformats.org/officeDocument/2006/relationships/hyperlink" Target="https://doi.org/10.1108/BFJ-02-2021-0191" TargetMode="External"/><Relationship Id="rId85" Type="http://schemas.openxmlformats.org/officeDocument/2006/relationships/hyperlink" Target="https://doi.org/10.1002/aoc.195" TargetMode="External"/><Relationship Id="rId150" Type="http://schemas.openxmlformats.org/officeDocument/2006/relationships/hyperlink" Target="http://hdl.handle.net/10125/4061" TargetMode="External"/><Relationship Id="rId171" Type="http://schemas.openxmlformats.org/officeDocument/2006/relationships/hyperlink" Target="https://doi.org/10.1021/tx0498556" TargetMode="External"/><Relationship Id="rId192" Type="http://schemas.openxmlformats.org/officeDocument/2006/relationships/hyperlink" Target="https://doi.org/10.1080/02652030701305454" TargetMode="External"/><Relationship Id="rId206" Type="http://schemas.openxmlformats.org/officeDocument/2006/relationships/hyperlink" Target="https://doi.org/10.1016/0031-9422(96)00190-2" TargetMode="External"/><Relationship Id="rId227" Type="http://schemas.openxmlformats.org/officeDocument/2006/relationships/hyperlink" Target="https://www.federalregister.gov/documents/2007/03/30/07-1557/almonds-grown-in-california-outgoing-quality-control-requirements" TargetMode="External"/><Relationship Id="rId12" Type="http://schemas.openxmlformats.org/officeDocument/2006/relationships/image" Target="media/image3.png"/><Relationship Id="rId33" Type="http://schemas.openxmlformats.org/officeDocument/2006/relationships/hyperlink" Target="https://doi.org/10.1016/j.etap.2022.103442" TargetMode="External"/><Relationship Id="rId108" Type="http://schemas.openxmlformats.org/officeDocument/2006/relationships/hyperlink" Target="https://www.fda.gov/Food/FoodborneIllnessContaminants/ChemicalContaminants/ucm078331.htm" TargetMode="External"/><Relationship Id="rId129" Type="http://schemas.openxmlformats.org/officeDocument/2006/relationships/hyperlink" Target="https://doi.org/10.3390/foods9050569" TargetMode="External"/><Relationship Id="rId54" Type="http://schemas.openxmlformats.org/officeDocument/2006/relationships/hyperlink" Target="https://www.fda.gov/food/food-allergensgluten-free-guidance-documents-regulatory-information/food-allergen-labeling-and-consumer-protection-act-2004-falcpa" TargetMode="External"/><Relationship Id="rId75" Type="http://schemas.openxmlformats.org/officeDocument/2006/relationships/hyperlink" Target="https://link.springer.com/article/10.1007/s10811-019-01827-4" TargetMode="External"/><Relationship Id="rId96" Type="http://schemas.openxmlformats.org/officeDocument/2006/relationships/hyperlink" Target="https://doi.org/10.3390/app11156934" TargetMode="External"/><Relationship Id="rId140" Type="http://schemas.openxmlformats.org/officeDocument/2006/relationships/hyperlink" Target="https://doi.org/10.1089/thy.2004.14.836" TargetMode="External"/><Relationship Id="rId161" Type="http://schemas.openxmlformats.org/officeDocument/2006/relationships/hyperlink" Target="https://doi.org/10.1016/j.hal.2018.06.005" TargetMode="External"/><Relationship Id="rId182" Type="http://schemas.openxmlformats.org/officeDocument/2006/relationships/hyperlink" Target="https://www.fda.gov/inspections-compliance-enforcement-and-criminal-investigations/inspection-guides/validation-cleaning-processes-793" TargetMode="External"/><Relationship Id="rId217" Type="http://schemas.openxmlformats.org/officeDocument/2006/relationships/hyperlink" Target="https://doi.org/10.1016/j.foodchem.2018.02.024" TargetMode="External"/><Relationship Id="rId6" Type="http://schemas.openxmlformats.org/officeDocument/2006/relationships/footnotes" Target="footnotes.xml"/><Relationship Id="rId23" Type="http://schemas.openxmlformats.org/officeDocument/2006/relationships/hyperlink" Target="https://www.afdo.org/directories/fpa/results/?loc=" TargetMode="External"/><Relationship Id="rId119" Type="http://schemas.openxmlformats.org/officeDocument/2006/relationships/hyperlink" Target="https://doi.org/10.1021/acs.jafc.7b02151" TargetMode="External"/><Relationship Id="rId44" Type="http://schemas.openxmlformats.org/officeDocument/2006/relationships/hyperlink" Target="https://seaweedhub.org/symposium/" TargetMode="External"/><Relationship Id="rId65" Type="http://schemas.openxmlformats.org/officeDocument/2006/relationships/hyperlink" Target="https://www.ipmcenters.org/" TargetMode="External"/><Relationship Id="rId86" Type="http://schemas.openxmlformats.org/officeDocument/2006/relationships/hyperlink" Target="https://doi.org/10.1523/JNEUROSCI.20-13-05124.2000" TargetMode="External"/><Relationship Id="rId130" Type="http://schemas.openxmlformats.org/officeDocument/2006/relationships/hyperlink" Target="https://ods.od.nih.gov/factsheets/Iodine-HealthProfessional/" TargetMode="External"/><Relationship Id="rId151" Type="http://schemas.openxmlformats.org/officeDocument/2006/relationships/hyperlink" Target="https://doi.org/10.2331/suisan.50.465" TargetMode="External"/><Relationship Id="rId172" Type="http://schemas.openxmlformats.org/officeDocument/2006/relationships/hyperlink" Target="https://www.fda.gov/regulatory-information/search-fda-guidance-documents/draft-guidance-industry-hazard-analysis-and-risk-based-preventive-controls-human-food" TargetMode="External"/><Relationship Id="rId193" Type="http://schemas.openxmlformats.org/officeDocument/2006/relationships/hyperlink" Target="http://openknowledge.fao.org/items/6b05d3cb-5288-4a95-a0c4-97c85a430757" TargetMode="External"/><Relationship Id="rId207" Type="http://schemas.openxmlformats.org/officeDocument/2006/relationships/hyperlink" Target="https://doi.org/10.1086/496926" TargetMode="External"/><Relationship Id="rId228" Type="http://schemas.openxmlformats.org/officeDocument/2006/relationships/hyperlink" Target="https://apps.who.int/food-additives-contaminants-jecfa-database/Home/Chemical/2753" TargetMode="External"/><Relationship Id="rId13" Type="http://schemas.openxmlformats.org/officeDocument/2006/relationships/image" Target="media/image4.png"/><Relationship Id="rId109" Type="http://schemas.openxmlformats.org/officeDocument/2006/relationships/hyperlink" Target="https://www.who.int/news-room/photo-story/photo-story-detail/10-chemicals-of-public-health-concern" TargetMode="External"/><Relationship Id="rId34" Type="http://schemas.openxmlformats.org/officeDocument/2006/relationships/hyperlink" Target="https://doi.org/10.1016/j.jff.2010.01.003" TargetMode="External"/><Relationship Id="rId55" Type="http://schemas.openxmlformats.org/officeDocument/2006/relationships/hyperlink" Target="https://www.fda.gov/food/food-labeling-nutrition" TargetMode="External"/><Relationship Id="rId76" Type="http://schemas.openxmlformats.org/officeDocument/2006/relationships/hyperlink" Target="https://pubs.acs.org/doi/full/10.1021/acs.jafc.6b05721" TargetMode="External"/><Relationship Id="rId97" Type="http://schemas.openxmlformats.org/officeDocument/2006/relationships/hyperlink" Target="https://doi.org/10.1080/02757540500151614" TargetMode="External"/><Relationship Id="rId120" Type="http://schemas.openxmlformats.org/officeDocument/2006/relationships/hyperlink" Target="https://doi.org/10.2903/j.efsa.2023.7798" TargetMode="External"/><Relationship Id="rId141" Type="http://schemas.openxmlformats.org/officeDocument/2006/relationships/hyperlink" Target="https://doi.org/10.1016/j.foodchem.2022.134576" TargetMode="External"/><Relationship Id="rId7" Type="http://schemas.openxmlformats.org/officeDocument/2006/relationships/endnotes" Target="endnotes.xml"/><Relationship Id="rId162" Type="http://schemas.openxmlformats.org/officeDocument/2006/relationships/hyperlink" Target="https://doi.org/10.1007/978-1-4613-0361-9_43" TargetMode="External"/><Relationship Id="rId183" Type="http://schemas.openxmlformats.org/officeDocument/2006/relationships/hyperlink" Target="https://www.fda.gov/media/129671/download" TargetMode="External"/><Relationship Id="rId218" Type="http://schemas.openxmlformats.org/officeDocument/2006/relationships/hyperlink" Target="https://doi.org/10.1016/j.aca.2012.07.035" TargetMode="External"/><Relationship Id="rId24" Type="http://schemas.openxmlformats.org/officeDocument/2006/relationships/image" Target="media/image12.png"/><Relationship Id="rId45" Type="http://schemas.openxmlformats.org/officeDocument/2006/relationships/hyperlink" Target="https://www.ams.usda.gov/sites/default/files/media/5027.pdf" TargetMode="External"/><Relationship Id="rId66" Type="http://schemas.openxmlformats.org/officeDocument/2006/relationships/hyperlink" Target="https://www.nasda.org/about-nasda/state-agriculture-departments/" TargetMode="External"/><Relationship Id="rId87" Type="http://schemas.openxmlformats.org/officeDocument/2006/relationships/hyperlink" Target="https://doi.org/10.1006/ecss.2000.0698" TargetMode="External"/><Relationship Id="rId110" Type="http://schemas.openxmlformats.org/officeDocument/2006/relationships/hyperlink" Target="https://openknowledge.fao.org/handle/20.500.14283/cc0846en" TargetMode="External"/><Relationship Id="rId131" Type="http://schemas.openxmlformats.org/officeDocument/2006/relationships/hyperlink" Target="https://doi.org/10.1007/s10811-016-0868-6" TargetMode="External"/><Relationship Id="rId152" Type="http://schemas.openxmlformats.org/officeDocument/2006/relationships/hyperlink" Target="https://doi.org/10.1016/S0031-9422(00)00078-9" TargetMode="External"/><Relationship Id="rId173" Type="http://schemas.openxmlformats.org/officeDocument/2006/relationships/hyperlink" Target="https://www.fda.gov/media/80637/download" TargetMode="External"/><Relationship Id="rId194" Type="http://schemas.openxmlformats.org/officeDocument/2006/relationships/hyperlink" Target="https://doi.org/10.4060/cc0846en" TargetMode="External"/><Relationship Id="rId208" Type="http://schemas.openxmlformats.org/officeDocument/2006/relationships/hyperlink" Target="https://doi.org/10.29219/FNR.V65.7584" TargetMode="External"/><Relationship Id="rId229" Type="http://schemas.openxmlformats.org/officeDocument/2006/relationships/hyperlink" Target="https://www.atsdr.cdc.gov/toxprofiles/tp200.pdf" TargetMode="External"/><Relationship Id="rId14" Type="http://schemas.openxmlformats.org/officeDocument/2006/relationships/image" Target="media/image5.png"/><Relationship Id="rId35" Type="http://schemas.openxmlformats.org/officeDocument/2006/relationships/hyperlink" Target="https://doi.org/10.1007/978-3-030-92174-3_16" TargetMode="External"/><Relationship Id="rId56" Type="http://schemas.openxmlformats.org/officeDocument/2006/relationships/hyperlink" Target="https://www.ecfr.gov/current/title-21/part-101" TargetMode="External"/><Relationship Id="rId77" Type="http://schemas.openxmlformats.org/officeDocument/2006/relationships/hyperlink" Target="https://doi.org/10.1016/j.scitotenv.2020.142172" TargetMode="External"/><Relationship Id="rId100" Type="http://schemas.openxmlformats.org/officeDocument/2006/relationships/hyperlink" Target="https://doi.org/10.1016/j.chemosphere.2020.126535" TargetMode="External"/><Relationship Id="rId8" Type="http://schemas.openxmlformats.org/officeDocument/2006/relationships/image" Target="media/image1.png"/><Relationship Id="rId98" Type="http://schemas.openxmlformats.org/officeDocument/2006/relationships/hyperlink" Target="https://oceanservice.noaa.gov/facts/population.html" TargetMode="External"/><Relationship Id="rId121" Type="http://schemas.openxmlformats.org/officeDocument/2006/relationships/hyperlink" Target="https://doi.org/10.1111/nyas.14041" TargetMode="External"/><Relationship Id="rId142" Type="http://schemas.openxmlformats.org/officeDocument/2006/relationships/hyperlink" Target="https://iris.who.int/bitstream/handle/10665/43781/9789241595827_eng.pdf?sequence=1" TargetMode="External"/><Relationship Id="rId163" Type="http://schemas.openxmlformats.org/officeDocument/2006/relationships/hyperlink" Target="https://doi.org/10.1016/0006-8993(74)90640-4" TargetMode="External"/><Relationship Id="rId184" Type="http://schemas.openxmlformats.org/officeDocument/2006/relationships/hyperlink" Target="https://doi.org/10.1016/j.anai.2023.08.518" TargetMode="External"/><Relationship Id="rId219" Type="http://schemas.openxmlformats.org/officeDocument/2006/relationships/hyperlink" Target="https://doi.org/10.1016/j.algal.2018.03.012" TargetMode="External"/><Relationship Id="rId230" Type="http://schemas.openxmlformats.org/officeDocument/2006/relationships/fontTable" Target="fontTable.xml"/><Relationship Id="rId25" Type="http://schemas.openxmlformats.org/officeDocument/2006/relationships/image" Target="media/image13.png"/><Relationship Id="rId46" Type="http://schemas.openxmlformats.org/officeDocument/2006/relationships/hyperlink" Target="https://www.ecfr.gov/current/title-21/part-117/subpart-B" TargetMode="External"/><Relationship Id="rId67" Type="http://schemas.openxmlformats.org/officeDocument/2006/relationships/hyperlink" Target="https://www.nifa.usda.gov/grants/land-grant-university-website-directory" TargetMode="External"/><Relationship Id="rId116" Type="http://schemas.openxmlformats.org/officeDocument/2006/relationships/hyperlink" Target="https://www.cdc.gov/breastfeeding-special-circumstances/hcp/diet-micronutrients/iodine.html" TargetMode="External"/><Relationship Id="rId137" Type="http://schemas.openxmlformats.org/officeDocument/2006/relationships/hyperlink" Target="https://doi.org/10.2903/j.efsa.2019.e170915" TargetMode="External"/><Relationship Id="rId158" Type="http://schemas.openxmlformats.org/officeDocument/2006/relationships/hyperlink" Target="https://doi.org/10.1080/19393210.2018.1462258" TargetMode="External"/><Relationship Id="rId20" Type="http://schemas.openxmlformats.org/officeDocument/2006/relationships/image" Target="media/image11.jpeg"/><Relationship Id="rId41" Type="http://schemas.openxmlformats.org/officeDocument/2006/relationships/hyperlink" Target="file:///G:\My%20Drive\My%20Documents\Programs%20&amp;%20Projects\Seaweed%20Food%20Safety\Seaweed%20Hazards%20and%20Controls%20Guide%20(Shared)\Guide%20Chapters\Final%20Chapters%20for%20Copy%20Editing%20and%20Formatting\(1)" TargetMode="External"/><Relationship Id="rId62" Type="http://schemas.openxmlformats.org/officeDocument/2006/relationships/image" Target="media/image14.png"/><Relationship Id="rId83" Type="http://schemas.openxmlformats.org/officeDocument/2006/relationships/hyperlink" Target="https://www.foodstandards.gov.au/consumer" TargetMode="External"/><Relationship Id="rId88" Type="http://schemas.openxmlformats.org/officeDocument/2006/relationships/hyperlink" Target="https://doi.org/10.1016/j.jafr.2025.101830" TargetMode="External"/><Relationship Id="rId111" Type="http://schemas.openxmlformats.org/officeDocument/2006/relationships/hyperlink" Target="https://www.who.int/docs/default-source/food-safety/food-genetically-modified/9789240695405-eng.pdf" TargetMode="External"/><Relationship Id="rId132" Type="http://schemas.openxmlformats.org/officeDocument/2006/relationships/hyperlink" Target="https://doi.org/10.1111/jpy.12606" TargetMode="External"/><Relationship Id="rId153" Type="http://schemas.openxmlformats.org/officeDocument/2006/relationships/hyperlink" Target="https://doi.org/10.1016/0140-6736(91)90194-T" TargetMode="External"/><Relationship Id="rId174" Type="http://schemas.openxmlformats.org/officeDocument/2006/relationships/hyperlink" Target="https://www.fda.gov/media/80305/download" TargetMode="External"/><Relationship Id="rId179" Type="http://schemas.openxmlformats.org/officeDocument/2006/relationships/hyperlink" Target="https://www.fda.gov/media/80637/download" TargetMode="External"/><Relationship Id="rId195" Type="http://schemas.openxmlformats.org/officeDocument/2006/relationships/hyperlink" Target="https://www.fda.gov/media/80342/download" TargetMode="External"/><Relationship Id="rId209" Type="http://schemas.openxmlformats.org/officeDocument/2006/relationships/hyperlink" Target="https://doi.org/10.1021/jf0721500" TargetMode="External"/><Relationship Id="rId190" Type="http://schemas.openxmlformats.org/officeDocument/2006/relationships/hyperlink" Target="https://doi.org/10.1098/rspb.2020.0330" TargetMode="External"/><Relationship Id="rId204" Type="http://schemas.openxmlformats.org/officeDocument/2006/relationships/hyperlink" Target="https://doi.org/10.1080/10408398.2020.1738334" TargetMode="External"/><Relationship Id="rId220" Type="http://schemas.openxmlformats.org/officeDocument/2006/relationships/hyperlink" Target="https://doi.org/10.1007/s10811-017-1343-8" TargetMode="External"/><Relationship Id="rId225" Type="http://schemas.openxmlformats.org/officeDocument/2006/relationships/hyperlink" Target="https://www.almonds.com/tools-and-resources/food-safety-and-quality/pasteurization/validation-guidelines" TargetMode="External"/><Relationship Id="rId15" Type="http://schemas.openxmlformats.org/officeDocument/2006/relationships/image" Target="media/image6.png"/><Relationship Id="rId36" Type="http://schemas.openxmlformats.org/officeDocument/2006/relationships/hyperlink" Target="https://doi.org/10.1016/j.ijbiomac.2013.08.036" TargetMode="External"/><Relationship Id="rId57" Type="http://schemas.openxmlformats.org/officeDocument/2006/relationships/hyperlink" Target="https://www.ams.usda.gov/rules-regulations/cool" TargetMode="External"/><Relationship Id="rId106" Type="http://schemas.openxmlformats.org/officeDocument/2006/relationships/hyperlink" Target="https://www.fda.gov/food/chemical-contaminants-pesticides/environmental-contaminants-food" TargetMode="External"/><Relationship Id="rId127" Type="http://schemas.openxmlformats.org/officeDocument/2006/relationships/hyperlink" Target="https://doi.org/10.1111/j.1753-4887.1999.tb06940.x" TargetMode="External"/><Relationship Id="rId10" Type="http://schemas.openxmlformats.org/officeDocument/2006/relationships/footer" Target="footer2.xml"/><Relationship Id="rId31" Type="http://schemas.openxmlformats.org/officeDocument/2006/relationships/hyperlink" Target="https://www.globalseafood.org/advocate/maine-seaweed-farming-network-harvests-a-record-1-3-million-pounds-in-2024/" TargetMode="External"/><Relationship Id="rId52" Type="http://schemas.openxmlformats.org/officeDocument/2006/relationships/hyperlink" Target="https://www.fda.gov/food/food-safety-modernization-act-fsma/fsma-final-rule-sanitary-transportation-human-and-animal-food" TargetMode="External"/><Relationship Id="rId73" Type="http://schemas.openxmlformats.org/officeDocument/2006/relationships/hyperlink" Target="https://doi.org/10.1111/1541-4337.12523" TargetMode="External"/><Relationship Id="rId78" Type="http://schemas.openxmlformats.org/officeDocument/2006/relationships/hyperlink" Target="https://doi.org/10.1136/bmj.k3310" TargetMode="External"/><Relationship Id="rId94" Type="http://schemas.openxmlformats.org/officeDocument/2006/relationships/hyperlink" Target="https://doi.org/10.1289/ehp.1206399" TargetMode="External"/><Relationship Id="rId99" Type="http://schemas.openxmlformats.org/officeDocument/2006/relationships/hyperlink" Target="https://doi.org/10.1007/s10068-018-0501-3" TargetMode="External"/><Relationship Id="rId101" Type="http://schemas.openxmlformats.org/officeDocument/2006/relationships/hyperlink" Target="https://doi.org/10.1016/S0265-931X(98)00140-4" TargetMode="External"/><Relationship Id="rId122" Type="http://schemas.openxmlformats.org/officeDocument/2006/relationships/hyperlink" Target="https://doi.org/10.1016/j.jenvrad.2022.107045" TargetMode="External"/><Relationship Id="rId143" Type="http://schemas.openxmlformats.org/officeDocument/2006/relationships/hyperlink" Target="https://doi.org/10.1139/b58-026" TargetMode="External"/><Relationship Id="rId148" Type="http://schemas.openxmlformats.org/officeDocument/2006/relationships/hyperlink" Target="https://doi.org/10.1016/B978-0-12-802772-1.00013-0" TargetMode="External"/><Relationship Id="rId164" Type="http://schemas.openxmlformats.org/officeDocument/2006/relationships/hyperlink" Target="https://doi.org/10.1016/0031-9422(96)00190-2" TargetMode="External"/><Relationship Id="rId169" Type="http://schemas.openxmlformats.org/officeDocument/2006/relationships/hyperlink" Target="https://www.fda.gov/%0Ahttp:/www.fda.gov/downloads/Food/GuidanceRegulation/UCM252448.pdf" TargetMode="External"/><Relationship Id="rId185" Type="http://schemas.openxmlformats.org/officeDocument/2006/relationships/hyperlink" Target="https://doi.org/10.1002/fsat.3510_2.x"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fda.gov/regulatory-information/search-fda-guidance-documents/draft-guidance-industry-hazard-analysis-and-risk-based-preventive-controls-human-food" TargetMode="External"/><Relationship Id="rId210" Type="http://schemas.openxmlformats.org/officeDocument/2006/relationships/hyperlink" Target="https://doi.org/10.1016/S0048-9697(98)00299-X" TargetMode="External"/><Relationship Id="rId215" Type="http://schemas.openxmlformats.org/officeDocument/2006/relationships/hyperlink" Target="https://doi.org/10.1007/s10811-016-0868-6" TargetMode="External"/><Relationship Id="rId26" Type="http://schemas.openxmlformats.org/officeDocument/2006/relationships/footer" Target="footer5.xml"/><Relationship Id="rId231" Type="http://schemas.openxmlformats.org/officeDocument/2006/relationships/theme" Target="theme/theme1.xml"/><Relationship Id="rId47" Type="http://schemas.openxmlformats.org/officeDocument/2006/relationships/hyperlink" Target="https://www.ecfr.gov/" TargetMode="External"/><Relationship Id="rId68" Type="http://schemas.openxmlformats.org/officeDocument/2006/relationships/hyperlink" Target="https://seagrant.noaa.gov/our-story/about-sea-grant/" TargetMode="External"/><Relationship Id="rId89" Type="http://schemas.openxmlformats.org/officeDocument/2006/relationships/hyperlink" Target="https://doi.org/10.1016/j.jenvrad.2023.107261" TargetMode="External"/><Relationship Id="rId112" Type="http://schemas.openxmlformats.org/officeDocument/2006/relationships/hyperlink" Target="https://doi.org/10.1007/s10967-018-6306-2" TargetMode="External"/><Relationship Id="rId133" Type="http://schemas.openxmlformats.org/officeDocument/2006/relationships/hyperlink" Target="https://lovdata.no/dokument/NL/lov/2003-12-19-124" TargetMode="External"/><Relationship Id="rId154" Type="http://schemas.openxmlformats.org/officeDocument/2006/relationships/hyperlink" Target="https://doi.org/10.1016/j.hal.2015.11.009" TargetMode="External"/><Relationship Id="rId175" Type="http://schemas.openxmlformats.org/officeDocument/2006/relationships/hyperlink" Target="https://www.fda.gov/inspections-compliance-enforcement-and-criminal-investigations/inspection-guides/validation-cleaning-processes-793" TargetMode="External"/><Relationship Id="rId196" Type="http://schemas.openxmlformats.org/officeDocument/2006/relationships/hyperlink" Target="https://www.fda.gov/media/80348/download" TargetMode="External"/><Relationship Id="rId200" Type="http://schemas.openxmlformats.org/officeDocument/2006/relationships/hyperlink" Target="https://doi.org/10.1016/S0031-9422(00)00078-9" TargetMode="External"/><Relationship Id="rId16" Type="http://schemas.openxmlformats.org/officeDocument/2006/relationships/image" Target="media/image7.png"/><Relationship Id="rId221" Type="http://schemas.openxmlformats.org/officeDocument/2006/relationships/hyperlink" Target="https://doi.org/10.1108/BFJ-02-2021-0191" TargetMode="External"/><Relationship Id="rId37" Type="http://schemas.openxmlformats.org/officeDocument/2006/relationships/hyperlink" Target="https://doi.org/10.1016/j.etap.2011.04.009" TargetMode="External"/><Relationship Id="rId58" Type="http://schemas.openxmlformats.org/officeDocument/2006/relationships/hyperlink" Target="https://www.ecfr.gov/current/title-7/subtitle-B/chapter-I/subchapter-C/part-60" TargetMode="External"/><Relationship Id="rId79" Type="http://schemas.openxmlformats.org/officeDocument/2006/relationships/hyperlink" Target="https://doi.org/10.1080/15287394.2015.1113598" TargetMode="External"/><Relationship Id="rId102" Type="http://schemas.openxmlformats.org/officeDocument/2006/relationships/hyperlink" Target="https://doi.org/10.1016/j.microc.2012.08.001" TargetMode="External"/><Relationship Id="rId123" Type="http://schemas.openxmlformats.org/officeDocument/2006/relationships/hyperlink" Target="https://doi.org/10.7326/0003-4819-1-1-24" TargetMode="External"/><Relationship Id="rId144" Type="http://schemas.openxmlformats.org/officeDocument/2006/relationships/hyperlink" Target="https://doi.org/10.1186/1756-6614-4-14" TargetMode="External"/><Relationship Id="rId90" Type="http://schemas.openxmlformats.org/officeDocument/2006/relationships/hyperlink" Target="https://doi.org/10.1002/aoc.1102" TargetMode="External"/><Relationship Id="rId165" Type="http://schemas.openxmlformats.org/officeDocument/2006/relationships/hyperlink" Target="https://doi.org/10.1086/496926" TargetMode="External"/><Relationship Id="rId186" Type="http://schemas.openxmlformats.org/officeDocument/2006/relationships/hyperlink" Target="https://doi.org/10.1016/j.foodcont.2024.110461" TargetMode="External"/><Relationship Id="rId211" Type="http://schemas.openxmlformats.org/officeDocument/2006/relationships/hyperlink" Target="https://doi.org/10.1515/bot-2015-0036" TargetMode="External"/><Relationship Id="rId27" Type="http://schemas.openxmlformats.org/officeDocument/2006/relationships/hyperlink" Target="https://www.adfg.alaska.gov/index.cfm?adfg=fishingaquaticfarming.aquaticfarminfo_aquaticplants" TargetMode="External"/><Relationship Id="rId48" Type="http://schemas.openxmlformats.org/officeDocument/2006/relationships/hyperlink" Target="https://www.fda.gov/food/current-good-manufacturing-practices-cgmps-food-and-dietary-supplements/food-defect-levels-handbook" TargetMode="External"/><Relationship Id="rId69" Type="http://schemas.openxmlformats.org/officeDocument/2006/relationships/hyperlink" Target="https://seaweedhub-extension.media.uconn.edu/wp-content/uploads/sites/3646/2024/05/Kelp-Farming-Guide-w-Annex-5.8-MR.FINAL_.pdf" TargetMode="External"/><Relationship Id="rId113" Type="http://schemas.openxmlformats.org/officeDocument/2006/relationships/hyperlink" Target="https://doi.org/10.29219/FNR.V65.7584" TargetMode="External"/><Relationship Id="rId134" Type="http://schemas.openxmlformats.org/officeDocument/2006/relationships/hyperlink" Target="https://doi.org/10.1108/BFJ-01-2023-0024" TargetMode="External"/><Relationship Id="rId80" Type="http://schemas.openxmlformats.org/officeDocument/2006/relationships/hyperlink" Target="https://doi.org/10.1007/s11010-005-8227-y" TargetMode="External"/><Relationship Id="rId155" Type="http://schemas.openxmlformats.org/officeDocument/2006/relationships/hyperlink" Target="https://doi.org/10.1081/TXR-100100317" TargetMode="External"/><Relationship Id="rId176" Type="http://schemas.openxmlformats.org/officeDocument/2006/relationships/hyperlink" Target="https://www.fda.gov/media/102633/download" TargetMode="External"/><Relationship Id="rId197" Type="http://schemas.openxmlformats.org/officeDocument/2006/relationships/hyperlink" Target="https://doi.org/10.1038/211990a0" TargetMode="External"/><Relationship Id="rId201" Type="http://schemas.openxmlformats.org/officeDocument/2006/relationships/hyperlink" Target="https://doi.org/10.38212/2224-6614.2358" TargetMode="External"/><Relationship Id="rId222" Type="http://schemas.openxmlformats.org/officeDocument/2006/relationships/hyperlink" Target="https://doi.org/10.1089/thy.2004.14.836" TargetMode="External"/><Relationship Id="rId17" Type="http://schemas.openxmlformats.org/officeDocument/2006/relationships/image" Target="media/image8.png"/><Relationship Id="rId38" Type="http://schemas.openxmlformats.org/officeDocument/2006/relationships/hyperlink" Target="file:///G:\My%20Drive\My%20Documents\Programs%20&amp;%20Projects\Seaweed%20Food%20Safety\Seaweed%20Hazards%20and%20Controls%20Guide%20(Shared)\Guide%20Chapters\Final%20Chapters%20for%20Copy%20Editing%20and%20Formatting\(1)" TargetMode="External"/><Relationship Id="rId59" Type="http://schemas.openxmlformats.org/officeDocument/2006/relationships/hyperlink" Target="https://www.fao.org/fao-who-codexalimentarius/en/" TargetMode="External"/><Relationship Id="rId103" Type="http://schemas.openxmlformats.org/officeDocument/2006/relationships/hyperlink" Target="https://link.springer.com/article/10.1007/s10811-017-1343-8" TargetMode="External"/><Relationship Id="rId124" Type="http://schemas.openxmlformats.org/officeDocument/2006/relationships/hyperlink" Target="https://doi.org/10.17226/10026" TargetMode="External"/><Relationship Id="rId70" Type="http://schemas.openxmlformats.org/officeDocument/2006/relationships/hyperlink" Target="https://doi.org/10.1016/j.marpolbul.2023.115737" TargetMode="External"/><Relationship Id="rId91" Type="http://schemas.openxmlformats.org/officeDocument/2006/relationships/hyperlink" Target="https://doi.org/10.1016/j.algal.2018.101386" TargetMode="External"/><Relationship Id="rId145" Type="http://schemas.openxmlformats.org/officeDocument/2006/relationships/hyperlink" Target="https://coastalscience.noaa.gov/news/hab-noaa-fact-sheet/" TargetMode="External"/><Relationship Id="rId166" Type="http://schemas.openxmlformats.org/officeDocument/2006/relationships/hyperlink" Target="https://doi.org/10.1073/pnas.2117407119" TargetMode="External"/><Relationship Id="rId187" Type="http://schemas.openxmlformats.org/officeDocument/2006/relationships/hyperlink" Target="https://doi.org/10.1021/acs.jafc.7b04688" TargetMode="External"/><Relationship Id="rId1" Type="http://schemas.openxmlformats.org/officeDocument/2006/relationships/customXml" Target="../customXml/item1.xml"/><Relationship Id="rId212" Type="http://schemas.openxmlformats.org/officeDocument/2006/relationships/hyperlink" Target="https://doi.org/10.2903/j.efsa.2019.e170915" TargetMode="External"/><Relationship Id="rId28" Type="http://schemas.openxmlformats.org/officeDocument/2006/relationships/hyperlink" Target="https://doi.org/10.4060/cb5670en" TargetMode="External"/><Relationship Id="rId49" Type="http://schemas.openxmlformats.org/officeDocument/2006/relationships/hyperlink" Target="https://www.ecfr.gov/current/title-21/part-117/subpart-C" TargetMode="External"/><Relationship Id="rId114" Type="http://schemas.openxmlformats.org/officeDocument/2006/relationships/hyperlink" Target="https://www.thyroid.org/media-main/press-room/" TargetMode="External"/><Relationship Id="rId60" Type="http://schemas.openxmlformats.org/officeDocument/2006/relationships/hyperlink" Target="https://echo.epa.gov/" TargetMode="External"/><Relationship Id="rId81" Type="http://schemas.openxmlformats.org/officeDocument/2006/relationships/hyperlink" Target="https://www.hi.no/hi/nettrapporter/rapport-fra-havforskningen-en-2020-44" TargetMode="External"/><Relationship Id="rId135" Type="http://schemas.openxmlformats.org/officeDocument/2006/relationships/hyperlink" Target="https://doi.org/10.1016/j.aca.2012.07.035" TargetMode="External"/><Relationship Id="rId156" Type="http://schemas.openxmlformats.org/officeDocument/2006/relationships/hyperlink" Target="https://doi.org/10.38212/2224-6614.2358" TargetMode="External"/><Relationship Id="rId177" Type="http://schemas.openxmlformats.org/officeDocument/2006/relationships/hyperlink" Target="https://aboutseafood.com/wp-content/uploads/2018/09/3rd-Edition-RTE-Manual-Final-3-15-19.pdf" TargetMode="External"/><Relationship Id="rId198" Type="http://schemas.openxmlformats.org/officeDocument/2006/relationships/hyperlink" Target="https://doi.org/10.1371/journal.pone.0038763" TargetMode="External"/><Relationship Id="rId202" Type="http://schemas.openxmlformats.org/officeDocument/2006/relationships/hyperlink" Target="https://doi.org/10.1016/0031-9422(75)85349-0" TargetMode="External"/><Relationship Id="rId223" Type="http://schemas.openxmlformats.org/officeDocument/2006/relationships/hyperlink" Target="https://doi.org/10.1016/S0048-9697(00)00467-8" TargetMode="External"/><Relationship Id="rId18" Type="http://schemas.openxmlformats.org/officeDocument/2006/relationships/image" Target="media/image9.png"/><Relationship Id="rId39" Type="http://schemas.openxmlformats.org/officeDocument/2006/relationships/hyperlink" Target="https://www.fda.gov/regulatory-information/search-fda-guidance-documents/draft-guidance-industry-hazard-analysis-and-risk-based-preventive-controls-human-food" TargetMode="External"/><Relationship Id="rId50" Type="http://schemas.openxmlformats.org/officeDocument/2006/relationships/hyperlink" Target="https://www.fda.gov/food/food-safety-modernization-act-fsma/fsma-final-rule-preventive-controls-animal-food" TargetMode="External"/><Relationship Id="rId104" Type="http://schemas.openxmlformats.org/officeDocument/2006/relationships/hyperlink" Target="https://doi.org/10.1016/j.scitotenv.2018.12.140" TargetMode="External"/><Relationship Id="rId125" Type="http://schemas.openxmlformats.org/officeDocument/2006/relationships/hyperlink" Target="https://www.ncbi.nlm.nih.gov/books/NBK208881/pdf/Bookshelf_NBK208881.pdf" TargetMode="External"/><Relationship Id="rId146" Type="http://schemas.openxmlformats.org/officeDocument/2006/relationships/hyperlink" Target="https://hab.whoi.edu/" TargetMode="External"/><Relationship Id="rId167" Type="http://schemas.openxmlformats.org/officeDocument/2006/relationships/hyperlink" Target="https://www.fda.gov/food/natural-toxins-food/mycotoxins" TargetMode="External"/><Relationship Id="rId188" Type="http://schemas.openxmlformats.org/officeDocument/2006/relationships/hyperlink" Target="https://doi.org/10.1007/BF00317764" TargetMode="External"/><Relationship Id="rId71" Type="http://schemas.openxmlformats.org/officeDocument/2006/relationships/hyperlink" Target="https://doi.org/10.3390/foods10102258" TargetMode="External"/><Relationship Id="rId92" Type="http://schemas.openxmlformats.org/officeDocument/2006/relationships/hyperlink" Target="https://doi.org/10.3390/foods10020381" TargetMode="External"/><Relationship Id="rId213" Type="http://schemas.openxmlformats.org/officeDocument/2006/relationships/hyperlink" Target="https://doi.org/10.2903/j.efsa.2019.e170915" TargetMode="External"/><Relationship Id="rId2" Type="http://schemas.openxmlformats.org/officeDocument/2006/relationships/numbering" Target="numbering.xml"/><Relationship Id="rId29" Type="http://schemas.openxmlformats.org/officeDocument/2006/relationships/hyperlink" Target="https://doi.org/10.1007/s10811-010-9574-2" TargetMode="External"/><Relationship Id="rId40" Type="http://schemas.openxmlformats.org/officeDocument/2006/relationships/hyperlink" Target="https://www.fspca.net/" TargetMode="External"/><Relationship Id="rId115" Type="http://schemas.openxmlformats.org/officeDocument/2006/relationships/hyperlink" Target="https://doi.org/10.3390/foods4020240" TargetMode="External"/><Relationship Id="rId136" Type="http://schemas.openxmlformats.org/officeDocument/2006/relationships/hyperlink" Target="https://doi.org/10.1007/BF00541002" TargetMode="External"/><Relationship Id="rId157" Type="http://schemas.openxmlformats.org/officeDocument/2006/relationships/hyperlink" Target="https://doi.org/10.1016/0031-9422(75)85349-0" TargetMode="External"/><Relationship Id="rId178" Type="http://schemas.openxmlformats.org/officeDocument/2006/relationships/hyperlink" Target="https://doi.org/10.1016/j.ifset.2019.02.007" TargetMode="External"/><Relationship Id="rId61" Type="http://schemas.openxmlformats.org/officeDocument/2006/relationships/hyperlink" Target="https://seagrant.uconn.edu/2024/05/09/comprehensive-business-guide-for-kelp-farming-now-available/" TargetMode="External"/><Relationship Id="rId82" Type="http://schemas.openxmlformats.org/officeDocument/2006/relationships/hyperlink" Target="https://www.foodstandards.gov.au/consumer/safety/brownseaweed/pages/default.aspx" TargetMode="External"/><Relationship Id="rId199" Type="http://schemas.openxmlformats.org/officeDocument/2006/relationships/hyperlink" Target="https://doi.org/10.2331/suisan.47.1059" TargetMode="External"/><Relationship Id="rId203" Type="http://schemas.openxmlformats.org/officeDocument/2006/relationships/hyperlink" Target="https://doi.org/10.1134/S0001437022050071" TargetMode="External"/><Relationship Id="rId19" Type="http://schemas.openxmlformats.org/officeDocument/2006/relationships/image" Target="media/image10.png"/><Relationship Id="rId224" Type="http://schemas.openxmlformats.org/officeDocument/2006/relationships/hyperlink" Target="https://doi.org/10.1021/jf981065c" TargetMode="External"/><Relationship Id="rId30" Type="http://schemas.openxmlformats.org/officeDocument/2006/relationships/hyperlink" Target="https://portal.ct.gov/DOAG/Aquaculture1/Aquaculture/Seaweed" TargetMode="External"/><Relationship Id="rId105" Type="http://schemas.openxmlformats.org/officeDocument/2006/relationships/hyperlink" Target="https://doi.org/10.1097/EDE.0b013e31828b0631" TargetMode="External"/><Relationship Id="rId126" Type="http://schemas.openxmlformats.org/officeDocument/2006/relationships/hyperlink" Target="https://doi.org/10.1007/s10811-023-02974-5" TargetMode="External"/><Relationship Id="rId147" Type="http://schemas.openxmlformats.org/officeDocument/2006/relationships/hyperlink" Target="https://doi.org/10.1134/S106307402305005X" TargetMode="External"/><Relationship Id="rId168" Type="http://schemas.openxmlformats.org/officeDocument/2006/relationships/hyperlink" Target="https://www.fda.gov/media/71302/download" TargetMode="External"/><Relationship Id="rId51" Type="http://schemas.openxmlformats.org/officeDocument/2006/relationships/hyperlink" Target="https://www.fda.gov/food/food-safety-modernization-act-fsma/fsma-final-rule-mitigation-strategies-protect-food-against-intentional-adulteration" TargetMode="External"/><Relationship Id="rId72" Type="http://schemas.openxmlformats.org/officeDocument/2006/relationships/hyperlink" Target="https://www.anses.fr/en/system/files/ERCA2017SA0070EN.pdf" TargetMode="External"/><Relationship Id="rId93" Type="http://schemas.openxmlformats.org/officeDocument/2006/relationships/hyperlink" Target="https://doi.org/10.1016/j.algal.2019.101484" TargetMode="External"/><Relationship Id="rId189" Type="http://schemas.openxmlformats.org/officeDocument/2006/relationships/hyperlink" Target="https://www.fda.gov/media/80337/download" TargetMode="External"/><Relationship Id="rId3" Type="http://schemas.openxmlformats.org/officeDocument/2006/relationships/styles" Target="styles.xml"/><Relationship Id="rId214" Type="http://schemas.openxmlformats.org/officeDocument/2006/relationships/hyperlink" Target="https://doi.org/10.1007/s10811-013-0014-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eaweedhub.org/symposium/" TargetMode="External"/><Relationship Id="rId2" Type="http://schemas.openxmlformats.org/officeDocument/2006/relationships/hyperlink" Target="https://www.govinfo.gov/content/pkg/FR-1995-12-18/pdf/95-30332.pdf" TargetMode="External"/><Relationship Id="rId1" Type="http://schemas.openxmlformats.org/officeDocument/2006/relationships/hyperlink" Target="https://www.fda.gov/food/guidance-regulation-food-and-dietary-supplements/current-good-manufacturing-practices-cgmps-food-and-dietary-suppl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5A6FD-B6ED-ED49-AF80-BF222CDAE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295</Pages>
  <Words>84904</Words>
  <Characters>504332</Characters>
  <Application>Microsoft Office Word</Application>
  <DocSecurity>8</DocSecurity>
  <Lines>12931</Lines>
  <Paragraphs>7014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582222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K Shaughnessy</dc:creator>
  <cp:keywords/>
  <dc:description/>
  <cp:lastModifiedBy>Michael Ciaramella</cp:lastModifiedBy>
  <cp:revision>8</cp:revision>
  <cp:lastPrinted>2025-09-25T00:42:00Z</cp:lastPrinted>
  <dcterms:created xsi:type="dcterms:W3CDTF">2025-09-30T16:12:00Z</dcterms:created>
  <dcterms:modified xsi:type="dcterms:W3CDTF">2025-10-01T17:35:00Z</dcterms:modified>
  <cp:category/>
</cp:coreProperties>
</file>